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128270</wp:posOffset>
            </wp:positionH>
            <wp:positionV relativeFrom="paragraph">
              <wp:posOffset>350520</wp:posOffset>
            </wp:positionV>
            <wp:extent cx="689419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94195" cy="8255"/>
                    </a:xfrm>
                    <a:prstGeom prst="rect">
                      <a:avLst/>
                    </a:prstGeom>
                    <a:noFill/>
                  </pic:spPr>
                </pic:pic>
              </a:graphicData>
            </a:graphic>
          </wp:anchor>
        </w:drawing>
        <w:drawing>
          <wp:anchor simplePos="0" relativeHeight="251657728" behindDoc="1" locked="0" layoutInCell="0" allowOverlap="1">
            <wp:simplePos x="0" y="0"/>
            <wp:positionH relativeFrom="column">
              <wp:posOffset>128270</wp:posOffset>
            </wp:positionH>
            <wp:positionV relativeFrom="paragraph">
              <wp:posOffset>308610</wp:posOffset>
            </wp:positionV>
            <wp:extent cx="6894195" cy="165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94195" cy="1651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1"/>
          <w:szCs w:val="21"/>
          <w:b w:val="1"/>
          <w:bCs w:val="1"/>
          <w:color w:val="auto"/>
        </w:rPr>
        <w:t>UNITED STATES SECURITIES AND EXCHANGE COMMISSION</w:t>
      </w:r>
    </w:p>
    <w:p>
      <w:pPr>
        <w:spacing w:after="0" w:line="36"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1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8"/>
          <w:szCs w:val="28"/>
          <w:b w:val="1"/>
          <w:bCs w:val="1"/>
          <w:color w:val="auto"/>
        </w:rPr>
        <w:t>FORM 10-K</w:t>
      </w:r>
    </w:p>
    <w:p>
      <w:pPr>
        <w:spacing w:after="0" w:line="155" w:lineRule="exact"/>
        <w:rPr>
          <w:sz w:val="24"/>
          <w:szCs w:val="24"/>
          <w:color w:val="auto"/>
        </w:rPr>
      </w:pPr>
    </w:p>
    <w:p>
      <w:pPr>
        <w:ind w:left="640" w:hanging="618"/>
        <w:spacing w:after="0"/>
        <w:tabs>
          <w:tab w:leader="none" w:pos="6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ANNUAL REPORT PURSUANT TO SECTION 13 OR 15(d) OF THE SECURITIES EXCHANGE ACT OF 1934</w:t>
      </w:r>
    </w:p>
    <w:p>
      <w:pPr>
        <w:spacing w:after="0" w:line="97"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For the fiscal year ended September 27, 2024</w:t>
      </w:r>
    </w:p>
    <w:p>
      <w:pPr>
        <w:spacing w:after="0" w:line="20"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109" w:lineRule="exact"/>
        <w:rPr>
          <w:sz w:val="24"/>
          <w:szCs w:val="24"/>
          <w:color w:val="auto"/>
        </w:rPr>
      </w:pPr>
    </w:p>
    <w:p>
      <w:pPr>
        <w:ind w:left="640" w:hanging="618"/>
        <w:spacing w:after="0"/>
        <w:tabs>
          <w:tab w:leader="none" w:pos="640" w:val="left"/>
        </w:tabs>
        <w:numPr>
          <w:ilvl w:val="0"/>
          <w:numId w:val="2"/>
        </w:numPr>
        <w:rPr>
          <w:rFonts w:ascii="MS PGothic" w:cs="MS PGothic" w:eastAsia="MS PGothic" w:hAnsi="MS PGothic"/>
          <w:sz w:val="14"/>
          <w:szCs w:val="14"/>
          <w:color w:val="auto"/>
        </w:rPr>
      </w:pPr>
      <w:r>
        <w:rPr>
          <w:rFonts w:ascii="Times New Roman" w:cs="Times New Roman" w:eastAsia="Times New Roman" w:hAnsi="Times New Roman"/>
          <w:sz w:val="18"/>
          <w:szCs w:val="18"/>
          <w:color w:val="auto"/>
        </w:rPr>
        <w:t>TRANSITION REPORT PURSUANT TO SECTION 13 OR 15(d) OF THE SECURITIES EXCHANGE ACT OF 1934</w:t>
      </w:r>
    </w:p>
    <w:p>
      <w:pPr>
        <w:spacing w:after="0" w:line="97"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For the transition period from __________to__________</w:t>
      </w:r>
    </w:p>
    <w:p>
      <w:pPr>
        <w:spacing w:after="0" w:line="1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Commission file number 001-05560</w:t>
      </w:r>
    </w:p>
    <w:p>
      <w:pPr>
        <w:spacing w:after="0" w:line="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5"/>
          <w:szCs w:val="35"/>
          <w:b w:val="1"/>
          <w:bCs w:val="1"/>
          <w:color w:val="auto"/>
        </w:rPr>
        <w:t>Skyworks Solutions, Inc.</w:t>
      </w:r>
    </w:p>
    <w:p>
      <w:pPr>
        <w:spacing w:after="0" w:line="20"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i w:val="1"/>
          <w:iCs w:val="1"/>
          <w:color w:val="auto"/>
        </w:rPr>
        <w:t>(Exact name of registrant as specified in its charter)</w:t>
      </w:r>
    </w:p>
    <w:p>
      <w:pPr>
        <w:spacing w:after="0" w:line="112" w:lineRule="exact"/>
        <w:rPr>
          <w:sz w:val="24"/>
          <w:szCs w:val="24"/>
          <w:color w:val="auto"/>
        </w:rPr>
      </w:pPr>
    </w:p>
    <w:tbl>
      <w:tblPr>
        <w:tblLayout w:type="fixed"/>
        <w:tblInd w:w="1240" w:type="dxa"/>
        <w:tblCellMar>
          <w:top w:w="0" w:type="dxa"/>
          <w:left w:w="0" w:type="dxa"/>
          <w:bottom w:w="0" w:type="dxa"/>
          <w:right w:w="0" w:type="dxa"/>
        </w:tblCellMar>
      </w:tblPr>
      <w:tr>
        <w:trPr>
          <w:trHeight w:val="228"/>
        </w:trPr>
        <w:tc>
          <w:tcPr>
            <w:tcW w:w="4780" w:type="dxa"/>
            <w:vAlign w:val="bottom"/>
          </w:tcPr>
          <w:p>
            <w:pPr>
              <w:jc w:val="center"/>
              <w:ind w:right="856"/>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180" w:type="dxa"/>
            <w:vAlign w:val="bottom"/>
          </w:tcPr>
          <w:p>
            <w:pPr>
              <w:jc w:val="right"/>
              <w:ind w:right="617"/>
              <w:spacing w:after="0"/>
              <w:rPr>
                <w:sz w:val="20"/>
                <w:szCs w:val="20"/>
                <w:color w:val="auto"/>
              </w:rPr>
            </w:pPr>
            <w:r>
              <w:rPr>
                <w:rFonts w:ascii="Times New Roman" w:cs="Times New Roman" w:eastAsia="Times New Roman" w:hAnsi="Times New Roman"/>
                <w:sz w:val="18"/>
                <w:szCs w:val="18"/>
                <w:b w:val="1"/>
                <w:bCs w:val="1"/>
                <w:color w:val="auto"/>
              </w:rPr>
              <w:t>04-2302115</w:t>
            </w:r>
          </w:p>
        </w:tc>
      </w:tr>
      <w:tr>
        <w:trPr>
          <w:trHeight w:val="208"/>
        </w:trPr>
        <w:tc>
          <w:tcPr>
            <w:tcW w:w="4780" w:type="dxa"/>
            <w:vAlign w:val="bottom"/>
          </w:tcPr>
          <w:p>
            <w:pPr>
              <w:jc w:val="center"/>
              <w:ind w:right="856"/>
              <w:spacing w:after="0"/>
              <w:rPr>
                <w:sz w:val="20"/>
                <w:szCs w:val="20"/>
                <w:color w:val="auto"/>
              </w:rPr>
            </w:pPr>
            <w:r>
              <w:rPr>
                <w:rFonts w:ascii="Times New Roman" w:cs="Times New Roman" w:eastAsia="Times New Roman" w:hAnsi="Times New Roman"/>
                <w:sz w:val="16"/>
                <w:szCs w:val="16"/>
                <w:i w:val="1"/>
                <w:iCs w:val="1"/>
                <w:color w:val="auto"/>
                <w:w w:val="98"/>
              </w:rPr>
              <w:t>(State or other jurisdiction of incorporation or organization)</w:t>
            </w:r>
          </w:p>
        </w:tc>
        <w:tc>
          <w:tcPr>
            <w:tcW w:w="3180" w:type="dxa"/>
            <w:vAlign w:val="bottom"/>
          </w:tcPr>
          <w:p>
            <w:pPr>
              <w:jc w:val="center"/>
              <w:ind w:left="857"/>
              <w:spacing w:after="0"/>
              <w:rPr>
                <w:sz w:val="20"/>
                <w:szCs w:val="20"/>
                <w:color w:val="auto"/>
              </w:rPr>
            </w:pPr>
            <w:r>
              <w:rPr>
                <w:rFonts w:ascii="Times New Roman" w:cs="Times New Roman" w:eastAsia="Times New Roman" w:hAnsi="Times New Roman"/>
                <w:sz w:val="16"/>
                <w:szCs w:val="16"/>
                <w:i w:val="1"/>
                <w:iCs w:val="1"/>
                <w:color w:val="auto"/>
                <w:w w:val="97"/>
              </w:rPr>
              <w:t>(I.R.S. Employer Identification No.)</w:t>
            </w:r>
          </w:p>
        </w:tc>
      </w:tr>
      <w:tr>
        <w:trPr>
          <w:trHeight w:val="503"/>
        </w:trPr>
        <w:tc>
          <w:tcPr>
            <w:tcW w:w="4780" w:type="dxa"/>
            <w:vAlign w:val="bottom"/>
          </w:tcPr>
          <w:p>
            <w:pPr>
              <w:jc w:val="center"/>
              <w:ind w:right="856"/>
              <w:spacing w:after="0"/>
              <w:rPr>
                <w:sz w:val="20"/>
                <w:szCs w:val="20"/>
                <w:color w:val="auto"/>
              </w:rPr>
            </w:pPr>
            <w:r>
              <w:rPr>
                <w:rFonts w:ascii="Times New Roman" w:cs="Times New Roman" w:eastAsia="Times New Roman" w:hAnsi="Times New Roman"/>
                <w:sz w:val="18"/>
                <w:szCs w:val="18"/>
                <w:b w:val="1"/>
                <w:bCs w:val="1"/>
                <w:color w:val="auto"/>
                <w:w w:val="96"/>
              </w:rPr>
              <w:t>5260 California Avenue</w:t>
            </w:r>
          </w:p>
        </w:tc>
        <w:tc>
          <w:tcPr>
            <w:tcW w:w="3180" w:type="dxa"/>
            <w:vAlign w:val="bottom"/>
          </w:tcPr>
          <w:p>
            <w:pPr>
              <w:spacing w:after="0"/>
              <w:rPr>
                <w:sz w:val="24"/>
                <w:szCs w:val="24"/>
                <w:color w:val="auto"/>
              </w:rPr>
            </w:pPr>
          </w:p>
        </w:tc>
      </w:tr>
      <w:tr>
        <w:trPr>
          <w:trHeight w:val="247"/>
        </w:trPr>
        <w:tc>
          <w:tcPr>
            <w:tcW w:w="4780" w:type="dxa"/>
            <w:vAlign w:val="bottom"/>
          </w:tcPr>
          <w:p>
            <w:pPr>
              <w:jc w:val="center"/>
              <w:ind w:right="856"/>
              <w:spacing w:after="0"/>
              <w:rPr>
                <w:sz w:val="20"/>
                <w:szCs w:val="20"/>
                <w:color w:val="auto"/>
              </w:rPr>
            </w:pPr>
            <w:r>
              <w:rPr>
                <w:rFonts w:ascii="Times New Roman" w:cs="Times New Roman" w:eastAsia="Times New Roman" w:hAnsi="Times New Roman"/>
                <w:sz w:val="18"/>
                <w:szCs w:val="18"/>
                <w:b w:val="1"/>
                <w:bCs w:val="1"/>
                <w:color w:val="auto"/>
                <w:w w:val="97"/>
              </w:rPr>
              <w:t>Irvine, California</w:t>
            </w:r>
          </w:p>
        </w:tc>
        <w:tc>
          <w:tcPr>
            <w:tcW w:w="3180" w:type="dxa"/>
            <w:vAlign w:val="bottom"/>
          </w:tcPr>
          <w:p>
            <w:pPr>
              <w:jc w:val="right"/>
              <w:ind w:right="817"/>
              <w:spacing w:after="0"/>
              <w:rPr>
                <w:sz w:val="20"/>
                <w:szCs w:val="20"/>
                <w:color w:val="auto"/>
              </w:rPr>
            </w:pPr>
            <w:r>
              <w:rPr>
                <w:rFonts w:ascii="Times New Roman" w:cs="Times New Roman" w:eastAsia="Times New Roman" w:hAnsi="Times New Roman"/>
                <w:sz w:val="18"/>
                <w:szCs w:val="18"/>
                <w:b w:val="1"/>
                <w:bCs w:val="1"/>
                <w:color w:val="auto"/>
              </w:rPr>
              <w:t>92617</w:t>
            </w:r>
          </w:p>
        </w:tc>
      </w:tr>
      <w:tr>
        <w:trPr>
          <w:trHeight w:val="208"/>
        </w:trPr>
        <w:tc>
          <w:tcPr>
            <w:tcW w:w="4780" w:type="dxa"/>
            <w:vAlign w:val="bottom"/>
          </w:tcPr>
          <w:p>
            <w:pPr>
              <w:jc w:val="center"/>
              <w:ind w:right="836"/>
              <w:spacing w:after="0"/>
              <w:rPr>
                <w:sz w:val="20"/>
                <w:szCs w:val="20"/>
                <w:color w:val="auto"/>
              </w:rPr>
            </w:pPr>
            <w:r>
              <w:rPr>
                <w:rFonts w:ascii="Times New Roman" w:cs="Times New Roman" w:eastAsia="Times New Roman" w:hAnsi="Times New Roman"/>
                <w:sz w:val="16"/>
                <w:szCs w:val="16"/>
                <w:i w:val="1"/>
                <w:iCs w:val="1"/>
                <w:color w:val="auto"/>
                <w:w w:val="98"/>
              </w:rPr>
              <w:t>(Address of principal executive offices)</w:t>
            </w:r>
          </w:p>
        </w:tc>
        <w:tc>
          <w:tcPr>
            <w:tcW w:w="3180" w:type="dxa"/>
            <w:vAlign w:val="bottom"/>
          </w:tcPr>
          <w:p>
            <w:pPr>
              <w:jc w:val="center"/>
              <w:ind w:left="857"/>
              <w:spacing w:after="0"/>
              <w:rPr>
                <w:sz w:val="20"/>
                <w:szCs w:val="20"/>
                <w:color w:val="auto"/>
              </w:rPr>
            </w:pPr>
            <w:r>
              <w:rPr>
                <w:rFonts w:ascii="Times New Roman" w:cs="Times New Roman" w:eastAsia="Times New Roman" w:hAnsi="Times New Roman"/>
                <w:sz w:val="16"/>
                <w:szCs w:val="16"/>
                <w:i w:val="1"/>
                <w:iCs w:val="1"/>
                <w:color w:val="auto"/>
                <w:w w:val="97"/>
              </w:rPr>
              <w:t>(Zip Code)</w:t>
            </w:r>
          </w:p>
        </w:tc>
      </w:tr>
    </w:tbl>
    <w:p>
      <w:pPr>
        <w:spacing w:after="0" w:line="115" w:lineRule="exact"/>
        <w:rPr>
          <w:sz w:val="24"/>
          <w:szCs w:val="24"/>
          <w:color w:val="auto"/>
        </w:rPr>
      </w:pPr>
    </w:p>
    <w:p>
      <w:pPr>
        <w:ind w:left="4900"/>
        <w:spacing w:after="0"/>
        <w:rPr>
          <w:sz w:val="20"/>
          <w:szCs w:val="20"/>
          <w:color w:val="auto"/>
        </w:rPr>
      </w:pPr>
      <w:r>
        <w:rPr>
          <w:rFonts w:ascii="Times New Roman" w:cs="Times New Roman" w:eastAsia="Times New Roman" w:hAnsi="Times New Roman"/>
          <w:sz w:val="18"/>
          <w:szCs w:val="18"/>
          <w:b w:val="1"/>
          <w:bCs w:val="1"/>
          <w:color w:val="auto"/>
        </w:rPr>
        <w:t>(949) 231-3000</w:t>
      </w:r>
    </w:p>
    <w:p>
      <w:pPr>
        <w:spacing w:after="0" w:line="23" w:lineRule="exact"/>
        <w:rPr>
          <w:sz w:val="24"/>
          <w:szCs w:val="24"/>
          <w:color w:val="auto"/>
        </w:rPr>
      </w:pPr>
    </w:p>
    <w:p>
      <w:pPr>
        <w:ind w:left="3760"/>
        <w:spacing w:after="0"/>
        <w:rPr>
          <w:sz w:val="20"/>
          <w:szCs w:val="20"/>
          <w:color w:val="auto"/>
        </w:rPr>
      </w:pPr>
      <w:r>
        <w:rPr>
          <w:rFonts w:ascii="Times New Roman" w:cs="Times New Roman" w:eastAsia="Times New Roman" w:hAnsi="Times New Roman"/>
          <w:sz w:val="18"/>
          <w:szCs w:val="18"/>
          <w:i w:val="1"/>
          <w:iCs w:val="1"/>
          <w:color w:val="auto"/>
        </w:rPr>
        <w:t>(Registrant’s telephone number, including area code)</w:t>
      </w:r>
    </w:p>
    <w:p>
      <w:pPr>
        <w:spacing w:after="0" w:line="30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p>
      <w:pPr>
        <w:spacing w:after="0" w:line="193" w:lineRule="exact"/>
        <w:rPr>
          <w:sz w:val="24"/>
          <w:szCs w:val="24"/>
          <w:color w:val="auto"/>
        </w:rPr>
      </w:pPr>
    </w:p>
    <w:tbl>
      <w:tblPr>
        <w:tblLayout w:type="fixed"/>
        <w:tblInd w:w="1220" w:type="dxa"/>
        <w:tblCellMar>
          <w:top w:w="0" w:type="dxa"/>
          <w:left w:w="0" w:type="dxa"/>
          <w:bottom w:w="0" w:type="dxa"/>
          <w:right w:w="0" w:type="dxa"/>
        </w:tblCellMar>
      </w:tblPr>
      <w:tr>
        <w:trPr>
          <w:trHeight w:val="185"/>
        </w:trPr>
        <w:tc>
          <w:tcPr>
            <w:tcW w:w="3440" w:type="dxa"/>
            <w:vAlign w:val="bottom"/>
          </w:tcPr>
          <w:p>
            <w:pPr>
              <w:jc w:val="center"/>
              <w:ind w:right="90"/>
              <w:spacing w:after="0"/>
              <w:rPr>
                <w:sz w:val="20"/>
                <w:szCs w:val="20"/>
                <w:color w:val="auto"/>
              </w:rPr>
            </w:pPr>
            <w:r>
              <w:rPr>
                <w:rFonts w:ascii="Times New Roman" w:cs="Times New Roman" w:eastAsia="Times New Roman" w:hAnsi="Times New Roman"/>
                <w:sz w:val="14"/>
                <w:szCs w:val="14"/>
                <w:b w:val="1"/>
                <w:bCs w:val="1"/>
                <w:color w:val="auto"/>
                <w:w w:val="98"/>
              </w:rPr>
              <w:t>Title of each class</w:t>
            </w:r>
          </w:p>
        </w:tc>
        <w:tc>
          <w:tcPr>
            <w:tcW w:w="2180" w:type="dxa"/>
            <w:vAlign w:val="bottom"/>
          </w:tcPr>
          <w:p>
            <w:pPr>
              <w:jc w:val="center"/>
              <w:ind w:left="90"/>
              <w:spacing w:after="0"/>
              <w:rPr>
                <w:sz w:val="20"/>
                <w:szCs w:val="20"/>
                <w:color w:val="auto"/>
              </w:rPr>
            </w:pPr>
            <w:r>
              <w:rPr>
                <w:rFonts w:ascii="Times New Roman" w:cs="Times New Roman" w:eastAsia="Times New Roman" w:hAnsi="Times New Roman"/>
                <w:sz w:val="14"/>
                <w:szCs w:val="14"/>
                <w:b w:val="1"/>
                <w:bCs w:val="1"/>
                <w:color w:val="auto"/>
                <w:w w:val="97"/>
              </w:rPr>
              <w:t>Trading Symbol(s)</w:t>
            </w:r>
          </w:p>
        </w:tc>
        <w:tc>
          <w:tcPr>
            <w:tcW w:w="3180" w:type="dxa"/>
            <w:vAlign w:val="bottom"/>
          </w:tcPr>
          <w:p>
            <w:pPr>
              <w:jc w:val="center"/>
              <w:ind w:left="270"/>
              <w:spacing w:after="0"/>
              <w:rPr>
                <w:sz w:val="20"/>
                <w:szCs w:val="20"/>
                <w:color w:val="auto"/>
              </w:rPr>
            </w:pPr>
            <w:r>
              <w:rPr>
                <w:rFonts w:ascii="Times New Roman" w:cs="Times New Roman" w:eastAsia="Times New Roman" w:hAnsi="Times New Roman"/>
                <w:sz w:val="14"/>
                <w:szCs w:val="14"/>
                <w:b w:val="1"/>
                <w:bCs w:val="1"/>
                <w:color w:val="auto"/>
                <w:w w:val="99"/>
              </w:rPr>
              <w:t>Name of each exchange on which registered</w:t>
            </w:r>
          </w:p>
        </w:tc>
      </w:tr>
      <w:tr>
        <w:trPr>
          <w:trHeight w:val="24"/>
        </w:trPr>
        <w:tc>
          <w:tcPr>
            <w:tcW w:w="344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3180" w:type="dxa"/>
            <w:vAlign w:val="bottom"/>
            <w:tcBorders>
              <w:bottom w:val="single" w:sz="8" w:color="auto"/>
            </w:tcBorders>
          </w:tcPr>
          <w:p>
            <w:pPr>
              <w:spacing w:after="0"/>
              <w:rPr>
                <w:sz w:val="2"/>
                <w:szCs w:val="2"/>
                <w:color w:val="auto"/>
              </w:rPr>
            </w:pPr>
          </w:p>
        </w:tc>
      </w:tr>
      <w:tr>
        <w:trPr>
          <w:trHeight w:val="206"/>
        </w:trPr>
        <w:tc>
          <w:tcPr>
            <w:tcW w:w="3440" w:type="dxa"/>
            <w:vAlign w:val="bottom"/>
          </w:tcPr>
          <w:p>
            <w:pPr>
              <w:jc w:val="center"/>
              <w:ind w:right="90"/>
              <w:spacing w:after="0"/>
              <w:rPr>
                <w:sz w:val="20"/>
                <w:szCs w:val="20"/>
                <w:color w:val="auto"/>
              </w:rPr>
            </w:pPr>
            <w:r>
              <w:rPr>
                <w:rFonts w:ascii="Times New Roman" w:cs="Times New Roman" w:eastAsia="Times New Roman" w:hAnsi="Times New Roman"/>
                <w:sz w:val="14"/>
                <w:szCs w:val="14"/>
                <w:color w:val="auto"/>
              </w:rPr>
              <w:t>Common Stock, par value $0.25 per share</w:t>
            </w:r>
          </w:p>
        </w:tc>
        <w:tc>
          <w:tcPr>
            <w:tcW w:w="2180" w:type="dxa"/>
            <w:vAlign w:val="bottom"/>
          </w:tcPr>
          <w:p>
            <w:pPr>
              <w:jc w:val="center"/>
              <w:ind w:left="90"/>
              <w:spacing w:after="0"/>
              <w:rPr>
                <w:sz w:val="20"/>
                <w:szCs w:val="20"/>
                <w:color w:val="auto"/>
              </w:rPr>
            </w:pPr>
            <w:r>
              <w:rPr>
                <w:rFonts w:ascii="Times New Roman" w:cs="Times New Roman" w:eastAsia="Times New Roman" w:hAnsi="Times New Roman"/>
                <w:sz w:val="14"/>
                <w:szCs w:val="14"/>
                <w:color w:val="auto"/>
                <w:w w:val="97"/>
              </w:rPr>
              <w:t>SWKS</w:t>
            </w:r>
          </w:p>
        </w:tc>
        <w:tc>
          <w:tcPr>
            <w:tcW w:w="3180" w:type="dxa"/>
            <w:vAlign w:val="bottom"/>
          </w:tcPr>
          <w:p>
            <w:pPr>
              <w:jc w:val="center"/>
              <w:ind w:left="250"/>
              <w:spacing w:after="0"/>
              <w:rPr>
                <w:sz w:val="20"/>
                <w:szCs w:val="20"/>
                <w:color w:val="auto"/>
              </w:rPr>
            </w:pPr>
            <w:r>
              <w:rPr>
                <w:rFonts w:ascii="Times New Roman" w:cs="Times New Roman" w:eastAsia="Times New Roman" w:hAnsi="Times New Roman"/>
                <w:sz w:val="14"/>
                <w:szCs w:val="14"/>
                <w:color w:val="auto"/>
              </w:rPr>
              <w:t>Nasdaq Global Select Market</w:t>
            </w:r>
          </w:p>
        </w:tc>
      </w:tr>
    </w:tbl>
    <w:p>
      <w:pPr>
        <w:spacing w:after="0" w:line="32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12(g) of the Act: None</w:t>
      </w:r>
    </w:p>
    <w:p>
      <w:pPr>
        <w:spacing w:after="0" w:line="217" w:lineRule="exact"/>
        <w:rPr>
          <w:sz w:val="24"/>
          <w:szCs w:val="24"/>
          <w:color w:val="auto"/>
        </w:rPr>
      </w:pPr>
    </w:p>
    <w:p>
      <w:pPr>
        <w:ind w:right="3700"/>
        <w:spacing w:after="0" w:line="256" w:lineRule="exact"/>
        <w:rPr>
          <w:sz w:val="20"/>
          <w:szCs w:val="20"/>
          <w:color w:val="auto"/>
        </w:rPr>
      </w:pPr>
      <w:r>
        <w:rPr>
          <w:rFonts w:ascii="Times New Roman" w:cs="Times New Roman" w:eastAsia="Times New Roman" w:hAnsi="Times New Roman"/>
          <w:sz w:val="14"/>
          <w:szCs w:val="14"/>
          <w:color w:val="auto"/>
        </w:rPr>
        <w:t xml:space="preserve">Indicate by check mark if the registrant is a well-known seasoned issuer, as defined in Rule 405 of the Securities Act.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Yes </w:t>
      </w:r>
      <w:r>
        <w:rPr>
          <w:rFonts w:ascii="Wingdings" w:cs="Wingdings" w:eastAsia="Wingdings" w:hAnsi="Wingdings"/>
          <w:sz w:val="14"/>
          <w:szCs w:val="14"/>
          <w:b w:val="1"/>
          <w:bCs w:val="1"/>
          <w:color w:val="auto"/>
        </w:rPr>
        <w:t>o</w:t>
      </w:r>
      <w:r>
        <w:rPr>
          <w:rFonts w:ascii="Times New Roman" w:cs="Times New Roman" w:eastAsia="Times New Roman" w:hAnsi="Times New Roman"/>
          <w:sz w:val="14"/>
          <w:szCs w:val="14"/>
          <w:color w:val="auto"/>
        </w:rPr>
        <w:t xml:space="preserve"> No Indicate by check mark if the registrant is not required to file reports pursuant to Section 13 or 15(d) of the Act. </w:t>
      </w:r>
      <w:r>
        <w:rPr>
          <w:rFonts w:ascii="Wingdings" w:cs="Wingdings" w:eastAsia="Wingdings" w:hAnsi="Wingdings"/>
          <w:sz w:val="14"/>
          <w:szCs w:val="14"/>
          <w:b w:val="1"/>
          <w:bCs w:val="1"/>
          <w:color w:val="auto"/>
        </w:rPr>
        <w:t>o</w:t>
      </w:r>
      <w:r>
        <w:rPr>
          <w:rFonts w:ascii="Times New Roman" w:cs="Times New Roman" w:eastAsia="Times New Roman" w:hAnsi="Times New Roman"/>
          <w:sz w:val="14"/>
          <w:szCs w:val="14"/>
          <w:color w:val="auto"/>
        </w:rPr>
        <w:t xml:space="preserve">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w:t>
      </w:r>
    </w:p>
    <w:p>
      <w:pPr>
        <w:spacing w:after="0" w:line="45" w:lineRule="exact"/>
        <w:rPr>
          <w:sz w:val="24"/>
          <w:szCs w:val="24"/>
          <w:color w:val="auto"/>
        </w:rPr>
      </w:pPr>
    </w:p>
    <w:p>
      <w:pPr>
        <w:ind w:right="120"/>
        <w:spacing w:after="0" w:line="194"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Yes </w:t>
      </w:r>
      <w:r>
        <w:rPr>
          <w:rFonts w:ascii="Wingdings" w:cs="Wingdings" w:eastAsia="Wingdings" w:hAnsi="Wingdings"/>
          <w:sz w:val="14"/>
          <w:szCs w:val="14"/>
          <w:b w:val="1"/>
          <w:bCs w:val="1"/>
          <w:color w:val="auto"/>
        </w:rPr>
        <w:t>o</w:t>
      </w:r>
      <w:r>
        <w:rPr>
          <w:rFonts w:ascii="Times New Roman" w:cs="Times New Roman" w:eastAsia="Times New Roman" w:hAnsi="Times New Roman"/>
          <w:sz w:val="14"/>
          <w:szCs w:val="14"/>
          <w:color w:val="auto"/>
        </w:rPr>
        <w:t xml:space="preserve"> No</w:t>
      </w:r>
    </w:p>
    <w:p>
      <w:pPr>
        <w:spacing w:after="0" w:line="46" w:lineRule="exact"/>
        <w:rPr>
          <w:sz w:val="24"/>
          <w:szCs w:val="24"/>
          <w:color w:val="auto"/>
        </w:rPr>
      </w:pPr>
    </w:p>
    <w:p>
      <w:pPr>
        <w:ind w:right="260"/>
        <w:spacing w:after="0" w:line="194"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Yes </w:t>
      </w:r>
      <w:r>
        <w:rPr>
          <w:rFonts w:ascii="Wingdings" w:cs="Wingdings" w:eastAsia="Wingdings" w:hAnsi="Wingdings"/>
          <w:sz w:val="14"/>
          <w:szCs w:val="14"/>
          <w:b w:val="1"/>
          <w:bCs w:val="1"/>
          <w:color w:val="auto"/>
        </w:rPr>
        <w:t>o</w:t>
      </w:r>
      <w:r>
        <w:rPr>
          <w:rFonts w:ascii="Times New Roman" w:cs="Times New Roman" w:eastAsia="Times New Roman" w:hAnsi="Times New Roman"/>
          <w:sz w:val="14"/>
          <w:szCs w:val="14"/>
          <w:color w:val="auto"/>
        </w:rPr>
        <w:t xml:space="preserve"> No</w:t>
      </w:r>
    </w:p>
    <w:p>
      <w:pPr>
        <w:spacing w:after="0" w:line="59" w:lineRule="exact"/>
        <w:rPr>
          <w:sz w:val="24"/>
          <w:szCs w:val="24"/>
          <w:color w:val="auto"/>
        </w:rPr>
      </w:pPr>
    </w:p>
    <w:p>
      <w:pPr>
        <w:spacing w:after="0" w:line="286"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58" w:lineRule="exact"/>
        <w:rPr>
          <w:sz w:val="24"/>
          <w:szCs w:val="24"/>
          <w:color w:val="auto"/>
        </w:rPr>
      </w:pPr>
    </w:p>
    <w:p>
      <w:pPr>
        <w:jc w:val="center"/>
        <w:ind w:right="-99"/>
        <w:spacing w:after="0" w:line="161" w:lineRule="exact"/>
        <w:tabs>
          <w:tab w:leader="none" w:pos="80" w:val="left"/>
          <w:tab w:leader="none" w:pos="320" w:val="left"/>
          <w:tab w:leader="none" w:pos="260" w:val="left"/>
          <w:tab w:leader="none" w:pos="340" w:val="left"/>
          <w:tab w:leader="none" w:pos="120" w:val="left"/>
        </w:tabs>
        <w:rPr>
          <w:sz w:val="20"/>
          <w:szCs w:val="20"/>
          <w:color w:val="auto"/>
        </w:rPr>
      </w:pPr>
      <w:r>
        <w:rPr>
          <w:rFonts w:ascii="Times New Roman" w:cs="Times New Roman" w:eastAsia="Times New Roman" w:hAnsi="Times New Roman"/>
          <w:sz w:val="14"/>
          <w:szCs w:val="14"/>
          <w:color w:val="auto"/>
        </w:rPr>
        <w:t>Large 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 xml:space="preserve">Accelerated filer </w:t>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 xml:space="preserve">Non-accelerated filer </w:t>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Smaller reporting company</w:t>
      </w:r>
      <w:r>
        <w:rPr>
          <w:sz w:val="20"/>
          <w:szCs w:val="20"/>
          <w:color w:val="auto"/>
        </w:rPr>
        <w:tab/>
      </w:r>
      <w:r>
        <w:rPr>
          <w:rFonts w:ascii="MS PGothic" w:cs="MS PGothic" w:eastAsia="MS PGothic" w:hAnsi="MS PGothic"/>
          <w:sz w:val="14"/>
          <w:szCs w:val="14"/>
          <w:color w:val="auto"/>
        </w:rPr>
        <w:t xml:space="preserve">☐  </w:t>
      </w:r>
      <w:r>
        <w:rPr>
          <w:rFonts w:ascii="Times New Roman" w:cs="Times New Roman" w:eastAsia="Times New Roman" w:hAnsi="Times New Roman"/>
          <w:sz w:val="14"/>
          <w:szCs w:val="14"/>
          <w:color w:val="auto"/>
        </w:rPr>
        <w:t>Emerging growth company</w:t>
      </w:r>
      <w:r>
        <w:rPr>
          <w:rFonts w:ascii="MS PGothic" w:cs="MS PGothic" w:eastAsia="MS PGothic" w:hAnsi="MS PGothic"/>
          <w:sz w:val="14"/>
          <w:szCs w:val="14"/>
          <w:color w:val="auto"/>
        </w:rPr>
        <w:t xml:space="preserve">  ☐</w:t>
      </w:r>
    </w:p>
    <w:p>
      <w:pPr>
        <w:spacing w:after="0" w:line="225" w:lineRule="exact"/>
        <w:rPr>
          <w:sz w:val="24"/>
          <w:szCs w:val="24"/>
          <w:color w:val="auto"/>
        </w:rPr>
      </w:pPr>
    </w:p>
    <w:p>
      <w:pPr>
        <w:jc w:val="both"/>
        <w:ind w:right="200"/>
        <w:spacing w:after="0" w:line="306" w:lineRule="auto"/>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4"/>
          <w:szCs w:val="14"/>
          <w:b w:val="1"/>
          <w:bCs w:val="1"/>
          <w:color w:val="auto"/>
        </w:rPr>
        <w:t>o</w:t>
      </w:r>
    </w:p>
    <w:p>
      <w:pPr>
        <w:spacing w:after="0" w:line="36" w:lineRule="exact"/>
        <w:rPr>
          <w:sz w:val="24"/>
          <w:szCs w:val="24"/>
          <w:color w:val="auto"/>
        </w:rPr>
      </w:pPr>
    </w:p>
    <w:p>
      <w:pPr>
        <w:ind w:right="260"/>
        <w:spacing w:after="0" w:line="188"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59" w:lineRule="exact"/>
        <w:rPr>
          <w:sz w:val="24"/>
          <w:szCs w:val="24"/>
          <w:color w:val="auto"/>
        </w:rPr>
      </w:pPr>
    </w:p>
    <w:p>
      <w:pPr>
        <w:ind w:right="340"/>
        <w:spacing w:after="0" w:line="188" w:lineRule="exact"/>
        <w:rPr>
          <w:sz w:val="20"/>
          <w:szCs w:val="20"/>
          <w:color w:val="auto"/>
        </w:rPr>
      </w:pPr>
      <w:r>
        <w:rPr>
          <w:rFonts w:ascii="Times New Roman" w:cs="Times New Roman" w:eastAsia="Times New Roman" w:hAnsi="Times New Roman"/>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4"/>
          <w:szCs w:val="14"/>
          <w:color w:val="auto"/>
        </w:rPr>
        <w:t>☐</w:t>
      </w:r>
    </w:p>
    <w:p>
      <w:pPr>
        <w:spacing w:after="0" w:line="46" w:lineRule="exact"/>
        <w:rPr>
          <w:sz w:val="24"/>
          <w:szCs w:val="24"/>
          <w:color w:val="auto"/>
        </w:rPr>
      </w:pPr>
    </w:p>
    <w:p>
      <w:pPr>
        <w:ind w:right="20"/>
        <w:spacing w:after="0" w:line="188" w:lineRule="exact"/>
        <w:rPr>
          <w:sz w:val="20"/>
          <w:szCs w:val="20"/>
          <w:color w:val="auto"/>
        </w:rPr>
      </w:pPr>
      <w:r>
        <w:rPr>
          <w:rFonts w:ascii="Times New Roman" w:cs="Times New Roman" w:eastAsia="Times New Roman" w:hAnsi="Times New Roman"/>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4"/>
          <w:szCs w:val="14"/>
          <w:color w:val="auto"/>
        </w:rPr>
        <w:t>☐</w:t>
      </w:r>
    </w:p>
    <w:p>
      <w:pPr>
        <w:spacing w:after="0" w:line="11"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w:t>
      </w:r>
      <w:r>
        <w:rPr>
          <w:rFonts w:ascii="MS PGothic" w:cs="MS PGothic" w:eastAsia="MS PGothic" w:hAnsi="MS PGothic"/>
          <w:sz w:val="17"/>
          <w:szCs w:val="17"/>
          <w:color w:val="auto"/>
        </w:rPr>
        <w:t>☐</w:t>
      </w:r>
      <w:r>
        <w:rPr>
          <w:rFonts w:ascii="Times New Roman" w:cs="Times New Roman" w:eastAsia="Times New Roman" w:hAnsi="Times New Roman"/>
          <w:sz w:val="14"/>
          <w:szCs w:val="14"/>
          <w:color w:val="auto"/>
        </w:rPr>
        <w:t xml:space="preserve">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w:t>
      </w:r>
    </w:p>
    <w:p>
      <w:pPr>
        <w:spacing w:after="0" w:line="141" w:lineRule="exact"/>
        <w:rPr>
          <w:sz w:val="24"/>
          <w:szCs w:val="24"/>
          <w:color w:val="auto"/>
        </w:rPr>
      </w:pPr>
    </w:p>
    <w:p>
      <w:pPr>
        <w:jc w:val="both"/>
        <w:ind w:right="200"/>
        <w:spacing w:after="0" w:line="270" w:lineRule="auto"/>
        <w:rPr>
          <w:sz w:val="20"/>
          <w:szCs w:val="20"/>
          <w:color w:val="auto"/>
        </w:rPr>
      </w:pPr>
      <w:r>
        <w:rPr>
          <w:rFonts w:ascii="Times New Roman" w:cs="Times New Roman" w:eastAsia="Times New Roman" w:hAnsi="Times New Roman"/>
          <w:sz w:val="14"/>
          <w:szCs w:val="14"/>
          <w:color w:val="auto"/>
        </w:rPr>
        <w:t>The aggregate market value of the registrant’s common stock held by non-affiliates of the registrant (based on the closing price of the registrant’s common stock as reported on the Nasdaq Global Select Market on March 29, 2024, the last business day of the registrant’s most recently completed second fiscal quarter) was approximately $17.3 billion. The number of outstanding shares of the registrant’s common stock, par value $0.25 per share, as of November 7, 2024, was 159,920,649.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598805</wp:posOffset>
            </wp:positionV>
            <wp:extent cx="7161530"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40"/>
          </w:cols>
          <w:pgMar w:left="320" w:top="231" w:right="4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180"/>
        <w:spacing w:after="0" w:line="389" w:lineRule="auto"/>
        <w:rPr>
          <w:sz w:val="20"/>
          <w:szCs w:val="20"/>
          <w:color w:val="auto"/>
        </w:rPr>
      </w:pPr>
      <w:r>
        <w:rPr>
          <w:rFonts w:ascii="Times New Roman" w:cs="Times New Roman" w:eastAsia="Times New Roman" w:hAnsi="Times New Roman"/>
          <w:sz w:val="18"/>
          <w:szCs w:val="18"/>
          <w:color w:val="auto"/>
        </w:rPr>
        <w:t>Part of Form 10-K Part III</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400" w:lineRule="exact"/>
        <w:rPr>
          <w:sz w:val="20"/>
          <w:szCs w:val="20"/>
          <w:color w:val="auto"/>
        </w:rPr>
      </w:pPr>
    </w:p>
    <w:p>
      <w:pPr>
        <w:ind w:left="2060"/>
        <w:spacing w:after="0"/>
        <w:rPr>
          <w:sz w:val="20"/>
          <w:szCs w:val="20"/>
          <w:color w:val="auto"/>
        </w:rPr>
      </w:pPr>
      <w:r>
        <w:rPr>
          <w:rFonts w:ascii="Times New Roman" w:cs="Times New Roman" w:eastAsia="Times New Roman" w:hAnsi="Times New Roman"/>
          <w:sz w:val="14"/>
          <w:szCs w:val="14"/>
          <w:b w:val="1"/>
          <w:bCs w:val="1"/>
          <w:color w:val="auto"/>
        </w:rPr>
        <w:t>DOCUMENTS INCORPORATED BY REFERENCE</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Documents from which portions are incorporated by reference</w:t>
      </w:r>
    </w:p>
    <w:p>
      <w:pPr>
        <w:spacing w:after="0" w:line="21"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8"/>
          <w:szCs w:val="18"/>
          <w:color w:val="auto"/>
        </w:rPr>
        <w:t>Portions of the Registrant’s Proxy Statement relating to the Registrant’s 2025 Annual Meeting of Stockholders (to be filed) are incorporated by reference into Items 10, 11, 12, 13, and 14 of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-1253490</wp:posOffset>
            </wp:positionH>
            <wp:positionV relativeFrom="paragraph">
              <wp:posOffset>67310</wp:posOffset>
            </wp:positionV>
            <wp:extent cx="7161530"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2">
            <w:col w:w="1480" w:space="480"/>
            <w:col w:w="8860"/>
          </w:cols>
          <w:pgMar w:left="320" w:top="126" w:right="7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0"/>
        </w:trPr>
        <w:tc>
          <w:tcPr>
            <w:tcW w:w="4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960" w:type="dxa"/>
            <w:vAlign w:val="bottom"/>
            <w:gridSpan w:val="10"/>
          </w:tcPr>
          <w:p>
            <w:pPr>
              <w:jc w:val="center"/>
              <w:ind w:right="3220"/>
              <w:spacing w:after="0"/>
              <w:rPr>
                <w:sz w:val="20"/>
                <w:szCs w:val="20"/>
                <w:color w:val="auto"/>
              </w:rPr>
            </w:pPr>
            <w:r>
              <w:rPr>
                <w:rFonts w:ascii="Times New Roman" w:cs="Times New Roman" w:eastAsia="Times New Roman" w:hAnsi="Times New Roman"/>
                <w:sz w:val="18"/>
                <w:szCs w:val="18"/>
                <w:b w:val="1"/>
                <w:bCs w:val="1"/>
                <w:color w:val="auto"/>
                <w:w w:val="96"/>
              </w:rPr>
              <w:t>SKYWORKS SOLUTIONS, INC.</w:t>
            </w: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6"/>
        </w:trPr>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60" w:type="dxa"/>
            <w:vAlign w:val="bottom"/>
            <w:gridSpan w:val="11"/>
          </w:tcPr>
          <w:p>
            <w:pPr>
              <w:jc w:val="center"/>
              <w:ind w:right="3120"/>
              <w:spacing w:after="0"/>
              <w:rPr>
                <w:sz w:val="20"/>
                <w:szCs w:val="20"/>
                <w:color w:val="auto"/>
              </w:rPr>
            </w:pPr>
            <w:r>
              <w:rPr>
                <w:rFonts w:ascii="Times New Roman" w:cs="Times New Roman" w:eastAsia="Times New Roman" w:hAnsi="Times New Roman"/>
                <w:sz w:val="18"/>
                <w:szCs w:val="18"/>
                <w:b w:val="1"/>
                <w:bCs w:val="1"/>
                <w:color w:val="auto"/>
                <w:w w:val="97"/>
              </w:rPr>
              <w:t>ANNUAL REPORT ON FORM 10-K</w:t>
            </w: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0" w:type="dxa"/>
            <w:vAlign w:val="bottom"/>
            <w:gridSpan w:val="12"/>
          </w:tcPr>
          <w:p>
            <w:pPr>
              <w:jc w:val="center"/>
              <w:ind w:right="2200"/>
              <w:spacing w:after="0"/>
              <w:rPr>
                <w:sz w:val="20"/>
                <w:szCs w:val="20"/>
                <w:color w:val="auto"/>
              </w:rPr>
            </w:pPr>
            <w:r>
              <w:rPr>
                <w:rFonts w:ascii="Times New Roman" w:cs="Times New Roman" w:eastAsia="Times New Roman" w:hAnsi="Times New Roman"/>
                <w:sz w:val="18"/>
                <w:szCs w:val="18"/>
                <w:b w:val="1"/>
                <w:bCs w:val="1"/>
                <w:color w:val="auto"/>
                <w:w w:val="97"/>
              </w:rPr>
              <w:t>FOR THE YEAR ENDED SEPTEMBER 27, 2024</w:t>
            </w: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6"/>
        </w:trPr>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960" w:type="dxa"/>
            <w:vAlign w:val="bottom"/>
            <w:gridSpan w:val="10"/>
          </w:tcPr>
          <w:p>
            <w:pPr>
              <w:jc w:val="center"/>
              <w:ind w:right="3240"/>
              <w:spacing w:after="0"/>
              <w:rPr>
                <w:sz w:val="20"/>
                <w:szCs w:val="20"/>
                <w:color w:val="auto"/>
              </w:rPr>
            </w:pPr>
            <w:r>
              <w:rPr>
                <w:rFonts w:ascii="Times New Roman" w:cs="Times New Roman" w:eastAsia="Times New Roman" w:hAnsi="Times New Roman"/>
                <w:sz w:val="18"/>
                <w:szCs w:val="18"/>
                <w:b w:val="1"/>
                <w:bCs w:val="1"/>
                <w:color w:val="auto"/>
                <w:w w:val="96"/>
              </w:rPr>
              <w:t>TABLE OF CONTENTS</w:t>
            </w: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Borders>
              <w:bottom w:val="single" w:sz="8" w:color="auto"/>
            </w:tcBorders>
            <w:gridSpan w:val="4"/>
          </w:tcPr>
          <w:p>
            <w:pPr>
              <w:jc w:val="right"/>
              <w:ind w:right="160"/>
              <w:spacing w:after="0"/>
              <w:rPr>
                <w:sz w:val="20"/>
                <w:szCs w:val="20"/>
                <w:color w:val="auto"/>
              </w:rPr>
            </w:pPr>
            <w:r>
              <w:rPr>
                <w:rFonts w:ascii="Times New Roman" w:cs="Times New Roman" w:eastAsia="Times New Roman" w:hAnsi="Times New Roman"/>
                <w:sz w:val="16"/>
                <w:szCs w:val="16"/>
                <w:color w:val="auto"/>
              </w:rPr>
              <w:t>PAGE NO.</w:t>
            </w:r>
          </w:p>
        </w:tc>
        <w:tc>
          <w:tcPr>
            <w:tcW w:w="0" w:type="dxa"/>
            <w:vAlign w:val="bottom"/>
          </w:tcPr>
          <w:p>
            <w:pPr>
              <w:spacing w:after="0"/>
              <w:rPr>
                <w:sz w:val="1"/>
                <w:szCs w:val="1"/>
                <w:color w:val="auto"/>
              </w:rPr>
            </w:pPr>
          </w:p>
        </w:tc>
      </w:tr>
      <w:tr>
        <w:trPr>
          <w:trHeight w:val="155"/>
        </w:trPr>
        <w:tc>
          <w:tcPr>
            <w:tcW w:w="480" w:type="dxa"/>
            <w:vAlign w:val="bottom"/>
            <w:tcBorders>
              <w:bottom w:val="single" w:sz="8" w:color="0000FF"/>
            </w:tcBorders>
          </w:tcPr>
          <w:p>
            <w:pPr>
              <w:spacing w:after="0" w:line="155" w:lineRule="exact"/>
              <w:rPr>
                <w:sz w:val="20"/>
                <w:szCs w:val="20"/>
                <w:color w:val="auto"/>
              </w:rPr>
            </w:pPr>
            <w:r>
              <w:rPr>
                <w:rFonts w:ascii="Times New Roman" w:cs="Times New Roman" w:eastAsia="Times New Roman" w:hAnsi="Times New Roman"/>
                <w:sz w:val="16"/>
                <w:szCs w:val="16"/>
                <w:color w:val="0000FF"/>
                <w:w w:val="91"/>
              </w:rPr>
              <w:t>PART I</w:t>
            </w:r>
          </w:p>
        </w:tc>
        <w:tc>
          <w:tcPr>
            <w:tcW w:w="9720" w:type="dxa"/>
            <w:vAlign w:val="bottom"/>
            <w:gridSpan w:val="26"/>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5"/>
        </w:trPr>
        <w:tc>
          <w:tcPr>
            <w:tcW w:w="1380" w:type="dxa"/>
            <w:vAlign w:val="bottom"/>
            <w:gridSpan w:val="5"/>
          </w:tcPr>
          <w:p>
            <w:pPr>
              <w:spacing w:after="0"/>
              <w:rPr>
                <w:sz w:val="20"/>
                <w:szCs w:val="20"/>
                <w:color w:val="auto"/>
              </w:rPr>
            </w:pPr>
            <w:r>
              <w:rPr>
                <w:rFonts w:ascii="Times New Roman" w:cs="Times New Roman" w:eastAsia="Times New Roman" w:hAnsi="Times New Roman"/>
                <w:sz w:val="16"/>
                <w:szCs w:val="16"/>
                <w:color w:val="0000FF"/>
                <w:w w:val="97"/>
              </w:rPr>
              <w:t>ITEM 1: BUSINESS.</w:t>
            </w:r>
          </w:p>
        </w:tc>
        <w:tc>
          <w:tcPr>
            <w:tcW w:w="8820" w:type="dxa"/>
            <w:vAlign w:val="bottom"/>
            <w:gridSpan w:val="22"/>
          </w:tcPr>
          <w:p>
            <w:pPr>
              <w:spacing w:after="0"/>
              <w:rPr>
                <w:sz w:val="24"/>
                <w:szCs w:val="24"/>
                <w:color w:val="auto"/>
              </w:rPr>
            </w:pPr>
          </w:p>
        </w:tc>
        <w:tc>
          <w:tcPr>
            <w:tcW w:w="920" w:type="dxa"/>
            <w:vAlign w:val="bottom"/>
            <w:gridSpan w:val="2"/>
          </w:tcPr>
          <w:p>
            <w:pPr>
              <w:spacing w:after="0"/>
              <w:rPr>
                <w:sz w:val="24"/>
                <w:szCs w:val="24"/>
                <w:color w:val="auto"/>
              </w:rPr>
            </w:pPr>
          </w:p>
        </w:tc>
        <w:tc>
          <w:tcPr>
            <w:tcW w:w="1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0000FF"/>
                <w:w w:val="74"/>
              </w:rPr>
              <w:t>6</w:t>
            </w:r>
          </w:p>
        </w:tc>
        <w:tc>
          <w:tcPr>
            <w:tcW w:w="0" w:type="dxa"/>
            <w:vAlign w:val="bottom"/>
          </w:tcPr>
          <w:p>
            <w:pPr>
              <w:spacing w:after="0"/>
              <w:rPr>
                <w:sz w:val="1"/>
                <w:szCs w:val="1"/>
                <w:color w:val="auto"/>
              </w:rPr>
            </w:pPr>
          </w:p>
        </w:tc>
      </w:tr>
      <w:tr>
        <w:trPr>
          <w:trHeight w:val="20"/>
        </w:trPr>
        <w:tc>
          <w:tcPr>
            <w:tcW w:w="52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5"/>
        </w:trPr>
        <w:tc>
          <w:tcPr>
            <w:tcW w:w="1840" w:type="dxa"/>
            <w:vAlign w:val="bottom"/>
            <w:gridSpan w:val="8"/>
          </w:tcPr>
          <w:p>
            <w:pPr>
              <w:spacing w:after="0"/>
              <w:rPr>
                <w:sz w:val="20"/>
                <w:szCs w:val="20"/>
                <w:color w:val="auto"/>
              </w:rPr>
            </w:pPr>
            <w:r>
              <w:rPr>
                <w:rFonts w:ascii="Times New Roman" w:cs="Times New Roman" w:eastAsia="Times New Roman" w:hAnsi="Times New Roman"/>
                <w:sz w:val="16"/>
                <w:szCs w:val="16"/>
                <w:color w:val="0000FF"/>
                <w:w w:val="97"/>
              </w:rPr>
              <w:t>ITEM 1A: RISK FACTORS.</w:t>
            </w:r>
          </w:p>
        </w:tc>
        <w:tc>
          <w:tcPr>
            <w:tcW w:w="8360" w:type="dxa"/>
            <w:vAlign w:val="bottom"/>
            <w:gridSpan w:val="19"/>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0000FF"/>
                <w:w w:val="87"/>
              </w:rPr>
              <w:t>12</w:t>
            </w:r>
          </w:p>
        </w:tc>
        <w:tc>
          <w:tcPr>
            <w:tcW w:w="0" w:type="dxa"/>
            <w:vAlign w:val="bottom"/>
          </w:tcPr>
          <w:p>
            <w:pPr>
              <w:spacing w:after="0"/>
              <w:rPr>
                <w:sz w:val="1"/>
                <w:szCs w:val="1"/>
                <w:color w:val="auto"/>
              </w:rPr>
            </w:pPr>
          </w:p>
        </w:tc>
      </w:tr>
      <w:tr>
        <w:trPr>
          <w:trHeight w:val="20"/>
        </w:trPr>
        <w:tc>
          <w:tcPr>
            <w:tcW w:w="52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5"/>
        </w:trPr>
        <w:tc>
          <w:tcPr>
            <w:tcW w:w="10200" w:type="dxa"/>
            <w:vAlign w:val="bottom"/>
            <w:gridSpan w:val="27"/>
          </w:tcPr>
          <w:p>
            <w:pPr>
              <w:spacing w:after="0"/>
              <w:rPr>
                <w:sz w:val="20"/>
                <w:szCs w:val="20"/>
                <w:color w:val="auto"/>
              </w:rPr>
            </w:pPr>
            <w:r>
              <w:rPr>
                <w:rFonts w:ascii="Times New Roman" w:cs="Times New Roman" w:eastAsia="Times New Roman" w:hAnsi="Times New Roman"/>
                <w:sz w:val="16"/>
                <w:szCs w:val="16"/>
                <w:color w:val="0000FF"/>
              </w:rPr>
              <w:t>ITEM 1B: UNRESOLVED STAFF COMMENTS.</w:t>
            </w:r>
          </w:p>
        </w:tc>
        <w:tc>
          <w:tcPr>
            <w:tcW w:w="1020" w:type="dxa"/>
            <w:vAlign w:val="bottom"/>
            <w:gridSpan w:val="4"/>
          </w:tcPr>
          <w:p>
            <w:pPr>
              <w:jc w:val="right"/>
              <w:ind w:right="20"/>
              <w:spacing w:after="0"/>
              <w:rPr>
                <w:sz w:val="20"/>
                <w:szCs w:val="20"/>
                <w:color w:val="auto"/>
              </w:rPr>
            </w:pPr>
            <w:r>
              <w:rPr>
                <w:rFonts w:ascii="Times New Roman" w:cs="Times New Roman" w:eastAsia="Times New Roman" w:hAnsi="Times New Roman"/>
                <w:sz w:val="16"/>
                <w:szCs w:val="16"/>
                <w:color w:val="0000FF"/>
              </w:rPr>
              <w:t>27</w:t>
            </w:r>
          </w:p>
        </w:tc>
        <w:tc>
          <w:tcPr>
            <w:tcW w:w="0" w:type="dxa"/>
            <w:vAlign w:val="bottom"/>
          </w:tcPr>
          <w:p>
            <w:pPr>
              <w:spacing w:after="0"/>
              <w:rPr>
                <w:sz w:val="1"/>
                <w:szCs w:val="1"/>
                <w:color w:val="auto"/>
              </w:rPr>
            </w:pPr>
          </w:p>
        </w:tc>
      </w:tr>
      <w:tr>
        <w:trPr>
          <w:trHeight w:val="20"/>
        </w:trPr>
        <w:tc>
          <w:tcPr>
            <w:tcW w:w="52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5"/>
        </w:trPr>
        <w:tc>
          <w:tcPr>
            <w:tcW w:w="3200" w:type="dxa"/>
            <w:vAlign w:val="bottom"/>
            <w:gridSpan w:val="15"/>
          </w:tcPr>
          <w:p>
            <w:pPr>
              <w:spacing w:after="0"/>
              <w:rPr>
                <w:sz w:val="20"/>
                <w:szCs w:val="20"/>
                <w:color w:val="auto"/>
              </w:rPr>
            </w:pPr>
            <w:r>
              <w:rPr>
                <w:rFonts w:ascii="Times New Roman" w:cs="Times New Roman" w:eastAsia="Times New Roman" w:hAnsi="Times New Roman"/>
                <w:sz w:val="16"/>
                <w:szCs w:val="16"/>
                <w:color w:val="0000FF"/>
              </w:rPr>
              <w:t>ITEM 1C: CYBERSECURITY.</w:t>
            </w:r>
          </w:p>
        </w:tc>
        <w:tc>
          <w:tcPr>
            <w:tcW w:w="7000" w:type="dxa"/>
            <w:vAlign w:val="bottom"/>
            <w:gridSpan w:val="12"/>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0000FF"/>
                <w:w w:val="87"/>
              </w:rPr>
              <w:t>27</w:t>
            </w:r>
          </w:p>
        </w:tc>
        <w:tc>
          <w:tcPr>
            <w:tcW w:w="0" w:type="dxa"/>
            <w:vAlign w:val="bottom"/>
          </w:tcPr>
          <w:p>
            <w:pPr>
              <w:spacing w:after="0"/>
              <w:rPr>
                <w:sz w:val="1"/>
                <w:szCs w:val="1"/>
                <w:color w:val="auto"/>
              </w:rPr>
            </w:pPr>
          </w:p>
        </w:tc>
      </w:tr>
      <w:tr>
        <w:trPr>
          <w:trHeight w:val="20"/>
        </w:trPr>
        <w:tc>
          <w:tcPr>
            <w:tcW w:w="52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5"/>
        </w:trPr>
        <w:tc>
          <w:tcPr>
            <w:tcW w:w="2000" w:type="dxa"/>
            <w:vAlign w:val="bottom"/>
            <w:gridSpan w:val="9"/>
          </w:tcPr>
          <w:p>
            <w:pPr>
              <w:spacing w:after="0"/>
              <w:rPr>
                <w:sz w:val="20"/>
                <w:szCs w:val="20"/>
                <w:color w:val="auto"/>
              </w:rPr>
            </w:pPr>
            <w:r>
              <w:rPr>
                <w:rFonts w:ascii="Times New Roman" w:cs="Times New Roman" w:eastAsia="Times New Roman" w:hAnsi="Times New Roman"/>
                <w:sz w:val="16"/>
                <w:szCs w:val="16"/>
                <w:color w:val="0000FF"/>
              </w:rPr>
              <w:t>ITEM 2: PROPERTIES.</w:t>
            </w:r>
          </w:p>
        </w:tc>
        <w:tc>
          <w:tcPr>
            <w:tcW w:w="8200" w:type="dxa"/>
            <w:vAlign w:val="bottom"/>
            <w:gridSpan w:val="18"/>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0000FF"/>
                <w:w w:val="87"/>
              </w:rPr>
              <w:t>28</w:t>
            </w:r>
          </w:p>
        </w:tc>
        <w:tc>
          <w:tcPr>
            <w:tcW w:w="0" w:type="dxa"/>
            <w:vAlign w:val="bottom"/>
          </w:tcPr>
          <w:p>
            <w:pPr>
              <w:spacing w:after="0"/>
              <w:rPr>
                <w:sz w:val="1"/>
                <w:szCs w:val="1"/>
                <w:color w:val="auto"/>
              </w:rPr>
            </w:pPr>
          </w:p>
        </w:tc>
      </w:tr>
      <w:tr>
        <w:trPr>
          <w:trHeight w:val="20"/>
        </w:trPr>
        <w:tc>
          <w:tcPr>
            <w:tcW w:w="52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5"/>
        </w:trPr>
        <w:tc>
          <w:tcPr>
            <w:tcW w:w="10200" w:type="dxa"/>
            <w:vAlign w:val="bottom"/>
            <w:gridSpan w:val="27"/>
          </w:tcPr>
          <w:p>
            <w:pPr>
              <w:spacing w:after="0"/>
              <w:rPr>
                <w:sz w:val="20"/>
                <w:szCs w:val="20"/>
                <w:color w:val="auto"/>
              </w:rPr>
            </w:pPr>
            <w:r>
              <w:rPr>
                <w:rFonts w:ascii="Times New Roman" w:cs="Times New Roman" w:eastAsia="Times New Roman" w:hAnsi="Times New Roman"/>
                <w:sz w:val="16"/>
                <w:szCs w:val="16"/>
                <w:color w:val="0000FF"/>
              </w:rPr>
              <w:t>ITEM 3: LEGAL PROCEEDINGS.</w:t>
            </w:r>
          </w:p>
        </w:tc>
        <w:tc>
          <w:tcPr>
            <w:tcW w:w="1020" w:type="dxa"/>
            <w:vAlign w:val="bottom"/>
            <w:gridSpan w:val="4"/>
          </w:tcPr>
          <w:p>
            <w:pPr>
              <w:jc w:val="right"/>
              <w:ind w:right="20"/>
              <w:spacing w:after="0"/>
              <w:rPr>
                <w:sz w:val="20"/>
                <w:szCs w:val="20"/>
                <w:color w:val="auto"/>
              </w:rPr>
            </w:pPr>
            <w:r>
              <w:rPr>
                <w:rFonts w:ascii="Times New Roman" w:cs="Times New Roman" w:eastAsia="Times New Roman" w:hAnsi="Times New Roman"/>
                <w:sz w:val="16"/>
                <w:szCs w:val="16"/>
                <w:color w:val="0000FF"/>
              </w:rPr>
              <w:t>28</w:t>
            </w:r>
          </w:p>
        </w:tc>
        <w:tc>
          <w:tcPr>
            <w:tcW w:w="0" w:type="dxa"/>
            <w:vAlign w:val="bottom"/>
          </w:tcPr>
          <w:p>
            <w:pPr>
              <w:spacing w:after="0"/>
              <w:rPr>
                <w:sz w:val="1"/>
                <w:szCs w:val="1"/>
                <w:color w:val="auto"/>
              </w:rPr>
            </w:pPr>
          </w:p>
        </w:tc>
      </w:tr>
      <w:tr>
        <w:trPr>
          <w:trHeight w:val="20"/>
        </w:trPr>
        <w:tc>
          <w:tcPr>
            <w:tcW w:w="52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840" w:type="dxa"/>
            <w:vAlign w:val="bottom"/>
            <w:gridSpan w:val="4"/>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5"/>
        </w:trPr>
        <w:tc>
          <w:tcPr>
            <w:tcW w:w="10200" w:type="dxa"/>
            <w:vAlign w:val="bottom"/>
            <w:gridSpan w:val="27"/>
          </w:tcPr>
          <w:p>
            <w:pPr>
              <w:spacing w:after="0"/>
              <w:rPr>
                <w:sz w:val="20"/>
                <w:szCs w:val="20"/>
                <w:color w:val="auto"/>
              </w:rPr>
            </w:pPr>
            <w:r>
              <w:rPr>
                <w:rFonts w:ascii="Times New Roman" w:cs="Times New Roman" w:eastAsia="Times New Roman" w:hAnsi="Times New Roman"/>
                <w:sz w:val="16"/>
                <w:szCs w:val="16"/>
                <w:color w:val="0000FF"/>
              </w:rPr>
              <w:t>ITEM 4: MINE SAFETY DISCLOSURES</w:t>
            </w:r>
            <w:r>
              <w:rPr>
                <w:rFonts w:ascii="Times New Roman" w:cs="Times New Roman" w:eastAsia="Times New Roman" w:hAnsi="Times New Roman"/>
                <w:sz w:val="16"/>
                <w:szCs w:val="16"/>
                <w:color w:val="000000"/>
              </w:rPr>
              <w:t>.</w:t>
            </w:r>
          </w:p>
        </w:tc>
        <w:tc>
          <w:tcPr>
            <w:tcW w:w="1020" w:type="dxa"/>
            <w:vAlign w:val="bottom"/>
            <w:gridSpan w:val="4"/>
          </w:tcPr>
          <w:p>
            <w:pPr>
              <w:jc w:val="right"/>
              <w:ind w:right="20"/>
              <w:spacing w:after="0"/>
              <w:rPr>
                <w:sz w:val="20"/>
                <w:szCs w:val="20"/>
                <w:color w:val="auto"/>
              </w:rPr>
            </w:pPr>
            <w:r>
              <w:rPr>
                <w:rFonts w:ascii="Times New Roman" w:cs="Times New Roman" w:eastAsia="Times New Roman" w:hAnsi="Times New Roman"/>
                <w:sz w:val="16"/>
                <w:szCs w:val="16"/>
                <w:color w:val="0000FF"/>
              </w:rPr>
              <w:t>28</w:t>
            </w:r>
          </w:p>
        </w:tc>
        <w:tc>
          <w:tcPr>
            <w:tcW w:w="0" w:type="dxa"/>
            <w:vAlign w:val="bottom"/>
          </w:tcPr>
          <w:p>
            <w:pPr>
              <w:spacing w:after="0"/>
              <w:rPr>
                <w:sz w:val="1"/>
                <w:szCs w:val="1"/>
                <w:color w:val="auto"/>
              </w:rPr>
            </w:pPr>
          </w:p>
        </w:tc>
      </w:tr>
      <w:tr>
        <w:trPr>
          <w:trHeight w:val="295"/>
        </w:trPr>
        <w:tc>
          <w:tcPr>
            <w:tcW w:w="2720" w:type="dxa"/>
            <w:vAlign w:val="bottom"/>
            <w:tcBorders>
              <w:top w:val="single" w:sz="8" w:color="0000FF"/>
            </w:tcBorders>
            <w:gridSpan w:val="12"/>
          </w:tcPr>
          <w:p>
            <w:pPr>
              <w:spacing w:after="0"/>
              <w:rPr>
                <w:sz w:val="20"/>
                <w:szCs w:val="20"/>
                <w:color w:val="auto"/>
              </w:rPr>
            </w:pPr>
            <w:r>
              <w:rPr>
                <w:rFonts w:ascii="Times New Roman" w:cs="Times New Roman" w:eastAsia="Times New Roman" w:hAnsi="Times New Roman"/>
                <w:sz w:val="16"/>
                <w:szCs w:val="16"/>
                <w:color w:val="0000FF"/>
              </w:rPr>
              <w:t>PART II</w:t>
            </w:r>
          </w:p>
        </w:tc>
        <w:tc>
          <w:tcPr>
            <w:tcW w:w="7480" w:type="dxa"/>
            <w:vAlign w:val="bottom"/>
            <w:gridSpan w:val="15"/>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2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960" w:type="dxa"/>
            <w:vAlign w:val="bottom"/>
            <w:gridSpan w:val="5"/>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5"/>
        </w:trPr>
        <w:tc>
          <w:tcPr>
            <w:tcW w:w="9680" w:type="dxa"/>
            <w:vAlign w:val="bottom"/>
            <w:tcBorders>
              <w:bottom w:val="single" w:sz="8" w:color="0000FF"/>
            </w:tcBorders>
            <w:gridSpan w:val="26"/>
          </w:tcPr>
          <w:p>
            <w:pPr>
              <w:spacing w:after="0"/>
              <w:rPr>
                <w:sz w:val="20"/>
                <w:szCs w:val="20"/>
                <w:color w:val="auto"/>
              </w:rPr>
            </w:pPr>
            <w:r>
              <w:rPr>
                <w:rFonts w:ascii="Times New Roman" w:cs="Times New Roman" w:eastAsia="Times New Roman" w:hAnsi="Times New Roman"/>
                <w:sz w:val="16"/>
                <w:szCs w:val="16"/>
                <w:color w:val="0000FF"/>
                <w:w w:val="97"/>
              </w:rPr>
              <w:t>ITEM 5: MARKET FOR REGISTRANT’S COMMON EQUITY, RELATED STOCKHOLDER MATTERS, AND ISSUER PURCHASES OF EQUITY</w:t>
            </w:r>
          </w:p>
        </w:tc>
        <w:tc>
          <w:tcPr>
            <w:tcW w:w="520" w:type="dxa"/>
            <w:vAlign w:val="bottom"/>
          </w:tcPr>
          <w:p>
            <w:pPr>
              <w:spacing w:after="0"/>
              <w:rPr>
                <w:sz w:val="24"/>
                <w:szCs w:val="24"/>
                <w:color w:val="auto"/>
              </w:rPr>
            </w:pPr>
          </w:p>
        </w:tc>
        <w:tc>
          <w:tcPr>
            <w:tcW w:w="1020" w:type="dxa"/>
            <w:vAlign w:val="bottom"/>
            <w:gridSpan w:val="4"/>
            <w:vMerge w:val="restart"/>
          </w:tcPr>
          <w:p>
            <w:pPr>
              <w:jc w:val="right"/>
              <w:ind w:right="20"/>
              <w:spacing w:after="0"/>
              <w:rPr>
                <w:sz w:val="20"/>
                <w:szCs w:val="20"/>
                <w:color w:val="auto"/>
              </w:rPr>
            </w:pPr>
            <w:r>
              <w:rPr>
                <w:rFonts w:ascii="Times New Roman" w:cs="Times New Roman" w:eastAsia="Times New Roman" w:hAnsi="Times New Roman"/>
                <w:sz w:val="16"/>
                <w:szCs w:val="16"/>
                <w:color w:val="0000FF"/>
              </w:rPr>
              <w:t>29</w:t>
            </w:r>
          </w:p>
        </w:tc>
        <w:tc>
          <w:tcPr>
            <w:tcW w:w="0" w:type="dxa"/>
            <w:vAlign w:val="bottom"/>
          </w:tcPr>
          <w:p>
            <w:pPr>
              <w:spacing w:after="0"/>
              <w:rPr>
                <w:sz w:val="1"/>
                <w:szCs w:val="1"/>
                <w:color w:val="auto"/>
              </w:rPr>
            </w:pPr>
          </w:p>
        </w:tc>
      </w:tr>
      <w:tr>
        <w:trPr>
          <w:trHeight w:val="59"/>
        </w:trPr>
        <w:tc>
          <w:tcPr>
            <w:tcW w:w="960" w:type="dxa"/>
            <w:vAlign w:val="bottom"/>
            <w:gridSpan w:val="4"/>
            <w:vMerge w:val="restart"/>
          </w:tcPr>
          <w:p>
            <w:pPr>
              <w:spacing w:after="0" w:line="138" w:lineRule="exact"/>
              <w:rPr>
                <w:sz w:val="20"/>
                <w:szCs w:val="20"/>
                <w:color w:val="auto"/>
              </w:rPr>
            </w:pPr>
            <w:r>
              <w:rPr>
                <w:rFonts w:ascii="Times New Roman" w:cs="Times New Roman" w:eastAsia="Times New Roman" w:hAnsi="Times New Roman"/>
                <w:sz w:val="15"/>
                <w:szCs w:val="15"/>
                <w:color w:val="0000FF"/>
              </w:rPr>
              <w:t>SECURITIES.</w:t>
            </w:r>
          </w:p>
        </w:tc>
        <w:tc>
          <w:tcPr>
            <w:tcW w:w="9240" w:type="dxa"/>
            <w:vAlign w:val="bottom"/>
            <w:gridSpan w:val="23"/>
            <w:vMerge w:val="restart"/>
          </w:tcPr>
          <w:p>
            <w:pPr>
              <w:spacing w:after="0"/>
              <w:rPr>
                <w:sz w:val="5"/>
                <w:szCs w:val="5"/>
                <w:color w:val="auto"/>
              </w:rPr>
            </w:pPr>
          </w:p>
        </w:tc>
        <w:tc>
          <w:tcPr>
            <w:tcW w:w="102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4"/>
        </w:trPr>
        <w:tc>
          <w:tcPr>
            <w:tcW w:w="960" w:type="dxa"/>
            <w:vAlign w:val="bottom"/>
            <w:tcBorders>
              <w:bottom w:val="single" w:sz="8" w:color="0000FF"/>
            </w:tcBorders>
            <w:gridSpan w:val="4"/>
            <w:vMerge w:val="continue"/>
          </w:tcPr>
          <w:p>
            <w:pPr>
              <w:spacing w:after="0"/>
              <w:rPr>
                <w:sz w:val="5"/>
                <w:szCs w:val="5"/>
                <w:color w:val="auto"/>
              </w:rPr>
            </w:pPr>
          </w:p>
        </w:tc>
        <w:tc>
          <w:tcPr>
            <w:tcW w:w="9240" w:type="dxa"/>
            <w:vAlign w:val="bottom"/>
            <w:gridSpan w:val="23"/>
            <w:vMerge w:val="continue"/>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Borders>
              <w:top w:val="single" w:sz="8" w:color="0000FF"/>
            </w:tcBorders>
          </w:tcPr>
          <w:p>
            <w:pPr>
              <w:spacing w:after="0"/>
              <w:rPr>
                <w:sz w:val="5"/>
                <w:szCs w:val="5"/>
                <w:color w:val="auto"/>
              </w:rPr>
            </w:pPr>
          </w:p>
        </w:tc>
        <w:tc>
          <w:tcPr>
            <w:tcW w:w="80" w:type="dxa"/>
            <w:vAlign w:val="bottom"/>
            <w:tcBorders>
              <w:top w:val="single" w:sz="8" w:color="0000FF"/>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95"/>
        </w:trPr>
        <w:tc>
          <w:tcPr>
            <w:tcW w:w="10200" w:type="dxa"/>
            <w:vAlign w:val="bottom"/>
            <w:gridSpan w:val="27"/>
          </w:tcPr>
          <w:p>
            <w:pPr>
              <w:spacing w:after="0"/>
              <w:rPr>
                <w:sz w:val="20"/>
                <w:szCs w:val="20"/>
                <w:color w:val="auto"/>
              </w:rPr>
            </w:pPr>
            <w:r>
              <w:rPr>
                <w:rFonts w:ascii="Times New Roman" w:cs="Times New Roman" w:eastAsia="Times New Roman" w:hAnsi="Times New Roman"/>
                <w:sz w:val="16"/>
                <w:szCs w:val="16"/>
                <w:color w:val="0000FF"/>
              </w:rPr>
              <w:t>ITEM 6: RESERVED.</w:t>
            </w:r>
          </w:p>
        </w:tc>
        <w:tc>
          <w:tcPr>
            <w:tcW w:w="1020" w:type="dxa"/>
            <w:vAlign w:val="bottom"/>
            <w:gridSpan w:val="4"/>
          </w:tcPr>
          <w:p>
            <w:pPr>
              <w:jc w:val="right"/>
              <w:ind w:right="20"/>
              <w:spacing w:after="0"/>
              <w:rPr>
                <w:sz w:val="20"/>
                <w:szCs w:val="20"/>
                <w:color w:val="auto"/>
              </w:rPr>
            </w:pPr>
            <w:r>
              <w:rPr>
                <w:rFonts w:ascii="Times New Roman" w:cs="Times New Roman" w:eastAsia="Times New Roman" w:hAnsi="Times New Roman"/>
                <w:sz w:val="16"/>
                <w:szCs w:val="16"/>
                <w:color w:val="0000FF"/>
              </w:rPr>
              <w:t>29</w:t>
            </w:r>
          </w:p>
        </w:tc>
        <w:tc>
          <w:tcPr>
            <w:tcW w:w="0" w:type="dxa"/>
            <w:vAlign w:val="bottom"/>
          </w:tcPr>
          <w:p>
            <w:pPr>
              <w:spacing w:after="0"/>
              <w:rPr>
                <w:sz w:val="1"/>
                <w:szCs w:val="1"/>
                <w:color w:val="auto"/>
              </w:rPr>
            </w:pPr>
          </w:p>
        </w:tc>
      </w:tr>
      <w:tr>
        <w:trPr>
          <w:trHeight w:val="20"/>
        </w:trPr>
        <w:tc>
          <w:tcPr>
            <w:tcW w:w="580" w:type="dxa"/>
            <w:vAlign w:val="bottom"/>
            <w:gridSpan w:val="3"/>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960" w:type="dxa"/>
            <w:vAlign w:val="bottom"/>
            <w:gridSpan w:val="5"/>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5"/>
        </w:trPr>
        <w:tc>
          <w:tcPr>
            <w:tcW w:w="8440" w:type="dxa"/>
            <w:vAlign w:val="bottom"/>
            <w:gridSpan w:val="23"/>
          </w:tcPr>
          <w:p>
            <w:pPr>
              <w:spacing w:after="0"/>
              <w:rPr>
                <w:sz w:val="20"/>
                <w:szCs w:val="20"/>
                <w:color w:val="auto"/>
              </w:rPr>
            </w:pPr>
            <w:r>
              <w:rPr>
                <w:rFonts w:ascii="Times New Roman" w:cs="Times New Roman" w:eastAsia="Times New Roman" w:hAnsi="Times New Roman"/>
                <w:sz w:val="16"/>
                <w:szCs w:val="16"/>
                <w:color w:val="0000FF"/>
                <w:w w:val="97"/>
              </w:rPr>
              <w:t>ITEM 7: MANAGEMENT’S DISCUSSION AND ANALYSIS OF FINANCIAL CONDITION AND RESULTS OF OPERATIONS.</w:t>
            </w:r>
          </w:p>
        </w:tc>
        <w:tc>
          <w:tcPr>
            <w:tcW w:w="1760" w:type="dxa"/>
            <w:vAlign w:val="bottom"/>
            <w:gridSpan w:val="4"/>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0000FF"/>
                <w:w w:val="87"/>
              </w:rPr>
              <w:t>30</w:t>
            </w:r>
          </w:p>
        </w:tc>
        <w:tc>
          <w:tcPr>
            <w:tcW w:w="0" w:type="dxa"/>
            <w:vAlign w:val="bottom"/>
          </w:tcPr>
          <w:p>
            <w:pPr>
              <w:spacing w:after="0"/>
              <w:rPr>
                <w:sz w:val="1"/>
                <w:szCs w:val="1"/>
                <w:color w:val="auto"/>
              </w:rPr>
            </w:pPr>
          </w:p>
        </w:tc>
      </w:tr>
      <w:tr>
        <w:trPr>
          <w:trHeight w:val="20"/>
        </w:trPr>
        <w:tc>
          <w:tcPr>
            <w:tcW w:w="580" w:type="dxa"/>
            <w:vAlign w:val="bottom"/>
            <w:gridSpan w:val="3"/>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1420" w:type="dxa"/>
            <w:vAlign w:val="bottom"/>
            <w:gridSpan w:val="7"/>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12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5"/>
        </w:trPr>
        <w:tc>
          <w:tcPr>
            <w:tcW w:w="6120" w:type="dxa"/>
            <w:vAlign w:val="bottom"/>
            <w:gridSpan w:val="20"/>
          </w:tcPr>
          <w:p>
            <w:pPr>
              <w:spacing w:after="0"/>
              <w:rPr>
                <w:sz w:val="20"/>
                <w:szCs w:val="20"/>
                <w:color w:val="auto"/>
              </w:rPr>
            </w:pPr>
            <w:r>
              <w:rPr>
                <w:rFonts w:ascii="Times New Roman" w:cs="Times New Roman" w:eastAsia="Times New Roman" w:hAnsi="Times New Roman"/>
                <w:sz w:val="16"/>
                <w:szCs w:val="16"/>
                <w:color w:val="0000FF"/>
                <w:w w:val="97"/>
              </w:rPr>
              <w:t>ITEM 7A: QUANTITATIVE AND QUALITATIVE DISCLOSURES ABOUT MARKET RISK.</w:t>
            </w:r>
          </w:p>
        </w:tc>
        <w:tc>
          <w:tcPr>
            <w:tcW w:w="2320" w:type="dxa"/>
            <w:vAlign w:val="bottom"/>
            <w:gridSpan w:val="3"/>
          </w:tcPr>
          <w:p>
            <w:pPr>
              <w:spacing w:after="0"/>
              <w:rPr>
                <w:sz w:val="24"/>
                <w:szCs w:val="24"/>
                <w:color w:val="auto"/>
              </w:rPr>
            </w:pPr>
          </w:p>
        </w:tc>
        <w:tc>
          <w:tcPr>
            <w:tcW w:w="1760" w:type="dxa"/>
            <w:vAlign w:val="bottom"/>
            <w:gridSpan w:val="4"/>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0000FF"/>
                <w:w w:val="87"/>
              </w:rPr>
              <w:t>35</w:t>
            </w:r>
          </w:p>
        </w:tc>
        <w:tc>
          <w:tcPr>
            <w:tcW w:w="0" w:type="dxa"/>
            <w:vAlign w:val="bottom"/>
          </w:tcPr>
          <w:p>
            <w:pPr>
              <w:spacing w:after="0"/>
              <w:rPr>
                <w:sz w:val="1"/>
                <w:szCs w:val="1"/>
                <w:color w:val="auto"/>
              </w:rPr>
            </w:pPr>
          </w:p>
        </w:tc>
      </w:tr>
      <w:tr>
        <w:trPr>
          <w:trHeight w:val="20"/>
        </w:trPr>
        <w:tc>
          <w:tcPr>
            <w:tcW w:w="580" w:type="dxa"/>
            <w:vAlign w:val="bottom"/>
            <w:gridSpan w:val="3"/>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1420" w:type="dxa"/>
            <w:vAlign w:val="bottom"/>
            <w:gridSpan w:val="7"/>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12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5"/>
        </w:trPr>
        <w:tc>
          <w:tcPr>
            <w:tcW w:w="6120" w:type="dxa"/>
            <w:vAlign w:val="bottom"/>
            <w:gridSpan w:val="20"/>
          </w:tcPr>
          <w:p>
            <w:pPr>
              <w:spacing w:after="0"/>
              <w:rPr>
                <w:sz w:val="20"/>
                <w:szCs w:val="20"/>
                <w:color w:val="auto"/>
              </w:rPr>
            </w:pPr>
            <w:r>
              <w:rPr>
                <w:rFonts w:ascii="Times New Roman" w:cs="Times New Roman" w:eastAsia="Times New Roman" w:hAnsi="Times New Roman"/>
                <w:sz w:val="16"/>
                <w:szCs w:val="16"/>
                <w:color w:val="0000FF"/>
              </w:rPr>
              <w:t>ITEM 8: FINANCIAL STATEMENTS AND SUPPLEMENTARY DATA.</w:t>
            </w:r>
          </w:p>
        </w:tc>
        <w:tc>
          <w:tcPr>
            <w:tcW w:w="4080" w:type="dxa"/>
            <w:vAlign w:val="bottom"/>
            <w:gridSpan w:val="7"/>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0000FF"/>
                <w:w w:val="87"/>
              </w:rPr>
              <w:t>37</w:t>
            </w:r>
          </w:p>
        </w:tc>
        <w:tc>
          <w:tcPr>
            <w:tcW w:w="0" w:type="dxa"/>
            <w:vAlign w:val="bottom"/>
          </w:tcPr>
          <w:p>
            <w:pPr>
              <w:spacing w:after="0"/>
              <w:rPr>
                <w:sz w:val="1"/>
                <w:szCs w:val="1"/>
                <w:color w:val="auto"/>
              </w:rPr>
            </w:pPr>
          </w:p>
        </w:tc>
      </w:tr>
      <w:tr>
        <w:trPr>
          <w:trHeight w:val="20"/>
        </w:trPr>
        <w:tc>
          <w:tcPr>
            <w:tcW w:w="580" w:type="dxa"/>
            <w:vAlign w:val="bottom"/>
            <w:gridSpan w:val="3"/>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1420" w:type="dxa"/>
            <w:vAlign w:val="bottom"/>
            <w:gridSpan w:val="7"/>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12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5"/>
        </w:trPr>
        <w:tc>
          <w:tcPr>
            <w:tcW w:w="10200" w:type="dxa"/>
            <w:vAlign w:val="bottom"/>
            <w:gridSpan w:val="27"/>
          </w:tcPr>
          <w:p>
            <w:pPr>
              <w:spacing w:after="0"/>
              <w:rPr>
                <w:sz w:val="20"/>
                <w:szCs w:val="20"/>
                <w:color w:val="auto"/>
              </w:rPr>
            </w:pPr>
            <w:r>
              <w:rPr>
                <w:rFonts w:ascii="Times New Roman" w:cs="Times New Roman" w:eastAsia="Times New Roman" w:hAnsi="Times New Roman"/>
                <w:sz w:val="16"/>
                <w:szCs w:val="16"/>
                <w:color w:val="0000FF"/>
              </w:rPr>
              <w:t>ITEM 9: CHANGES IN AND DISAGREEMENTS WITH ACCOUNTANTS ON ACCOUNTING AND FINANCIAL DISCLOSURE.</w:t>
            </w:r>
          </w:p>
        </w:tc>
        <w:tc>
          <w:tcPr>
            <w:tcW w:w="1020" w:type="dxa"/>
            <w:vAlign w:val="bottom"/>
            <w:gridSpan w:val="4"/>
          </w:tcPr>
          <w:p>
            <w:pPr>
              <w:jc w:val="right"/>
              <w:ind w:right="20"/>
              <w:spacing w:after="0"/>
              <w:rPr>
                <w:sz w:val="20"/>
                <w:szCs w:val="20"/>
                <w:color w:val="auto"/>
              </w:rPr>
            </w:pPr>
            <w:r>
              <w:rPr>
                <w:rFonts w:ascii="Times New Roman" w:cs="Times New Roman" w:eastAsia="Times New Roman" w:hAnsi="Times New Roman"/>
                <w:sz w:val="16"/>
                <w:szCs w:val="16"/>
                <w:color w:val="0000FF"/>
              </w:rPr>
              <w:t>64</w:t>
            </w:r>
          </w:p>
        </w:tc>
        <w:tc>
          <w:tcPr>
            <w:tcW w:w="0" w:type="dxa"/>
            <w:vAlign w:val="bottom"/>
          </w:tcPr>
          <w:p>
            <w:pPr>
              <w:spacing w:after="0"/>
              <w:rPr>
                <w:sz w:val="1"/>
                <w:szCs w:val="1"/>
                <w:color w:val="auto"/>
              </w:rPr>
            </w:pPr>
          </w:p>
        </w:tc>
      </w:tr>
      <w:tr>
        <w:trPr>
          <w:trHeight w:val="20"/>
        </w:trPr>
        <w:tc>
          <w:tcPr>
            <w:tcW w:w="580" w:type="dxa"/>
            <w:vAlign w:val="bottom"/>
            <w:gridSpan w:val="3"/>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1420" w:type="dxa"/>
            <w:vAlign w:val="bottom"/>
            <w:gridSpan w:val="7"/>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12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580" w:type="dxa"/>
            <w:vAlign w:val="bottom"/>
            <w:gridSpan w:val="2"/>
            <w:shd w:val="clear" w:color="auto" w:fill="0000FF"/>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140" w:type="dxa"/>
            <w:vAlign w:val="bottom"/>
            <w:gridSpan w:val="2"/>
            <w:shd w:val="clear" w:color="auto" w:fill="0000FF"/>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5"/>
        </w:trPr>
        <w:tc>
          <w:tcPr>
            <w:tcW w:w="3020" w:type="dxa"/>
            <w:vAlign w:val="bottom"/>
            <w:gridSpan w:val="14"/>
          </w:tcPr>
          <w:p>
            <w:pPr>
              <w:spacing w:after="0"/>
              <w:rPr>
                <w:sz w:val="20"/>
                <w:szCs w:val="20"/>
                <w:color w:val="auto"/>
              </w:rPr>
            </w:pPr>
            <w:r>
              <w:rPr>
                <w:rFonts w:ascii="Times New Roman" w:cs="Times New Roman" w:eastAsia="Times New Roman" w:hAnsi="Times New Roman"/>
                <w:sz w:val="16"/>
                <w:szCs w:val="16"/>
                <w:color w:val="0000FF"/>
                <w:w w:val="97"/>
              </w:rPr>
              <w:t>ITEM 9A: CONTROLS AND PROCEDURES.</w:t>
            </w:r>
          </w:p>
        </w:tc>
        <w:tc>
          <w:tcPr>
            <w:tcW w:w="5560" w:type="dxa"/>
            <w:vAlign w:val="bottom"/>
            <w:gridSpan w:val="10"/>
          </w:tcPr>
          <w:p>
            <w:pPr>
              <w:spacing w:after="0"/>
              <w:rPr>
                <w:sz w:val="24"/>
                <w:szCs w:val="24"/>
                <w:color w:val="auto"/>
              </w:rPr>
            </w:pPr>
          </w:p>
        </w:tc>
        <w:tc>
          <w:tcPr>
            <w:tcW w:w="1620" w:type="dxa"/>
            <w:vAlign w:val="bottom"/>
            <w:gridSpan w:val="3"/>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0000FF"/>
                <w:w w:val="87"/>
              </w:rPr>
              <w:t>64</w:t>
            </w:r>
          </w:p>
        </w:tc>
        <w:tc>
          <w:tcPr>
            <w:tcW w:w="0" w:type="dxa"/>
            <w:vAlign w:val="bottom"/>
          </w:tcPr>
          <w:p>
            <w:pPr>
              <w:spacing w:after="0"/>
              <w:rPr>
                <w:sz w:val="1"/>
                <w:szCs w:val="1"/>
                <w:color w:val="auto"/>
              </w:rPr>
            </w:pPr>
          </w:p>
        </w:tc>
      </w:tr>
      <w:tr>
        <w:trPr>
          <w:trHeight w:val="20"/>
        </w:trPr>
        <w:tc>
          <w:tcPr>
            <w:tcW w:w="580" w:type="dxa"/>
            <w:vAlign w:val="bottom"/>
            <w:gridSpan w:val="3"/>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1420" w:type="dxa"/>
            <w:vAlign w:val="bottom"/>
            <w:gridSpan w:val="7"/>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20" w:type="dxa"/>
            <w:vAlign w:val="bottom"/>
            <w:gridSpan w:val="3"/>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5"/>
        </w:trPr>
        <w:tc>
          <w:tcPr>
            <w:tcW w:w="3020" w:type="dxa"/>
            <w:vAlign w:val="bottom"/>
            <w:gridSpan w:val="14"/>
          </w:tcPr>
          <w:p>
            <w:pPr>
              <w:spacing w:after="0"/>
              <w:rPr>
                <w:sz w:val="20"/>
                <w:szCs w:val="20"/>
                <w:color w:val="auto"/>
              </w:rPr>
            </w:pPr>
            <w:r>
              <w:rPr>
                <w:rFonts w:ascii="Times New Roman" w:cs="Times New Roman" w:eastAsia="Times New Roman" w:hAnsi="Times New Roman"/>
                <w:sz w:val="16"/>
                <w:szCs w:val="16"/>
                <w:color w:val="0000FF"/>
              </w:rPr>
              <w:t>ITEM 9B: OTHER INFORMATION.</w:t>
            </w:r>
          </w:p>
        </w:tc>
        <w:tc>
          <w:tcPr>
            <w:tcW w:w="7180" w:type="dxa"/>
            <w:vAlign w:val="bottom"/>
            <w:gridSpan w:val="13"/>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0000FF"/>
                <w:w w:val="87"/>
              </w:rPr>
              <w:t>65</w:t>
            </w:r>
          </w:p>
        </w:tc>
        <w:tc>
          <w:tcPr>
            <w:tcW w:w="0" w:type="dxa"/>
            <w:vAlign w:val="bottom"/>
          </w:tcPr>
          <w:p>
            <w:pPr>
              <w:spacing w:after="0"/>
              <w:rPr>
                <w:sz w:val="1"/>
                <w:szCs w:val="1"/>
                <w:color w:val="auto"/>
              </w:rPr>
            </w:pPr>
          </w:p>
        </w:tc>
      </w:tr>
      <w:tr>
        <w:trPr>
          <w:trHeight w:val="20"/>
        </w:trPr>
        <w:tc>
          <w:tcPr>
            <w:tcW w:w="580" w:type="dxa"/>
            <w:vAlign w:val="bottom"/>
            <w:gridSpan w:val="3"/>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1420" w:type="dxa"/>
            <w:vAlign w:val="bottom"/>
            <w:gridSpan w:val="7"/>
            <w:shd w:val="clear" w:color="auto" w:fill="0000FF"/>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20" w:type="dxa"/>
            <w:vAlign w:val="bottom"/>
            <w:gridSpan w:val="3"/>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5"/>
        </w:trPr>
        <w:tc>
          <w:tcPr>
            <w:tcW w:w="10200" w:type="dxa"/>
            <w:vAlign w:val="bottom"/>
            <w:gridSpan w:val="27"/>
          </w:tcPr>
          <w:p>
            <w:pPr>
              <w:spacing w:after="0"/>
              <w:rPr>
                <w:sz w:val="20"/>
                <w:szCs w:val="20"/>
                <w:color w:val="auto"/>
              </w:rPr>
            </w:pPr>
            <w:r>
              <w:rPr>
                <w:rFonts w:ascii="Times New Roman" w:cs="Times New Roman" w:eastAsia="Times New Roman" w:hAnsi="Times New Roman"/>
                <w:sz w:val="16"/>
                <w:szCs w:val="16"/>
                <w:color w:val="0000FF"/>
              </w:rPr>
              <w:t>ITEM 9C: DISCLOSURE REGARDING FOREIGN JURISDICTIONS THAT PREVENT INSPECTIONS.</w:t>
            </w:r>
          </w:p>
        </w:tc>
        <w:tc>
          <w:tcPr>
            <w:tcW w:w="1020" w:type="dxa"/>
            <w:vAlign w:val="bottom"/>
            <w:gridSpan w:val="4"/>
          </w:tcPr>
          <w:p>
            <w:pPr>
              <w:jc w:val="right"/>
              <w:ind w:right="20"/>
              <w:spacing w:after="0"/>
              <w:rPr>
                <w:sz w:val="20"/>
                <w:szCs w:val="20"/>
                <w:color w:val="auto"/>
              </w:rPr>
            </w:pPr>
            <w:r>
              <w:rPr>
                <w:rFonts w:ascii="Times New Roman" w:cs="Times New Roman" w:eastAsia="Times New Roman" w:hAnsi="Times New Roman"/>
                <w:sz w:val="16"/>
                <w:szCs w:val="16"/>
                <w:color w:val="0000FF"/>
              </w:rPr>
              <w:t>65</w:t>
            </w:r>
          </w:p>
        </w:tc>
        <w:tc>
          <w:tcPr>
            <w:tcW w:w="0" w:type="dxa"/>
            <w:vAlign w:val="bottom"/>
          </w:tcPr>
          <w:p>
            <w:pPr>
              <w:spacing w:after="0"/>
              <w:rPr>
                <w:sz w:val="1"/>
                <w:szCs w:val="1"/>
                <w:color w:val="auto"/>
              </w:rPr>
            </w:pPr>
          </w:p>
        </w:tc>
      </w:tr>
      <w:tr>
        <w:trPr>
          <w:trHeight w:val="295"/>
        </w:trPr>
        <w:tc>
          <w:tcPr>
            <w:tcW w:w="58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6"/>
                <w:szCs w:val="16"/>
                <w:color w:val="0000FF"/>
                <w:w w:val="91"/>
              </w:rPr>
              <w:t>PART III</w:t>
            </w:r>
          </w:p>
        </w:tc>
        <w:tc>
          <w:tcPr>
            <w:tcW w:w="6240" w:type="dxa"/>
            <w:vAlign w:val="bottom"/>
            <w:tcBorders>
              <w:top w:val="single" w:sz="8" w:color="0000FF"/>
            </w:tcBorders>
            <w:gridSpan w:val="18"/>
          </w:tcPr>
          <w:p>
            <w:pPr>
              <w:spacing w:after="0"/>
              <w:rPr>
                <w:sz w:val="24"/>
                <w:szCs w:val="24"/>
                <w:color w:val="auto"/>
              </w:rPr>
            </w:pPr>
          </w:p>
        </w:tc>
        <w:tc>
          <w:tcPr>
            <w:tcW w:w="3380" w:type="dxa"/>
            <w:vAlign w:val="bottom"/>
            <w:gridSpan w:val="6"/>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5"/>
        </w:trPr>
        <w:tc>
          <w:tcPr>
            <w:tcW w:w="5820" w:type="dxa"/>
            <w:vAlign w:val="bottom"/>
            <w:gridSpan w:val="19"/>
          </w:tcPr>
          <w:p>
            <w:pPr>
              <w:spacing w:after="0"/>
              <w:rPr>
                <w:sz w:val="20"/>
                <w:szCs w:val="20"/>
                <w:color w:val="auto"/>
              </w:rPr>
            </w:pPr>
            <w:r>
              <w:rPr>
                <w:rFonts w:ascii="Times New Roman" w:cs="Times New Roman" w:eastAsia="Times New Roman" w:hAnsi="Times New Roman"/>
                <w:sz w:val="16"/>
                <w:szCs w:val="16"/>
                <w:color w:val="0000FF"/>
                <w:w w:val="97"/>
              </w:rPr>
              <w:t>ITEM 10: DIRECTORS, EXECUTIVE OFFICERS, AND CORPORATE GOVERNANCE.</w:t>
            </w:r>
          </w:p>
        </w:tc>
        <w:tc>
          <w:tcPr>
            <w:tcW w:w="4380" w:type="dxa"/>
            <w:vAlign w:val="bottom"/>
            <w:gridSpan w:val="8"/>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0000FF"/>
                <w:w w:val="87"/>
              </w:rPr>
              <w:t>66</w:t>
            </w:r>
          </w:p>
        </w:tc>
        <w:tc>
          <w:tcPr>
            <w:tcW w:w="0" w:type="dxa"/>
            <w:vAlign w:val="bottom"/>
          </w:tcPr>
          <w:p>
            <w:pPr>
              <w:spacing w:after="0"/>
              <w:rPr>
                <w:sz w:val="1"/>
                <w:szCs w:val="1"/>
                <w:color w:val="auto"/>
              </w:rPr>
            </w:pPr>
          </w:p>
        </w:tc>
      </w:tr>
      <w:tr>
        <w:trPr>
          <w:trHeight w:val="20"/>
        </w:trPr>
        <w:tc>
          <w:tcPr>
            <w:tcW w:w="580" w:type="dxa"/>
            <w:vAlign w:val="bottom"/>
            <w:gridSpan w:val="3"/>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1880" w:type="dxa"/>
            <w:vAlign w:val="bottom"/>
            <w:gridSpan w:val="9"/>
            <w:shd w:val="clear" w:color="auto" w:fill="0000FF"/>
          </w:tcPr>
          <w:p>
            <w:pPr>
              <w:spacing w:after="0" w:line="20" w:lineRule="exact"/>
              <w:rPr>
                <w:sz w:val="1"/>
                <w:szCs w:val="1"/>
                <w:color w:val="auto"/>
              </w:rPr>
            </w:pPr>
          </w:p>
        </w:tc>
        <w:tc>
          <w:tcPr>
            <w:tcW w:w="1300" w:type="dxa"/>
            <w:vAlign w:val="bottom"/>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580" w:type="dxa"/>
            <w:vAlign w:val="bottom"/>
            <w:gridSpan w:val="2"/>
            <w:shd w:val="clear" w:color="auto" w:fill="0000FF"/>
          </w:tcPr>
          <w:p>
            <w:pPr>
              <w:spacing w:after="0" w:line="20" w:lineRule="exact"/>
              <w:rPr>
                <w:sz w:val="1"/>
                <w:szCs w:val="1"/>
                <w:color w:val="auto"/>
              </w:rPr>
            </w:pPr>
          </w:p>
        </w:tc>
        <w:tc>
          <w:tcPr>
            <w:tcW w:w="1620" w:type="dxa"/>
            <w:vAlign w:val="bottom"/>
            <w:gridSpan w:val="3"/>
          </w:tcPr>
          <w:p>
            <w:pPr>
              <w:spacing w:after="0" w:line="20" w:lineRule="exact"/>
              <w:rPr>
                <w:sz w:val="1"/>
                <w:szCs w:val="1"/>
                <w:color w:val="auto"/>
              </w:rPr>
            </w:pPr>
          </w:p>
        </w:tc>
        <w:tc>
          <w:tcPr>
            <w:tcW w:w="2220" w:type="dxa"/>
            <w:vAlign w:val="bottom"/>
            <w:gridSpan w:val="3"/>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5"/>
        </w:trPr>
        <w:tc>
          <w:tcPr>
            <w:tcW w:w="5820" w:type="dxa"/>
            <w:vAlign w:val="bottom"/>
            <w:gridSpan w:val="19"/>
          </w:tcPr>
          <w:p>
            <w:pPr>
              <w:spacing w:after="0"/>
              <w:rPr>
                <w:sz w:val="20"/>
                <w:szCs w:val="20"/>
                <w:color w:val="auto"/>
              </w:rPr>
            </w:pPr>
            <w:r>
              <w:rPr>
                <w:rFonts w:ascii="Times New Roman" w:cs="Times New Roman" w:eastAsia="Times New Roman" w:hAnsi="Times New Roman"/>
                <w:sz w:val="16"/>
                <w:szCs w:val="16"/>
                <w:color w:val="0000FF"/>
              </w:rPr>
              <w:t>ITEM 11: EXECUTIVE COMPENSATION.</w:t>
            </w:r>
          </w:p>
        </w:tc>
        <w:tc>
          <w:tcPr>
            <w:tcW w:w="4380" w:type="dxa"/>
            <w:vAlign w:val="bottom"/>
            <w:gridSpan w:val="8"/>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0000FF"/>
                <w:w w:val="87"/>
              </w:rPr>
              <w:t>66</w:t>
            </w:r>
          </w:p>
        </w:tc>
        <w:tc>
          <w:tcPr>
            <w:tcW w:w="0" w:type="dxa"/>
            <w:vAlign w:val="bottom"/>
          </w:tcPr>
          <w:p>
            <w:pPr>
              <w:spacing w:after="0"/>
              <w:rPr>
                <w:sz w:val="1"/>
                <w:szCs w:val="1"/>
                <w:color w:val="auto"/>
              </w:rPr>
            </w:pPr>
          </w:p>
        </w:tc>
      </w:tr>
      <w:tr>
        <w:trPr>
          <w:trHeight w:val="20"/>
        </w:trPr>
        <w:tc>
          <w:tcPr>
            <w:tcW w:w="580" w:type="dxa"/>
            <w:vAlign w:val="bottom"/>
            <w:gridSpan w:val="3"/>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1880" w:type="dxa"/>
            <w:vAlign w:val="bottom"/>
            <w:gridSpan w:val="9"/>
            <w:shd w:val="clear" w:color="auto" w:fill="0000FF"/>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0" w:type="dxa"/>
            <w:vAlign w:val="bottom"/>
            <w:gridSpan w:val="5"/>
          </w:tcPr>
          <w:p>
            <w:pPr>
              <w:spacing w:after="0" w:line="20" w:lineRule="exact"/>
              <w:rPr>
                <w:sz w:val="1"/>
                <w:szCs w:val="1"/>
                <w:color w:val="auto"/>
              </w:rPr>
            </w:pPr>
          </w:p>
        </w:tc>
        <w:tc>
          <w:tcPr>
            <w:tcW w:w="2220" w:type="dxa"/>
            <w:vAlign w:val="bottom"/>
            <w:gridSpan w:val="3"/>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5"/>
        </w:trPr>
        <w:tc>
          <w:tcPr>
            <w:tcW w:w="10200" w:type="dxa"/>
            <w:vAlign w:val="bottom"/>
            <w:gridSpan w:val="27"/>
          </w:tcPr>
          <w:p>
            <w:pPr>
              <w:spacing w:after="0"/>
              <w:rPr>
                <w:sz w:val="20"/>
                <w:szCs w:val="20"/>
                <w:color w:val="auto"/>
              </w:rPr>
            </w:pPr>
            <w:r>
              <w:rPr>
                <w:rFonts w:ascii="Times New Roman" w:cs="Times New Roman" w:eastAsia="Times New Roman" w:hAnsi="Times New Roman"/>
                <w:sz w:val="16"/>
                <w:szCs w:val="16"/>
                <w:color w:val="0000FF"/>
              </w:rPr>
              <w:t>ITEM 12: SECURITY OWNERSHIP OF CERTAIN BENEFICIAL OWNERS AND MANAGEMENT AND RELATED STOCKHOLDER MATTERS.</w:t>
            </w:r>
          </w:p>
        </w:tc>
        <w:tc>
          <w:tcPr>
            <w:tcW w:w="1020" w:type="dxa"/>
            <w:vAlign w:val="bottom"/>
            <w:gridSpan w:val="4"/>
          </w:tcPr>
          <w:p>
            <w:pPr>
              <w:jc w:val="right"/>
              <w:ind w:right="20"/>
              <w:spacing w:after="0"/>
              <w:rPr>
                <w:sz w:val="20"/>
                <w:szCs w:val="20"/>
                <w:color w:val="auto"/>
              </w:rPr>
            </w:pPr>
            <w:r>
              <w:rPr>
                <w:rFonts w:ascii="Times New Roman" w:cs="Times New Roman" w:eastAsia="Times New Roman" w:hAnsi="Times New Roman"/>
                <w:sz w:val="16"/>
                <w:szCs w:val="16"/>
                <w:color w:val="0000FF"/>
              </w:rPr>
              <w:t>66</w:t>
            </w:r>
          </w:p>
        </w:tc>
        <w:tc>
          <w:tcPr>
            <w:tcW w:w="0" w:type="dxa"/>
            <w:vAlign w:val="bottom"/>
          </w:tcPr>
          <w:p>
            <w:pPr>
              <w:spacing w:after="0"/>
              <w:rPr>
                <w:sz w:val="1"/>
                <w:szCs w:val="1"/>
                <w:color w:val="auto"/>
              </w:rPr>
            </w:pPr>
          </w:p>
        </w:tc>
      </w:tr>
      <w:tr>
        <w:trPr>
          <w:trHeight w:val="20"/>
        </w:trPr>
        <w:tc>
          <w:tcPr>
            <w:tcW w:w="580" w:type="dxa"/>
            <w:vAlign w:val="bottom"/>
            <w:gridSpan w:val="3"/>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3180" w:type="dxa"/>
            <w:vAlign w:val="bottom"/>
            <w:gridSpan w:val="1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0" w:type="dxa"/>
            <w:vAlign w:val="bottom"/>
            <w:gridSpan w:val="5"/>
            <w:shd w:val="clear" w:color="auto" w:fill="0000FF"/>
          </w:tcPr>
          <w:p>
            <w:pPr>
              <w:spacing w:after="0" w:line="20" w:lineRule="exact"/>
              <w:rPr>
                <w:sz w:val="1"/>
                <w:szCs w:val="1"/>
                <w:color w:val="auto"/>
              </w:rPr>
            </w:pPr>
          </w:p>
        </w:tc>
        <w:tc>
          <w:tcPr>
            <w:tcW w:w="2220" w:type="dxa"/>
            <w:vAlign w:val="bottom"/>
            <w:gridSpan w:val="3"/>
            <w:shd w:val="clear" w:color="auto" w:fill="0000FF"/>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5"/>
        </w:trPr>
        <w:tc>
          <w:tcPr>
            <w:tcW w:w="9660" w:type="dxa"/>
            <w:vAlign w:val="bottom"/>
            <w:gridSpan w:val="25"/>
          </w:tcPr>
          <w:p>
            <w:pPr>
              <w:spacing w:after="0"/>
              <w:rPr>
                <w:sz w:val="20"/>
                <w:szCs w:val="20"/>
                <w:color w:val="auto"/>
              </w:rPr>
            </w:pPr>
            <w:r>
              <w:rPr>
                <w:rFonts w:ascii="Times New Roman" w:cs="Times New Roman" w:eastAsia="Times New Roman" w:hAnsi="Times New Roman"/>
                <w:sz w:val="16"/>
                <w:szCs w:val="16"/>
                <w:color w:val="0000FF"/>
              </w:rPr>
              <w:t>ITEM 13: CERTAIN RELATIONSHIPS AND RELATED TRANSACTIONS, AND DIRECTOR INDEPENDENCE.</w:t>
            </w:r>
          </w:p>
        </w:tc>
        <w:tc>
          <w:tcPr>
            <w:tcW w:w="540" w:type="dxa"/>
            <w:vAlign w:val="bottom"/>
            <w:gridSpan w:val="2"/>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0000FF"/>
                <w:w w:val="87"/>
              </w:rPr>
              <w:t>66</w:t>
            </w:r>
          </w:p>
        </w:tc>
        <w:tc>
          <w:tcPr>
            <w:tcW w:w="0" w:type="dxa"/>
            <w:vAlign w:val="bottom"/>
          </w:tcPr>
          <w:p>
            <w:pPr>
              <w:spacing w:after="0"/>
              <w:rPr>
                <w:sz w:val="1"/>
                <w:szCs w:val="1"/>
                <w:color w:val="auto"/>
              </w:rPr>
            </w:pPr>
          </w:p>
        </w:tc>
      </w:tr>
      <w:tr>
        <w:trPr>
          <w:trHeight w:val="20"/>
        </w:trPr>
        <w:tc>
          <w:tcPr>
            <w:tcW w:w="580" w:type="dxa"/>
            <w:vAlign w:val="bottom"/>
            <w:gridSpan w:val="3"/>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3180" w:type="dxa"/>
            <w:vAlign w:val="bottom"/>
            <w:gridSpan w:val="1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0" w:type="dxa"/>
            <w:vAlign w:val="bottom"/>
            <w:gridSpan w:val="5"/>
            <w:shd w:val="clear" w:color="auto" w:fill="0000FF"/>
          </w:tcPr>
          <w:p>
            <w:pPr>
              <w:spacing w:after="0" w:line="20" w:lineRule="exact"/>
              <w:rPr>
                <w:sz w:val="1"/>
                <w:szCs w:val="1"/>
                <w:color w:val="auto"/>
              </w:rPr>
            </w:pPr>
          </w:p>
        </w:tc>
        <w:tc>
          <w:tcPr>
            <w:tcW w:w="2760" w:type="dxa"/>
            <w:vAlign w:val="bottom"/>
            <w:gridSpan w:val="5"/>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5"/>
        </w:trPr>
        <w:tc>
          <w:tcPr>
            <w:tcW w:w="7440" w:type="dxa"/>
            <w:vAlign w:val="bottom"/>
            <w:gridSpan w:val="22"/>
          </w:tcPr>
          <w:p>
            <w:pPr>
              <w:spacing w:after="0"/>
              <w:rPr>
                <w:sz w:val="20"/>
                <w:szCs w:val="20"/>
                <w:color w:val="auto"/>
              </w:rPr>
            </w:pPr>
            <w:r>
              <w:rPr>
                <w:rFonts w:ascii="Times New Roman" w:cs="Times New Roman" w:eastAsia="Times New Roman" w:hAnsi="Times New Roman"/>
                <w:sz w:val="16"/>
                <w:szCs w:val="16"/>
                <w:color w:val="0000FF"/>
              </w:rPr>
              <w:t>ITEM 14: PRINCIPAL ACCOUNTING FEES AND SERVICES.</w:t>
            </w:r>
          </w:p>
        </w:tc>
        <w:tc>
          <w:tcPr>
            <w:tcW w:w="2760" w:type="dxa"/>
            <w:vAlign w:val="bottom"/>
            <w:gridSpan w:val="5"/>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0000FF"/>
                <w:w w:val="87"/>
              </w:rPr>
              <w:t>66</w:t>
            </w:r>
          </w:p>
        </w:tc>
        <w:tc>
          <w:tcPr>
            <w:tcW w:w="0" w:type="dxa"/>
            <w:vAlign w:val="bottom"/>
          </w:tcPr>
          <w:p>
            <w:pPr>
              <w:spacing w:after="0"/>
              <w:rPr>
                <w:sz w:val="1"/>
                <w:szCs w:val="1"/>
                <w:color w:val="auto"/>
              </w:rPr>
            </w:pPr>
          </w:p>
        </w:tc>
      </w:tr>
      <w:tr>
        <w:trPr>
          <w:trHeight w:val="295"/>
        </w:trPr>
        <w:tc>
          <w:tcPr>
            <w:tcW w:w="4140" w:type="dxa"/>
            <w:vAlign w:val="bottom"/>
            <w:tcBorders>
              <w:top w:val="single" w:sz="8" w:color="0000FF"/>
            </w:tcBorders>
            <w:gridSpan w:val="16"/>
          </w:tcPr>
          <w:p>
            <w:pPr>
              <w:spacing w:after="0"/>
              <w:rPr>
                <w:sz w:val="20"/>
                <w:szCs w:val="20"/>
                <w:color w:val="auto"/>
              </w:rPr>
            </w:pPr>
            <w:r>
              <w:rPr>
                <w:rFonts w:ascii="Times New Roman" w:cs="Times New Roman" w:eastAsia="Times New Roman" w:hAnsi="Times New Roman"/>
                <w:sz w:val="16"/>
                <w:szCs w:val="16"/>
                <w:color w:val="0000FF"/>
              </w:rPr>
              <w:t>PART IV</w:t>
            </w:r>
          </w:p>
        </w:tc>
        <w:tc>
          <w:tcPr>
            <w:tcW w:w="6060" w:type="dxa"/>
            <w:vAlign w:val="bottom"/>
            <w:gridSpan w:val="11"/>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80" w:type="dxa"/>
            <w:vAlign w:val="bottom"/>
            <w:gridSpan w:val="3"/>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80" w:type="dxa"/>
            <w:vAlign w:val="bottom"/>
            <w:gridSpan w:val="13"/>
          </w:tcPr>
          <w:p>
            <w:pPr>
              <w:spacing w:after="0" w:line="20" w:lineRule="exact"/>
              <w:rPr>
                <w:sz w:val="1"/>
                <w:szCs w:val="1"/>
                <w:color w:val="auto"/>
              </w:rPr>
            </w:pPr>
          </w:p>
        </w:tc>
        <w:tc>
          <w:tcPr>
            <w:tcW w:w="5960" w:type="dxa"/>
            <w:vAlign w:val="bottom"/>
            <w:gridSpan w:val="10"/>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5"/>
        </w:trPr>
        <w:tc>
          <w:tcPr>
            <w:tcW w:w="10200" w:type="dxa"/>
            <w:vAlign w:val="bottom"/>
            <w:gridSpan w:val="27"/>
          </w:tcPr>
          <w:p>
            <w:pPr>
              <w:spacing w:after="0"/>
              <w:rPr>
                <w:sz w:val="20"/>
                <w:szCs w:val="20"/>
                <w:color w:val="auto"/>
              </w:rPr>
            </w:pPr>
            <w:r>
              <w:rPr>
                <w:rFonts w:ascii="Times New Roman" w:cs="Times New Roman" w:eastAsia="Times New Roman" w:hAnsi="Times New Roman"/>
                <w:sz w:val="16"/>
                <w:szCs w:val="16"/>
                <w:color w:val="0000FF"/>
              </w:rPr>
              <w:t>ITEM 15: EXHIBITS, FINANCIAL STATEMENT SCHEDULES.</w:t>
            </w:r>
          </w:p>
        </w:tc>
        <w:tc>
          <w:tcPr>
            <w:tcW w:w="1020" w:type="dxa"/>
            <w:vAlign w:val="bottom"/>
            <w:gridSpan w:val="4"/>
          </w:tcPr>
          <w:p>
            <w:pPr>
              <w:jc w:val="right"/>
              <w:ind w:right="20"/>
              <w:spacing w:after="0"/>
              <w:rPr>
                <w:sz w:val="20"/>
                <w:szCs w:val="20"/>
                <w:color w:val="auto"/>
              </w:rPr>
            </w:pPr>
            <w:r>
              <w:rPr>
                <w:rFonts w:ascii="Times New Roman" w:cs="Times New Roman" w:eastAsia="Times New Roman" w:hAnsi="Times New Roman"/>
                <w:sz w:val="16"/>
                <w:szCs w:val="16"/>
                <w:color w:val="0000FF"/>
              </w:rPr>
              <w:t>67</w:t>
            </w:r>
          </w:p>
        </w:tc>
        <w:tc>
          <w:tcPr>
            <w:tcW w:w="0" w:type="dxa"/>
            <w:vAlign w:val="bottom"/>
          </w:tcPr>
          <w:p>
            <w:pPr>
              <w:spacing w:after="0"/>
              <w:rPr>
                <w:sz w:val="1"/>
                <w:szCs w:val="1"/>
                <w:color w:val="auto"/>
              </w:rPr>
            </w:pPr>
          </w:p>
        </w:tc>
      </w:tr>
      <w:tr>
        <w:trPr>
          <w:trHeight w:val="20"/>
        </w:trPr>
        <w:tc>
          <w:tcPr>
            <w:tcW w:w="960" w:type="dxa"/>
            <w:vAlign w:val="bottom"/>
            <w:tcBorders>
              <w:right w:val="single" w:sz="8" w:color="0000FF"/>
            </w:tcBorders>
            <w:gridSpan w:val="4"/>
            <w:shd w:val="clear" w:color="auto" w:fill="0000FF"/>
          </w:tcPr>
          <w:p>
            <w:pPr>
              <w:spacing w:after="0" w:line="20" w:lineRule="exact"/>
              <w:rPr>
                <w:sz w:val="1"/>
                <w:szCs w:val="1"/>
                <w:color w:val="auto"/>
              </w:rPr>
            </w:pPr>
          </w:p>
        </w:tc>
        <w:tc>
          <w:tcPr>
            <w:tcW w:w="3280" w:type="dxa"/>
            <w:vAlign w:val="bottom"/>
            <w:gridSpan w:val="13"/>
            <w:shd w:val="clear" w:color="auto" w:fill="0000FF"/>
          </w:tcPr>
          <w:p>
            <w:pPr>
              <w:spacing w:after="0" w:line="20" w:lineRule="exact"/>
              <w:rPr>
                <w:sz w:val="1"/>
                <w:szCs w:val="1"/>
                <w:color w:val="auto"/>
              </w:rPr>
            </w:pPr>
          </w:p>
        </w:tc>
        <w:tc>
          <w:tcPr>
            <w:tcW w:w="5960" w:type="dxa"/>
            <w:vAlign w:val="bottom"/>
            <w:gridSpan w:val="1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5"/>
        </w:trPr>
        <w:tc>
          <w:tcPr>
            <w:tcW w:w="4240" w:type="dxa"/>
            <w:vAlign w:val="bottom"/>
            <w:gridSpan w:val="17"/>
          </w:tcPr>
          <w:p>
            <w:pPr>
              <w:spacing w:after="0"/>
              <w:rPr>
                <w:sz w:val="20"/>
                <w:szCs w:val="20"/>
                <w:color w:val="auto"/>
              </w:rPr>
            </w:pPr>
            <w:r>
              <w:rPr>
                <w:rFonts w:ascii="Times New Roman" w:cs="Times New Roman" w:eastAsia="Times New Roman" w:hAnsi="Times New Roman"/>
                <w:sz w:val="16"/>
                <w:szCs w:val="16"/>
                <w:color w:val="0000FF"/>
              </w:rPr>
              <w:t>SIGNATURES</w:t>
            </w:r>
          </w:p>
        </w:tc>
        <w:tc>
          <w:tcPr>
            <w:tcW w:w="5960" w:type="dxa"/>
            <w:vAlign w:val="bottom"/>
            <w:gridSpan w:val="10"/>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0000FF"/>
                <w:w w:val="87"/>
              </w:rPr>
              <w:t>71</w:t>
            </w:r>
          </w:p>
        </w:tc>
        <w:tc>
          <w:tcPr>
            <w:tcW w:w="0" w:type="dxa"/>
            <w:vAlign w:val="bottom"/>
          </w:tcPr>
          <w:p>
            <w:pPr>
              <w:spacing w:after="0"/>
              <w:rPr>
                <w:sz w:val="1"/>
                <w:szCs w:val="1"/>
                <w:color w:val="auto"/>
              </w:rPr>
            </w:pPr>
          </w:p>
        </w:tc>
      </w:tr>
      <w:tr>
        <w:trPr>
          <w:trHeight w:val="20"/>
        </w:trPr>
        <w:tc>
          <w:tcPr>
            <w:tcW w:w="4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67310</wp:posOffset>
            </wp:positionV>
            <wp:extent cx="7161530"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40" w:top="867"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CAUTIONARY STATEMENT</w:t>
      </w:r>
    </w:p>
    <w:p>
      <w:pPr>
        <w:spacing w:after="0" w:line="241"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6"/>
          <w:szCs w:val="16"/>
          <w:color w:val="auto"/>
        </w:rPr>
        <w:t>This Annual Report on Form 10-K contains forward-looking statements within the meaning of Section 27A of the Securities Act of 1933, as amended, and Section 21E of the Securities and Exchange Act of 1934, as amended (the “Exchange Act”), and is subject to the “safe harbor” created by those sections. Any statements that are not statements of historical fact should be considered to be forward-looking statements. Words such as “anticipates”, “believes”, “continue”, “could”, “estimates”, “expects”, “forecasts”, “intends”, “may”, “plans”, “potential”, “predicts”, “projects”, “seek”, “should”, “targets”, “will”, “would”, and similar expressions or variations or negatives of such words are intended to identify forward-looking statements, but are not the exclusive means of identifying forward-looking statements in this Annual Report on Form 10-K. Additionally, forward-looking statements include, but are not limited to:</w:t>
      </w:r>
    </w:p>
    <w:p>
      <w:pPr>
        <w:spacing w:after="0" w:line="186" w:lineRule="exact"/>
        <w:rPr>
          <w:sz w:val="20"/>
          <w:szCs w:val="20"/>
          <w:color w:val="auto"/>
        </w:rPr>
      </w:pPr>
    </w:p>
    <w:p>
      <w:pPr>
        <w:ind w:left="560" w:hanging="240"/>
        <w:spacing w:after="0"/>
        <w:tabs>
          <w:tab w:leader="none" w:pos="5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to develop and market new products, enhancements, or technologies and the timing of these development and marketing plans;</w:t>
      </w:r>
    </w:p>
    <w:p>
      <w:pPr>
        <w:spacing w:after="0" w:line="108" w:lineRule="exact"/>
        <w:rPr>
          <w:rFonts w:ascii="Times New Roman" w:cs="Times New Roman" w:eastAsia="Times New Roman" w:hAnsi="Times New Roman"/>
          <w:sz w:val="18"/>
          <w:szCs w:val="18"/>
          <w:color w:val="auto"/>
        </w:rPr>
      </w:pPr>
    </w:p>
    <w:p>
      <w:pPr>
        <w:ind w:left="560" w:hanging="240"/>
        <w:spacing w:after="0"/>
        <w:tabs>
          <w:tab w:leader="none" w:pos="5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of our future financial performance, including expenses, revenues, and profitability;</w:t>
      </w:r>
    </w:p>
    <w:p>
      <w:pPr>
        <w:spacing w:after="0" w:line="108" w:lineRule="exact"/>
        <w:rPr>
          <w:rFonts w:ascii="Times New Roman" w:cs="Times New Roman" w:eastAsia="Times New Roman" w:hAnsi="Times New Roman"/>
          <w:sz w:val="18"/>
          <w:szCs w:val="18"/>
          <w:color w:val="auto"/>
        </w:rPr>
      </w:pPr>
    </w:p>
    <w:p>
      <w:pPr>
        <w:ind w:left="560" w:hanging="240"/>
        <w:spacing w:after="0"/>
        <w:tabs>
          <w:tab w:leader="none" w:pos="5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of demand trends, market opportunities, and our market positioning, including the size of the markets for our products and services;</w:t>
      </w:r>
    </w:p>
    <w:p>
      <w:pPr>
        <w:spacing w:after="0" w:line="108" w:lineRule="exact"/>
        <w:rPr>
          <w:rFonts w:ascii="Times New Roman" w:cs="Times New Roman" w:eastAsia="Times New Roman" w:hAnsi="Times New Roman"/>
          <w:sz w:val="18"/>
          <w:szCs w:val="18"/>
          <w:color w:val="auto"/>
        </w:rPr>
      </w:pPr>
    </w:p>
    <w:p>
      <w:pPr>
        <w:ind w:left="560" w:hanging="240"/>
        <w:spacing w:after="0"/>
        <w:tabs>
          <w:tab w:leader="none" w:pos="5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related to the rate and degree of market acceptance of our products and our customers’ products;</w:t>
      </w:r>
    </w:p>
    <w:p>
      <w:pPr>
        <w:spacing w:after="0" w:line="108" w:lineRule="exact"/>
        <w:rPr>
          <w:rFonts w:ascii="Times New Roman" w:cs="Times New Roman" w:eastAsia="Times New Roman" w:hAnsi="Times New Roman"/>
          <w:sz w:val="18"/>
          <w:szCs w:val="18"/>
          <w:color w:val="auto"/>
        </w:rPr>
      </w:pPr>
    </w:p>
    <w:p>
      <w:pPr>
        <w:ind w:left="560" w:hanging="240"/>
        <w:spacing w:after="0"/>
        <w:tabs>
          <w:tab w:leader="none" w:pos="5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regarding our capital requirements and our needs for additional financing; and</w:t>
      </w:r>
    </w:p>
    <w:p>
      <w:pPr>
        <w:spacing w:after="0" w:line="108" w:lineRule="exact"/>
        <w:rPr>
          <w:rFonts w:ascii="Times New Roman" w:cs="Times New Roman" w:eastAsia="Times New Roman" w:hAnsi="Times New Roman"/>
          <w:sz w:val="18"/>
          <w:szCs w:val="18"/>
          <w:color w:val="auto"/>
        </w:rPr>
      </w:pPr>
    </w:p>
    <w:p>
      <w:pPr>
        <w:ind w:left="560" w:hanging="240"/>
        <w:spacing w:after="0"/>
        <w:tabs>
          <w:tab w:leader="none" w:pos="5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of the success of other competing technologies that may become available.</w:t>
      </w:r>
    </w:p>
    <w:p>
      <w:pPr>
        <w:spacing w:after="0" w:line="108"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Although forward-looking statements in this Annual Report on Form 10-K reflect the good faith judgment of our management, such statements can only be based on facts and factors currently known and understood by us. Consequently, forward-looking statements involve inherent risks and uncertainties, and actual financial results and outcomes may differ materially and adversely from the results and outcomes discussed in or anticipated by the forward-looking statements. A number of important factors could cause actual financial results to differ materially and adversely from those in the forward-looking statements. We urge you to consider the risks and uncertainties discussed elsewhere in this report (including in Item 1A, Risk Factors) and in the other documents filed by us with the Securities and Exchange Commission (“SEC”) in evaluating our forward-looking statements. We have no plans, and undertake no obligation, to revise or update our forward-looking statements to reflect any event or circumstance that may arise after the date of this report. We caution readers not to place undue reliance upon any such forward-looking statements, which speak only as of the date made.</w:t>
      </w:r>
    </w:p>
    <w:p>
      <w:pPr>
        <w:spacing w:after="0" w:line="213"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This Annual Report on Form 10-K also contains estimates made by independent parties and by us relating to market size and growth and other industry data. These estimates involve a number of assumptions and limitations and you are cautioned not to give undue weight to such estimates. In addition, projections, assumptions, and estimates of our future performance and the future performance of the industries in which we operate are necessarily subject to a high degree of uncertainty and risk due to a variety of important factors, including those described in “Risk Factors” and “Management’s Discussion and Analysis of Financial Condition and Results of Operations”. These and other factors could cause results to differ materially and adversely from those expressed in the estimates made by the independent parties and by us.</w:t>
      </w:r>
    </w:p>
    <w:p>
      <w:pPr>
        <w:spacing w:after="0" w:line="21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In this document, the words “we”, “our”, “ours”, “us”, “Skyworks”, and “the Company” refer only to Skyworks Solutions, Inc., and its consolidated subsidiaries and not any other person or entity. In addition, the following is a list of industry terms that may be referenced throughout the document:</w:t>
      </w:r>
    </w:p>
    <w:p>
      <w:pPr>
        <w:spacing w:after="0" w:line="65" w:lineRule="exact"/>
        <w:rPr>
          <w:sz w:val="20"/>
          <w:szCs w:val="20"/>
          <w:color w:val="auto"/>
        </w:rPr>
      </w:pPr>
    </w:p>
    <w:p>
      <w:pPr>
        <w:ind w:left="780" w:hanging="460"/>
        <w:spacing w:after="0"/>
        <w:tabs>
          <w:tab w:leader="none" w:pos="7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5G (Fifth Generation): next-generation cellular network technology</w:t>
      </w:r>
    </w:p>
    <w:p>
      <w:pPr>
        <w:spacing w:after="0" w:line="108" w:lineRule="exact"/>
        <w:rPr>
          <w:rFonts w:ascii="Times New Roman" w:cs="Times New Roman" w:eastAsia="Times New Roman" w:hAnsi="Times New Roman"/>
          <w:sz w:val="18"/>
          <w:szCs w:val="18"/>
          <w:color w:val="auto"/>
        </w:rPr>
      </w:pPr>
    </w:p>
    <w:p>
      <w:pPr>
        <w:ind w:left="800" w:hanging="480"/>
        <w:spacing w:after="0" w:line="267" w:lineRule="auto"/>
        <w:tabs>
          <w:tab w:leader="none" w:pos="79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BAW (Bulk Acoustic Wave): electrical input signal is converted to an acoustic wave for filtering and converted back into an electrical signal by a metal-piezo-metal vertical structure</w:t>
      </w:r>
    </w:p>
    <w:p>
      <w:pPr>
        <w:spacing w:after="0" w:line="64" w:lineRule="exact"/>
        <w:rPr>
          <w:rFonts w:ascii="Times New Roman" w:cs="Times New Roman" w:eastAsia="Times New Roman" w:hAnsi="Times New Roman"/>
          <w:sz w:val="18"/>
          <w:szCs w:val="18"/>
          <w:color w:val="auto"/>
        </w:rPr>
      </w:pPr>
    </w:p>
    <w:p>
      <w:pPr>
        <w:ind w:left="780" w:hanging="460"/>
        <w:spacing w:after="0"/>
        <w:tabs>
          <w:tab w:leader="none" w:pos="7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IoT (Internet of Things): the interconnection of uniquely identifiable embedded computing devices within the existing internet infrastructure</w:t>
      </w:r>
    </w:p>
    <w:p>
      <w:pPr>
        <w:spacing w:after="0" w:line="108" w:lineRule="exact"/>
        <w:rPr>
          <w:rFonts w:ascii="Times New Roman" w:cs="Times New Roman" w:eastAsia="Times New Roman" w:hAnsi="Times New Roman"/>
          <w:sz w:val="18"/>
          <w:szCs w:val="18"/>
          <w:color w:val="auto"/>
        </w:rPr>
      </w:pPr>
    </w:p>
    <w:p>
      <w:pPr>
        <w:ind w:left="780" w:hanging="460"/>
        <w:spacing w:after="0"/>
        <w:tabs>
          <w:tab w:leader="none" w:pos="78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LTE (Long-Term Evolution): 4th generation (“4G”) radio technologies designed to increase the capacity and speed of mobile telephone networks</w:t>
      </w:r>
    </w:p>
    <w:p>
      <w:pPr>
        <w:spacing w:after="0" w:line="131" w:lineRule="exact"/>
        <w:rPr>
          <w:rFonts w:ascii="Times New Roman" w:cs="Times New Roman" w:eastAsia="Times New Roman" w:hAnsi="Times New Roman"/>
          <w:sz w:val="16"/>
          <w:szCs w:val="16"/>
          <w:color w:val="auto"/>
        </w:rPr>
      </w:pPr>
    </w:p>
    <w:p>
      <w:pPr>
        <w:jc w:val="both"/>
        <w:ind w:left="800" w:hanging="480"/>
        <w:spacing w:after="0" w:line="233" w:lineRule="auto"/>
        <w:tabs>
          <w:tab w:leader="none" w:pos="79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MIMO (Multiple In, Multiple Out): a method for multiplying the capacity of a radio link using multiple transmission and receiving antennas to exploit multipath propagation; more commonly, it refers to LTE, 5G, and Wi-Fi</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techniques to send more than one data signal (also known as data layers) with encoded information to increase capacity in modern telecommunications systems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67310</wp:posOffset>
            </wp:positionV>
            <wp:extent cx="7161530"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780" w:hanging="460"/>
        <w:spacing w:after="0"/>
        <w:tabs>
          <w:tab w:leader="none" w:pos="7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RF (Radio Frequency): electromagnetic wave frequencies that lie in the range extending from around 3 kHz to 300 GHz</w:t>
      </w:r>
    </w:p>
    <w:p>
      <w:pPr>
        <w:spacing w:after="0" w:line="108" w:lineRule="exact"/>
        <w:rPr>
          <w:rFonts w:ascii="Times New Roman" w:cs="Times New Roman" w:eastAsia="Times New Roman" w:hAnsi="Times New Roman"/>
          <w:sz w:val="18"/>
          <w:szCs w:val="18"/>
          <w:color w:val="auto"/>
        </w:rPr>
      </w:pPr>
    </w:p>
    <w:p>
      <w:pPr>
        <w:ind w:left="800" w:hanging="480"/>
        <w:spacing w:after="0" w:line="267" w:lineRule="auto"/>
        <w:tabs>
          <w:tab w:leader="none" w:pos="79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SAW (Surface Acoustic Wave): electrical input signal is converted to an acoustic wave for filtering and converted back into an electrical signal by interdigitated transducers on a piezoelectric substrate</w:t>
      </w:r>
    </w:p>
    <w:p>
      <w:pPr>
        <w:spacing w:after="0" w:line="64" w:lineRule="exact"/>
        <w:rPr>
          <w:rFonts w:ascii="Times New Roman" w:cs="Times New Roman" w:eastAsia="Times New Roman" w:hAnsi="Times New Roman"/>
          <w:sz w:val="18"/>
          <w:szCs w:val="18"/>
          <w:color w:val="auto"/>
        </w:rPr>
      </w:pPr>
    </w:p>
    <w:p>
      <w:pPr>
        <w:ind w:left="780" w:hanging="460"/>
        <w:spacing w:after="0"/>
        <w:tabs>
          <w:tab w:leader="none" w:pos="78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TC-SAW (Temperature Compensated Surface Acoustic Wave): SAW filters that have been designed to reduce shift in frequency over temperature</w:t>
      </w:r>
    </w:p>
    <w:p>
      <w:pPr>
        <w:spacing w:after="0" w:line="131"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8"/>
          <w:szCs w:val="18"/>
          <w:color w:val="auto"/>
        </w:rPr>
        <w:t>Skyworks and the Skyworks symbol are trademarks or registered trademarks of Skyworks Solutions, Inc. or its subsidiaries in the United States and other countries. Third-party brands and names are for identification purposes only and are the property of their respective owners.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67310</wp:posOffset>
            </wp:positionV>
            <wp:extent cx="7161530"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l</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24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Skyworks Solutions, Inc., together with its consolidated subsidiaries (“Skyworks” or the “Company”), is a leading developer, manufacturer and provider of analog and mixed-signal semiconductor products and solutions for numerous applications, including aerospace, automotive, broadband, cellular infrastructure, connected home, defense, entertainment and gaming, industrial, medical, smartphone, tablet, and wearables.</w:t>
      </w:r>
    </w:p>
    <w:p>
      <w:pPr>
        <w:spacing w:after="0" w:line="204" w:lineRule="exact"/>
        <w:rPr>
          <w:sz w:val="20"/>
          <w:szCs w:val="20"/>
          <w:color w:val="auto"/>
        </w:rPr>
      </w:pPr>
    </w:p>
    <w:p>
      <w:pPr>
        <w:jc w:val="both"/>
        <w:spacing w:after="0" w:line="219" w:lineRule="auto"/>
        <w:rPr>
          <w:sz w:val="20"/>
          <w:szCs w:val="20"/>
          <w:color w:val="auto"/>
        </w:rPr>
      </w:pPr>
      <w:r>
        <w:rPr>
          <w:rFonts w:ascii="Times New Roman" w:cs="Times New Roman" w:eastAsia="Times New Roman" w:hAnsi="Times New Roman"/>
          <w:sz w:val="18"/>
          <w:szCs w:val="18"/>
          <w:color w:val="auto"/>
        </w:rPr>
        <w:t>Over the past two decades, Skyworks has made important investments to address key network technologies, from cellular to advanced Wi-Fi</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enhanced GPS, and Bluetooth</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among others. Capitalizing on both organic growth and strategic acquisitions, we are targeting high-growth verticals, while at the same time, seeking to diversify our revenue and customer set.</w:t>
      </w:r>
    </w:p>
    <w:p>
      <w:pPr>
        <w:spacing w:after="0" w:line="2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Targeted investments in next-generation technology and solutions, technical talent, and fabrication capabilities have created the opportunity to expand into high-growth market segments, including electric and hybrid vehicles, industrial and motor control, power supply, 5G wireless infrastructure, optical data communication, data center, automotive, smart home, and several other applications.</w:t>
      </w:r>
    </w:p>
    <w:p>
      <w:pPr>
        <w:spacing w:after="0" w:line="20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Our key customers include Amazon, Apple Inc. (“Apple”), Arcadyan, Arris, Bose, Ciena, Cisco, Ericsson, Fibocom, Garmin, Gemalto (a Thales company), General Electric, Google, Honeywell, Itron, Lenovo, LG Electronics, Microsoft, Motorola, NETGEAR, Nokia, Northrop Grumman, OPPO, Rockwell Collins, Sagemcom, Samsung, Schneider Electric, Sierra Wireless, Sonos, Sony, Technicolor, Telit, Tesla, TP-Link, VIVO, and Xiaomi. Our competitors include Analog Devices, Broadcom, Cirrus Logic, Murata Manufacturing, NXP Semiconductors, Qorvo, Qualcomm, and Texas Instruments.</w:t>
      </w:r>
    </w:p>
    <w:p>
      <w:pPr>
        <w:spacing w:after="0" w:line="21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We operate worldwide with engineering, manufacturing, sales, and service facilities throughout Asia, Europe, and North America. Our Internet address is www.skyworksinc.com. We make available free of charge on our website our Annual Report on Form 10-K, quarterly reports on Form 10-Q, current reports on Form 8-K, and amendments to those reports as soon as reasonably practicable after we electronically file such material with, or furnish it to, the SEC. The information contained on our website is not incorporated by reference in this Annual Report on Form 10-K and the inclusion of our website address in this report is an inactive textual reference only. Our SEC filings are also available to the public at www.sec.gov.</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Industry Background</w:t>
      </w:r>
    </w:p>
    <w:p>
      <w:pPr>
        <w:spacing w:after="0" w:line="112"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6"/>
          <w:szCs w:val="16"/>
          <w:color w:val="auto"/>
        </w:rPr>
        <w:t>Wireless connectivity is expanding on a global basis. A widening range of use cases is driving the high demand for wireless data across a broad array of applications. The advancement of 5G adoption, IoT, connectivity for everyone, automotive electrification and safety, as well as augmented reality and virtual reality technology, all demand faster speeds, increased bandwidth and capacity, significantly lower latency, and more reliable and secure wireless connectivity.</w:t>
      </w:r>
    </w:p>
    <w:p>
      <w:pPr>
        <w:spacing w:after="0" w:line="17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speed and ultra-low latency characteristics inherent in 5G technology are dramatically altering wireless connectivity, creating a market for diverse and transformative applications, and changing how individuals live, work, play, and learn. Most of the world’s largest economies have implemented commercial 5G networks, and the world’s leading smartphone manufacturers have launched multiple generations of 5G-enabled devices.</w:t>
      </w:r>
    </w:p>
    <w:p>
      <w:pPr>
        <w:spacing w:after="0" w:line="20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We expect to see a continued expansion in data consumption, dependent on seamless and reliable wireless connectivity. A few statistics illustrate this point. According to the 2024 Ericsson Mobility Report, global mobile data for 5G is estimated to triple in the next three years, driven by new users, innovative services, and the convergence of artificial intelligence (“AI”) and 5G technology, and by 2029, it is estimated that approximately 39 billion connections will be related to the IoT, including connected cars, machines, meters, sensors, point-of-sale terminals, consumer electronics and wearables. Connected cars are forecasted by McKinsey to make up 95% of new vehicles sold globally by 2030.</w:t>
      </w:r>
    </w:p>
    <w:p>
      <w:pPr>
        <w:spacing w:after="0" w:line="213" w:lineRule="exact"/>
        <w:rPr>
          <w:sz w:val="20"/>
          <w:szCs w:val="20"/>
          <w:color w:val="auto"/>
        </w:rPr>
      </w:pPr>
    </w:p>
    <w:p>
      <w:pPr>
        <w:jc w:val="both"/>
        <w:spacing w:after="0" w:line="223" w:lineRule="auto"/>
        <w:rPr>
          <w:sz w:val="20"/>
          <w:szCs w:val="20"/>
          <w:color w:val="auto"/>
        </w:rPr>
      </w:pPr>
      <w:r>
        <w:rPr>
          <w:rFonts w:ascii="Times New Roman" w:cs="Times New Roman" w:eastAsia="Times New Roman" w:hAnsi="Times New Roman"/>
          <w:sz w:val="18"/>
          <w:szCs w:val="18"/>
          <w:color w:val="auto"/>
        </w:rPr>
        <w:t>Skyworks helps facilitate these opportunities with highly customized solutions that support a broad set of wireless systems and protocols including cellular (such as 5G), Wi-Fi</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GPS, Bluetooth</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Accutime™, HD-Radio™, LoRa</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Thread</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Wi-Sun</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and Zigbee</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Additionally, Wi-Fi</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7, the next generation of Wi-Fi</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technology, complements 5G by providing high-speed wireless connectivity in local environments. Faster data rates and improved efficiency cater to the growing number of devices reliant on wireless networks.</w:t>
      </w:r>
    </w:p>
    <w:p>
      <w:pPr>
        <w:spacing w:after="0" w:line="22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We believe AI can be a catalyst for more efficient and effective wireless communications. From endpoint devices to data centers, generative AI applications will drive the need for higher speed and higher bandwidth networks, while increasing the requirements for our precision timing solutions.</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67310</wp:posOffset>
            </wp:positionV>
            <wp:extent cx="7161530"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Finally, with the rapid transition towards electrification and advanced safety in vehicles, we are focused on high growth segments and content opportunities, including (i) power isolation chips for on-board chargers, powertrain, and battery management systems in electric vehicles, (ii) connectivity, with telematics and other solutions being enabled by 4G/5G cellular engines, Wi-Fi</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Bluetooth</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Ultra-wide band, Ethernet, and GPS, and (iii) in-vehicle infotainment systems, driven by digital radio coprocessors, and solutions supporting advanced driver-assistance systems and autonomous driving.</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Solving Connectivity Challenges</w:t>
      </w:r>
    </w:p>
    <w:p>
      <w:pPr>
        <w:spacing w:after="0" w:line="11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Highly integrated semiconductor solutions are pivotal in deploying next-generation standards, resolving analog, mixed-signal, and RF complexities that challenge existing hardware and network infrastructure. Addressing these design challenges requires diverse competencies including signal transmission, seamless hand-offs between multiple standards, power management, voltage regulation, battery charging, advanced filtering, and tuning.</w:t>
      </w:r>
    </w:p>
    <w:p>
      <w:pPr>
        <w:spacing w:after="0" w:line="207"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We are at the forefront of this new era of connectivity, delivering the solutions that help enable the true potential of 5G and IoT. We have a rich heritage in analog systems design and have spent years investing in key technologies and resources. Our strength is underpinned by world-class performance and scale across a broad array of capabilities that include advanced TC-SAW and BAW filters, an expanded family of MIMO, ultra-high band, and diversity receive modules, timing devices, and digital power isolators. From our breakthrough Sky5</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unifying platform to our 5G small cell solutions, our approach across both infrastructure and user equipment facilitates powerful, high-speed, end-to-end 5G connectivity.</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Skyworks’ Strategy</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Major elements of our strategy include:</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Industry-Leading Technology</w:t>
      </w:r>
    </w:p>
    <w:p>
      <w:pPr>
        <w:spacing w:after="0" w:line="110"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6"/>
          <w:szCs w:val="16"/>
          <w:color w:val="auto"/>
        </w:rPr>
        <w:t>As the industry migrates to more complex 5G architectures across a multitude of wireless applications, we are poised to help our customers handle growing levels of system complexity across both the transmit and receive chains. The trend towards increasing front-end and analog design challenges in smartphones and other platforms plays directly into our core strengths. Additionally, accelerating AI trends could catalyze the smartphone transformation with incremental content driving unprecedented functional and physical densities. These advancements will deliver more bandwidth, faster speeds, and enable applications like virtual reality, augmented reality, live video streaming, and seamless IoT connectivity. Crucially, they aim to bring us closer to achieving reliable low latency, ideal for massive machine communications, and introduces non-terrestrial networks that enable satellite connectivity for emergency applications.</w:t>
      </w:r>
    </w:p>
    <w:p>
      <w:pPr>
        <w:spacing w:after="0" w:line="18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We believe that we offer the broadest portfolio of radio and analog solutions from the transceiver to the antenna as well as all required manufacturing process technologies. We are also a leader in passive devices, advanced integration, including proprietary shielding and 3-D die stacking, as well as SAW, TC-SAW, and BAW filters. Our product portfolio is reinforced by a library of approximately 5,000 worldwide patents and other intellectual property that we own and control. Together, our industry-leading technology enables us to deliver the highest levels of product performance and integration.</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Customer Relationships</w:t>
      </w:r>
    </w:p>
    <w:p>
      <w:pPr>
        <w:spacing w:after="0" w:line="11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Given our scale and technology leadership, we are engaged with leading original equipment manufacturers (“OEMs”), smartphone providers, and baseband reference design partners in the analog and mixed-signal semiconductor industry. Our customers value the scale of our global supply chain, our innovative technology, our ability to curate and deliver unique solutions, and our system engineering expertise, resulting in deep customer loyalty. We partner with our customers to support their long-term product road maps and are valued as a system solutions provider rather than just a discrete product vendor.</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Diversification</w:t>
      </w:r>
    </w:p>
    <w:p>
      <w:pPr>
        <w:spacing w:after="0" w:line="110"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We are diversifying the reach of our business by expanding our addressable markets and broadening our product portfolio to serve a wider array of global customers. With the increasing adoption of 5G and the opportunity to enable more applications, we are growing our business beyond mobile devices (where we support leading top-tier manufacturers, including the leading smartphone suppliers and key baseband vendors) into additional high-performance analog markets, including automotive, home and factory automation, data center, solar, wireless infrastructure, aerospace and defense, medical, smart energy, and wireless networking. In these markets we leverage our scale, intellectual property, and worldwide distribution network, which spans approximately 6,000 customers and 6,000 unique products.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67310</wp:posOffset>
            </wp:positionV>
            <wp:extent cx="7161530"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Delivering Operational Excellence</w:t>
      </w:r>
    </w:p>
    <w:p>
      <w:pPr>
        <w:spacing w:after="0" w:line="110" w:lineRule="exact"/>
        <w:rPr>
          <w:sz w:val="20"/>
          <w:szCs w:val="20"/>
          <w:color w:val="auto"/>
        </w:rPr>
      </w:pPr>
    </w:p>
    <w:p>
      <w:pPr>
        <w:jc w:val="both"/>
        <w:spacing w:after="0" w:line="331" w:lineRule="auto"/>
        <w:rPr>
          <w:sz w:val="20"/>
          <w:szCs w:val="20"/>
          <w:color w:val="auto"/>
        </w:rPr>
      </w:pPr>
      <w:r>
        <w:rPr>
          <w:rFonts w:ascii="Times New Roman" w:cs="Times New Roman" w:eastAsia="Times New Roman" w:hAnsi="Times New Roman"/>
          <w:sz w:val="16"/>
          <w:szCs w:val="16"/>
          <w:color w:val="auto"/>
        </w:rPr>
        <w:t>Through advanced supply chain management, we combine our highly specialized internal manufacturing capabilities with alliances and strategic relationships for leading-edge technologies. This hybrid manufacturing model allows us to better balance our manufacturing capacity with the demand of the marketplace.</w:t>
      </w:r>
    </w:p>
    <w:p>
      <w:pPr>
        <w:spacing w:after="0" w:line="14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Additionally, we continue to drive reductions in product design and manufacturing cycle times and further improve product yields. The combination of agile, flexible capacity, and world-class module manufacturing and scale advantage allows us to achieve low product costs while integrating multiple technologies into highly sophisticated multi-chip modules and helping to ensure stable supply to our global customer base.</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Maintaining a Performance-Driven Culture</w:t>
      </w:r>
    </w:p>
    <w:p>
      <w:pPr>
        <w:spacing w:after="0" w:line="110" w:lineRule="exact"/>
        <w:rPr>
          <w:sz w:val="20"/>
          <w:szCs w:val="20"/>
          <w:color w:val="auto"/>
        </w:rPr>
      </w:pPr>
    </w:p>
    <w:p>
      <w:pPr>
        <w:jc w:val="both"/>
        <w:spacing w:after="0" w:line="331" w:lineRule="auto"/>
        <w:rPr>
          <w:sz w:val="20"/>
          <w:szCs w:val="20"/>
          <w:color w:val="auto"/>
        </w:rPr>
      </w:pPr>
      <w:r>
        <w:rPr>
          <w:rFonts w:ascii="Times New Roman" w:cs="Times New Roman" w:eastAsia="Times New Roman" w:hAnsi="Times New Roman"/>
          <w:sz w:val="16"/>
          <w:szCs w:val="16"/>
          <w:color w:val="auto"/>
        </w:rPr>
        <w:t>We consider our people and corporate culture to be a competitive advantage and a key component of our corporate strategy, aligning employee efforts and responsibilities with performance measurement. Accountability is paramount, and we compensate our employees through a pay-for-performance methodology.</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Generating Superior Operating Results and Stockholder Returns</w:t>
      </w:r>
    </w:p>
    <w:p>
      <w:pPr>
        <w:spacing w:after="0" w:line="11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We believe our manufacturing scale, broad product portfolio, strong profitability, and consistent cash flow generation position us to provide superior results and strong returns to our stockholders.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Product Portfolio</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extensive product portfolio includes:</w:t>
      </w:r>
    </w:p>
    <w:p>
      <w:pPr>
        <w:spacing w:after="0" w:line="56" w:lineRule="exact"/>
        <w:rPr>
          <w:sz w:val="20"/>
          <w:szCs w:val="20"/>
          <w:color w:val="auto"/>
        </w:rPr>
      </w:pPr>
    </w:p>
    <w:p>
      <w:pPr>
        <w:ind w:left="540" w:hanging="220"/>
        <w:spacing w:after="0"/>
        <w:tabs>
          <w:tab w:leader="none" w:pos="5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Amplifiers: the modules that strengthen the signal so that it has sufficient energy to reach a base station</w:t>
      </w:r>
    </w:p>
    <w:p>
      <w:pPr>
        <w:spacing w:after="0" w:line="20" w:lineRule="exact"/>
        <w:rPr>
          <w:rFonts w:ascii="Times New Roman" w:cs="Times New Roman" w:eastAsia="Times New Roman" w:hAnsi="Times New Roman"/>
          <w:sz w:val="18"/>
          <w:szCs w:val="18"/>
          <w:color w:val="auto"/>
        </w:rPr>
      </w:pPr>
    </w:p>
    <w:p>
      <w:pPr>
        <w:ind w:left="540" w:hanging="220"/>
        <w:spacing w:after="0"/>
        <w:tabs>
          <w:tab w:leader="none" w:pos="5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Antenna Tuners: aperture and impedance tuning products that improve antenna performance across frequencies</w:t>
      </w:r>
    </w:p>
    <w:p>
      <w:pPr>
        <w:spacing w:after="0" w:line="3" w:lineRule="exact"/>
        <w:rPr>
          <w:rFonts w:ascii="Times New Roman" w:cs="Times New Roman" w:eastAsia="Times New Roman" w:hAnsi="Times New Roman"/>
          <w:sz w:val="18"/>
          <w:szCs w:val="18"/>
          <w:color w:val="auto"/>
        </w:rPr>
      </w:pPr>
    </w:p>
    <w:p>
      <w:pPr>
        <w:ind w:left="540" w:hanging="220"/>
        <w:spacing w:after="0"/>
        <w:tabs>
          <w:tab w:leader="none" w:pos="5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Attenuators: circuits that allow a known source of power to be reduced by a predetermined factor (usually expressed as decibels)</w:t>
      </w:r>
    </w:p>
    <w:p>
      <w:pPr>
        <w:spacing w:after="0" w:line="3" w:lineRule="exact"/>
        <w:rPr>
          <w:rFonts w:ascii="Times New Roman" w:cs="Times New Roman" w:eastAsia="Times New Roman" w:hAnsi="Times New Roman"/>
          <w:sz w:val="18"/>
          <w:szCs w:val="18"/>
          <w:color w:val="auto"/>
        </w:rPr>
      </w:pPr>
    </w:p>
    <w:p>
      <w:pPr>
        <w:ind w:left="540" w:hanging="220"/>
        <w:spacing w:after="0"/>
        <w:tabs>
          <w:tab w:leader="none" w:pos="5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Automotive Tuners and Digital Radios: tuners, data receivers, and digital radio coprocessors used in automotive infotainment systems</w:t>
      </w:r>
    </w:p>
    <w:p>
      <w:pPr>
        <w:spacing w:after="0" w:line="3" w:lineRule="exact"/>
        <w:rPr>
          <w:rFonts w:ascii="Times New Roman" w:cs="Times New Roman" w:eastAsia="Times New Roman" w:hAnsi="Times New Roman"/>
          <w:sz w:val="18"/>
          <w:szCs w:val="18"/>
          <w:color w:val="auto"/>
        </w:rPr>
      </w:pPr>
    </w:p>
    <w:p>
      <w:pPr>
        <w:ind w:left="800" w:hanging="480"/>
        <w:spacing w:after="0" w:line="243" w:lineRule="auto"/>
        <w:tabs>
          <w:tab w:leader="none" w:pos="649"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Wireless ASoC: an intelligent 2.4 GHz and 5GHz wireless radio integrated circuit that includes all the analog and digital functions optimized for building cognitive wireless audio headsets, headphones, and wireless speaker systems</w:t>
      </w:r>
    </w:p>
    <w:p>
      <w:pPr>
        <w:ind w:left="560" w:hanging="240"/>
        <w:spacing w:after="0"/>
        <w:tabs>
          <w:tab w:leader="none" w:pos="5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DC/DC Converters: an electronic circuit which converts a source of direct current from one voltage level to another</w:t>
      </w:r>
    </w:p>
    <w:p>
      <w:pPr>
        <w:spacing w:after="0" w:line="3" w:lineRule="exact"/>
        <w:rPr>
          <w:rFonts w:ascii="Times New Roman" w:cs="Times New Roman" w:eastAsia="Times New Roman" w:hAnsi="Times New Roman"/>
          <w:sz w:val="18"/>
          <w:szCs w:val="18"/>
          <w:color w:val="auto"/>
        </w:rPr>
      </w:pPr>
    </w:p>
    <w:p>
      <w:pPr>
        <w:ind w:left="560" w:hanging="240"/>
        <w:spacing w:after="0"/>
        <w:tabs>
          <w:tab w:leader="none" w:pos="5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Demodulators: a device or an RF block used in receivers to extract the information that has been modulated onto a carrier or from the carrier itself</w:t>
      </w:r>
    </w:p>
    <w:p>
      <w:pPr>
        <w:spacing w:after="0" w:line="3" w:lineRule="exact"/>
        <w:rPr>
          <w:rFonts w:ascii="Times New Roman" w:cs="Times New Roman" w:eastAsia="Times New Roman" w:hAnsi="Times New Roman"/>
          <w:sz w:val="18"/>
          <w:szCs w:val="18"/>
          <w:color w:val="auto"/>
        </w:rPr>
      </w:pPr>
    </w:p>
    <w:p>
      <w:pPr>
        <w:ind w:left="560" w:hanging="240"/>
        <w:spacing w:after="0"/>
        <w:tabs>
          <w:tab w:leader="none" w:pos="5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Detectors: devices used to measure and control RF power in wireless systems</w:t>
      </w:r>
    </w:p>
    <w:p>
      <w:pPr>
        <w:spacing w:after="0" w:line="3" w:lineRule="exact"/>
        <w:rPr>
          <w:rFonts w:ascii="Times New Roman" w:cs="Times New Roman" w:eastAsia="Times New Roman" w:hAnsi="Times New Roman"/>
          <w:sz w:val="18"/>
          <w:szCs w:val="18"/>
          <w:color w:val="auto"/>
        </w:rPr>
      </w:pPr>
    </w:p>
    <w:p>
      <w:pPr>
        <w:ind w:left="560" w:hanging="240"/>
        <w:spacing w:after="0"/>
        <w:tabs>
          <w:tab w:leader="none" w:pos="5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Digital Power Isolators: energy efficient solutions used in industrial control, solar inverters and hybrid/electric automotive drive trains</w:t>
      </w:r>
    </w:p>
    <w:p>
      <w:pPr>
        <w:spacing w:after="0" w:line="3" w:lineRule="exact"/>
        <w:rPr>
          <w:rFonts w:ascii="Times New Roman" w:cs="Times New Roman" w:eastAsia="Times New Roman" w:hAnsi="Times New Roman"/>
          <w:sz w:val="18"/>
          <w:szCs w:val="18"/>
          <w:color w:val="auto"/>
        </w:rPr>
      </w:pPr>
    </w:p>
    <w:p>
      <w:pPr>
        <w:ind w:left="560" w:hanging="240"/>
        <w:spacing w:after="0"/>
        <w:tabs>
          <w:tab w:leader="none" w:pos="5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Diodes: semiconductor devices that pass current in one direction only</w:t>
      </w:r>
    </w:p>
    <w:p>
      <w:pPr>
        <w:spacing w:after="0" w:line="3" w:lineRule="exact"/>
        <w:rPr>
          <w:rFonts w:ascii="Times New Roman" w:cs="Times New Roman" w:eastAsia="Times New Roman" w:hAnsi="Times New Roman"/>
          <w:sz w:val="18"/>
          <w:szCs w:val="18"/>
          <w:color w:val="auto"/>
        </w:rPr>
      </w:pPr>
    </w:p>
    <w:p>
      <w:pPr>
        <w:ind w:left="560" w:hanging="240"/>
        <w:spacing w:after="0"/>
        <w:tabs>
          <w:tab w:leader="none" w:pos="5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Directional Couplers: transmission coupling devices for separately sampling the forward or backward wave in a transmission line</w:t>
      </w:r>
    </w:p>
    <w:p>
      <w:pPr>
        <w:spacing w:after="0" w:line="3" w:lineRule="exact"/>
        <w:rPr>
          <w:rFonts w:ascii="Times New Roman" w:cs="Times New Roman" w:eastAsia="Times New Roman" w:hAnsi="Times New Roman"/>
          <w:sz w:val="18"/>
          <w:szCs w:val="18"/>
          <w:color w:val="auto"/>
        </w:rPr>
      </w:pPr>
    </w:p>
    <w:p>
      <w:pPr>
        <w:ind w:left="560" w:hanging="240"/>
        <w:spacing w:after="0"/>
        <w:tabs>
          <w:tab w:leader="none" w:pos="5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Diversity Receive Modules: devices used to improve receiver sensitivity in high data rate applications</w:t>
      </w:r>
    </w:p>
    <w:p>
      <w:pPr>
        <w:spacing w:after="0" w:line="3" w:lineRule="exact"/>
        <w:rPr>
          <w:rFonts w:ascii="Times New Roman" w:cs="Times New Roman" w:eastAsia="Times New Roman" w:hAnsi="Times New Roman"/>
          <w:sz w:val="18"/>
          <w:szCs w:val="18"/>
          <w:color w:val="auto"/>
        </w:rPr>
      </w:pPr>
    </w:p>
    <w:p>
      <w:pPr>
        <w:ind w:left="560" w:hanging="240"/>
        <w:spacing w:after="0"/>
        <w:tabs>
          <w:tab w:leader="none" w:pos="5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Filters: devices for recovering and separating mixed and modulated data in RF stages, including SAW, TC-SAW, and BAW filters</w:t>
      </w:r>
    </w:p>
    <w:p>
      <w:pPr>
        <w:spacing w:after="0" w:line="3" w:lineRule="exact"/>
        <w:rPr>
          <w:rFonts w:ascii="Times New Roman" w:cs="Times New Roman" w:eastAsia="Times New Roman" w:hAnsi="Times New Roman"/>
          <w:sz w:val="18"/>
          <w:szCs w:val="18"/>
          <w:color w:val="auto"/>
        </w:rPr>
      </w:pPr>
    </w:p>
    <w:p>
      <w:pPr>
        <w:ind w:left="800" w:hanging="480"/>
        <w:spacing w:after="0" w:line="243" w:lineRule="auto"/>
        <w:tabs>
          <w:tab w:leader="none" w:pos="73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Front-end Modules: two or more functions co-packaged to optimize the performance, cost, and application suitability in products, including intermediate or radio frequency signal paths</w:t>
      </w:r>
    </w:p>
    <w:p>
      <w:pPr>
        <w:ind w:left="560" w:hanging="240"/>
        <w:spacing w:after="0"/>
        <w:tabs>
          <w:tab w:leader="none" w:pos="5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Hybrid: a type of directional coupler used in radio and telecommunications</w:t>
      </w:r>
    </w:p>
    <w:p>
      <w:pPr>
        <w:spacing w:after="0" w:line="3" w:lineRule="exact"/>
        <w:rPr>
          <w:rFonts w:ascii="Times New Roman" w:cs="Times New Roman" w:eastAsia="Times New Roman" w:hAnsi="Times New Roman"/>
          <w:sz w:val="18"/>
          <w:szCs w:val="18"/>
          <w:color w:val="auto"/>
        </w:rPr>
      </w:pPr>
    </w:p>
    <w:p>
      <w:pPr>
        <w:ind w:left="560" w:hanging="240"/>
        <w:spacing w:after="0"/>
        <w:tabs>
          <w:tab w:leader="none" w:pos="5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LED Drivers: devices which regulate the current through a light-emitting diode or string of diodes for the purpose of creating light</w:t>
      </w:r>
    </w:p>
    <w:p>
      <w:pPr>
        <w:spacing w:after="0" w:line="3" w:lineRule="exact"/>
        <w:rPr>
          <w:rFonts w:ascii="Times New Roman" w:cs="Times New Roman" w:eastAsia="Times New Roman" w:hAnsi="Times New Roman"/>
          <w:sz w:val="18"/>
          <w:szCs w:val="18"/>
          <w:color w:val="auto"/>
        </w:rPr>
      </w:pPr>
    </w:p>
    <w:p>
      <w:pPr>
        <w:ind w:left="560" w:hanging="240"/>
        <w:spacing w:after="0"/>
        <w:tabs>
          <w:tab w:leader="none" w:pos="5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Low-Noise Amplifiers: devices used to reduce system noise figure in the receive chain</w:t>
      </w:r>
    </w:p>
    <w:p>
      <w:pPr>
        <w:spacing w:after="0" w:line="3" w:lineRule="exact"/>
        <w:rPr>
          <w:rFonts w:ascii="Times New Roman" w:cs="Times New Roman" w:eastAsia="Times New Roman" w:hAnsi="Times New Roman"/>
          <w:sz w:val="18"/>
          <w:szCs w:val="18"/>
          <w:color w:val="auto"/>
        </w:rPr>
      </w:pPr>
    </w:p>
    <w:p>
      <w:pPr>
        <w:ind w:left="800" w:hanging="480"/>
        <w:spacing w:after="0" w:line="243" w:lineRule="auto"/>
        <w:tabs>
          <w:tab w:leader="none" w:pos="659"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Mixers: devices that enable signals to be converted to a higher or lower frequency signal and thereby allowing the signals to be processed more effectively</w:t>
      </w:r>
    </w:p>
    <w:p>
      <w:pPr>
        <w:ind w:left="560" w:hanging="240"/>
        <w:spacing w:after="0"/>
        <w:tabs>
          <w:tab w:leader="none" w:pos="5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Modulators: devices that take a baseband input signal and output a radio frequency modulated signal</w:t>
      </w:r>
    </w:p>
    <w:p>
      <w:pPr>
        <w:spacing w:after="0" w:line="3" w:lineRule="exact"/>
        <w:rPr>
          <w:rFonts w:ascii="Times New Roman" w:cs="Times New Roman" w:eastAsia="Times New Roman" w:hAnsi="Times New Roman"/>
          <w:sz w:val="18"/>
          <w:szCs w:val="18"/>
          <w:color w:val="auto"/>
        </w:rPr>
      </w:pPr>
    </w:p>
    <w:p>
      <w:pPr>
        <w:ind w:left="800" w:hanging="480"/>
        <w:spacing w:after="0" w:line="243" w:lineRule="auto"/>
        <w:tabs>
          <w:tab w:leader="none" w:pos="607"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Optocouplers/Optoisolators: semiconductor devices that allow signals to be transferred between circuits or systems while ensuring that the circuits or systems are electrically isolated from each other</w:t>
      </w:r>
    </w:p>
    <w:p>
      <w:pPr>
        <w:ind w:left="560" w:hanging="240"/>
        <w:spacing w:after="0"/>
        <w:tabs>
          <w:tab w:leader="none" w:pos="5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Locked Loops: closed-loop feedback control system that maintains a generated signal in a fixed phase relationship to a reference signal</w:t>
      </w:r>
    </w:p>
    <w:p>
      <w:pPr>
        <w:spacing w:after="0" w:line="3" w:lineRule="exact"/>
        <w:rPr>
          <w:rFonts w:ascii="Times New Roman" w:cs="Times New Roman" w:eastAsia="Times New Roman" w:hAnsi="Times New Roman"/>
          <w:sz w:val="18"/>
          <w:szCs w:val="18"/>
          <w:color w:val="auto"/>
        </w:rPr>
      </w:pPr>
    </w:p>
    <w:p>
      <w:pPr>
        <w:ind w:left="560" w:hanging="240"/>
        <w:spacing w:after="0"/>
        <w:tabs>
          <w:tab w:leader="none" w:pos="5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Shifters: designed for use in power amplifier distortion compensation circuits in base station applications</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67310</wp:posOffset>
            </wp:positionV>
            <wp:extent cx="7161530"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ind w:left="800" w:hanging="480"/>
        <w:spacing w:after="0" w:line="253" w:lineRule="auto"/>
        <w:tabs>
          <w:tab w:leader="none" w:pos="70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Power Dividers/Combiners: utilized to equally split signals into in-phase signals as often found in balanced signal chains and local oscillator distribution networks</w:t>
      </w:r>
    </w:p>
    <w:p>
      <w:pPr>
        <w:spacing w:after="0" w:line="1" w:lineRule="exact"/>
        <w:rPr>
          <w:rFonts w:ascii="Times New Roman" w:cs="Times New Roman" w:eastAsia="Times New Roman" w:hAnsi="Times New Roman"/>
          <w:sz w:val="18"/>
          <w:szCs w:val="18"/>
          <w:color w:val="auto"/>
        </w:rPr>
      </w:pPr>
    </w:p>
    <w:p>
      <w:pPr>
        <w:ind w:left="560" w:hanging="240"/>
        <w:spacing w:after="0"/>
        <w:tabs>
          <w:tab w:leader="none" w:pos="5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Power over Ethernet: enables both data and power to be sent over standard ethernet cable.</w:t>
      </w:r>
    </w:p>
    <w:p>
      <w:pPr>
        <w:spacing w:after="0" w:line="3" w:lineRule="exact"/>
        <w:rPr>
          <w:rFonts w:ascii="Times New Roman" w:cs="Times New Roman" w:eastAsia="Times New Roman" w:hAnsi="Times New Roman"/>
          <w:sz w:val="18"/>
          <w:szCs w:val="18"/>
          <w:color w:val="auto"/>
        </w:rPr>
      </w:pPr>
    </w:p>
    <w:p>
      <w:pPr>
        <w:ind w:left="800" w:hanging="480"/>
        <w:spacing w:after="0" w:line="243" w:lineRule="auto"/>
        <w:tabs>
          <w:tab w:leader="none" w:pos="622"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Power Isolators: digital, analog isolators, and isolated gate drivers used in industrial control, solar inverters, hybrid/electric automotive systems and charging stations</w:t>
      </w:r>
    </w:p>
    <w:p>
      <w:pPr>
        <w:ind w:left="560" w:hanging="240"/>
        <w:spacing w:after="0" w:line="201" w:lineRule="auto"/>
        <w:tabs>
          <w:tab w:leader="none" w:pos="5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ProSLIC</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family of subscriber line interface circuits: provides complete analog telephone interfaces for premise equipment and enterprise</w:t>
      </w:r>
    </w:p>
    <w:p>
      <w:pPr>
        <w:ind w:left="560" w:hanging="240"/>
        <w:spacing w:after="0"/>
        <w:tabs>
          <w:tab w:leader="none" w:pos="5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Receivers: electronic devices that change a radio signal from a transmitter into useful information (including broadcast receivers)</w:t>
      </w:r>
    </w:p>
    <w:p>
      <w:pPr>
        <w:ind w:left="800" w:hanging="480"/>
        <w:spacing w:after="0" w:line="243" w:lineRule="auto"/>
        <w:tabs>
          <w:tab w:leader="none" w:pos="57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System In Package: complete system in a package, including modem, RF front-end, filtering, matching, timing generation – typically, fully certified by regulatory bodies, industry bodies and multi-service operators</w:t>
      </w:r>
    </w:p>
    <w:p>
      <w:pPr>
        <w:ind w:left="560" w:hanging="240"/>
        <w:spacing w:after="0"/>
        <w:tabs>
          <w:tab w:leader="none" w:pos="5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Switches: components that perform the change between the transmit and receive function, as well as the band function for cellular handsets</w:t>
      </w:r>
    </w:p>
    <w:p>
      <w:pPr>
        <w:spacing w:after="0" w:line="3" w:lineRule="exact"/>
        <w:rPr>
          <w:rFonts w:ascii="Times New Roman" w:cs="Times New Roman" w:eastAsia="Times New Roman" w:hAnsi="Times New Roman"/>
          <w:sz w:val="18"/>
          <w:szCs w:val="18"/>
          <w:color w:val="auto"/>
        </w:rPr>
      </w:pPr>
    </w:p>
    <w:p>
      <w:pPr>
        <w:ind w:left="560" w:hanging="240"/>
        <w:spacing w:after="0"/>
        <w:tabs>
          <w:tab w:leader="none" w:pos="5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Synthesizers: devices that provide ultra-fine frequency resolution, fast switching speed, and low phase-noise performance</w:t>
      </w:r>
    </w:p>
    <w:p>
      <w:pPr>
        <w:spacing w:after="0" w:line="3" w:lineRule="exact"/>
        <w:rPr>
          <w:rFonts w:ascii="Times New Roman" w:cs="Times New Roman" w:eastAsia="Times New Roman" w:hAnsi="Times New Roman"/>
          <w:sz w:val="18"/>
          <w:szCs w:val="18"/>
          <w:color w:val="auto"/>
        </w:rPr>
      </w:pPr>
    </w:p>
    <w:p>
      <w:pPr>
        <w:ind w:left="800" w:hanging="480"/>
        <w:spacing w:after="0" w:line="243" w:lineRule="auto"/>
        <w:tabs>
          <w:tab w:leader="none" w:pos="611"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Timing Devices: clock generators, oscillators, jitter attenuators, and buffers used in optical networking, data center, wireless base stations, industrial, and automotive applications</w:t>
      </w:r>
    </w:p>
    <w:p>
      <w:pPr>
        <w:ind w:left="560" w:hanging="240"/>
        <w:spacing w:after="0"/>
        <w:tabs>
          <w:tab w:leader="none" w:pos="5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Voltage Controlled Oscillators/Synthesizers: fully integrated, high performance signal source for high dynamic range transceivers</w:t>
      </w:r>
    </w:p>
    <w:p>
      <w:pPr>
        <w:spacing w:after="0" w:line="3" w:lineRule="exact"/>
        <w:rPr>
          <w:rFonts w:ascii="Times New Roman" w:cs="Times New Roman" w:eastAsia="Times New Roman" w:hAnsi="Times New Roman"/>
          <w:sz w:val="18"/>
          <w:szCs w:val="18"/>
          <w:color w:val="auto"/>
        </w:rPr>
      </w:pPr>
    </w:p>
    <w:p>
      <w:pPr>
        <w:ind w:left="560" w:hanging="240"/>
        <w:spacing w:after="0"/>
        <w:tabs>
          <w:tab w:leader="none" w:pos="5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Voltage Regulators: generate a fixed level which ideally remains constant over varying input voltage or load conditions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believe we possess broad technology capabilities and one of the most complete wireless communications product portfolios in the industry.</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Marketing and Distribution</w:t>
      </w:r>
    </w:p>
    <w:p>
      <w:pPr>
        <w:spacing w:after="0" w:line="11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Our products are sold globally through a direct sales force, electronic component distributors, and independent sales representatives. As is customary in the semiconductor industry, our distributors may also market other products that compete with ours.</w:t>
      </w:r>
    </w:p>
    <w:p>
      <w:pPr>
        <w:spacing w:after="0" w:line="19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sales engagement begins at the earliest stages of the design of an existing or potential customer’s product. We collaborate technically with our customers and reference design partners at the inception of new programs. These relationships allow our team to facilitate customer-driven solutions, which leverage the unique strength of our intellectual property and product portfolio while providing high value and greatly reducing time-to-market.</w:t>
      </w:r>
    </w:p>
    <w:p>
      <w:pPr>
        <w:spacing w:after="0" w:line="20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We believe the technical and complex nature of our products and markets demand an extraordinary commitment to maintain close ongoing relationships with our customers. We also employ a collaborative approach in developing these relationships by combining the support of our design teams, applications engineers, manufacturing personnel, sales and marketing staff, and senior management. Lastly, we leverage our customer relationships with cross-selling opportunities across product lines in order to maximize revenue.</w:t>
      </w:r>
    </w:p>
    <w:p>
      <w:pPr>
        <w:spacing w:after="0" w:line="21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We believe that maintaining frequent and interactive contact with our customers is paramount to our continuous efforts to provide world-class sales and service support. By listening and responding to feedback, we are able to mobilize resources to raise our level of customer satisfaction, improve our ability to anticipate future product needs, and enhance our understanding of key market dynamics. We are confident that diligently following this path positions us to participate in numerous opportunities for growth in the future.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Customer Concentration</w:t>
      </w:r>
    </w:p>
    <w:p>
      <w:pPr>
        <w:spacing w:after="0" w:line="112"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A small number of OEMs historically has accounted for a significant portion of our net revenue. In each of the fiscal years ended September 27, 2024 (“fiscal 2024”), September 29, 2023 (“fiscal 2023”), and September 30, 2022 (“fiscal 2022”), Apple, through sales to multiple distributors and contract manufacturers for multiple applications including smartphones, tablets, desktop and notebook computers, watches, and other devices, constituted more than ten percent of our net revenue. Further, the Company’s three largest accounts receivable balances comprised 80% and 83% of aggregate gross accounts receivable as of September 27, 2024 and September 29, 2023, respectively. For further information regarding customer concentrations, see Note 14 to Item 8 of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67310</wp:posOffset>
            </wp:positionV>
            <wp:extent cx="7161530"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 and Proprietary Rights</w:t>
      </w:r>
    </w:p>
    <w:p>
      <w:pPr>
        <w:spacing w:after="0" w:line="11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We own or have a license to use numerous United States and foreign patents and patent applications related to our products and our manufacturing operations and processes. In addition, we own a number of trademarks and service marks applicable to certain of our products and services. We believe that our intellectual property, including patents, patent applications, trade secrets, and trademarks, is of material importance to our business. We rely on patent, copyright, trademark, trade secret, and other intellectual property laws, as well as non-disclosure and confidentiality agreements and other methods, to protect our confidential and proprietary technologies, designs, devices, algorithms, processes, and other intellectual property. Our efforts may not meaningfully protect our intellectual property, or others may independently develop substantially equivalent or superior proprietary technologies, designs, devices, algorithms, processes, or other intellectual property. In addition, the laws of some foreign countries do not protect proprietary rights to the same extent as the laws of the United States, and effective copyright, patent, trademark, and trade secret protection may not be available in those jurisdictions. In addition to protecting our intellectual property, we strive to strengthen our intellectual property portfolio to enhance our ability to obtain cross-licenses of intellectual property from others, to obtain access to intellectual property we do not possess, and to more favorably resolve potential intellectual property claims against us. Due to rapid technological changes in the industry, we believe establishing and maintaining a technological leadership position depends primarily on our ability to develop new, innovative products through the technical competence of our engineering personnel.</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Competitive Conditions</w:t>
      </w:r>
    </w:p>
    <w:p>
      <w:pPr>
        <w:spacing w:after="0" w:line="11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The competitive environment in the semiconductor industry is in a constant state of flux, with new products continually emerging and existing products approaching technological obsolescence. We compete on the basis of time-to-market, new product innovation, quality, performance, price, compliance with industry standards, strategic relationships with customers and baseband vendors, personnel resources, and protection of our intellectual property. We participate in highly competitive markets against numerous competitors that may be able to adapt more quickly to new or emerging technologies and changes in customer requirements, or may be able to devote greater resources to the development, promotion, and sale of their products.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112"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6"/>
          <w:szCs w:val="16"/>
          <w:color w:val="auto"/>
        </w:rPr>
        <w:t>Our products and markets demand rapid technological advancements requiring a continuous effort to enhance existing products and develop new products and technologies. Accordingly, we maintain a high level of research and development activity. We invested $631.7 million, $606.8 million, and $617.9 million in research and development during fiscal 2024, fiscal 2023, and fiscal 2022, respectively. The level of research and development expenses were the result of increases in our internal product designs and product development activity for our target markets in each of these fiscal years. Our research and development expenses include new product development and innovations in integrated circuit design, investment in advanced semiconductor manufacturing processes, development of new packaging and test capabilities, and research on next-generation technologies and product opportunities. We maintain close collaborative relationships with many of our customers to help identify market demands and target our development efforts to meet those demands.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Raw Materials</w:t>
      </w:r>
    </w:p>
    <w:p>
      <w:pPr>
        <w:spacing w:after="0" w:line="112"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Raw materials for our products and manufacturing processes are generally available from several sources. It is our intent not to depend on a sole source of supply unless market or other conditions dictate otherwise. However, there are limited situations where we procure certain components and services for our products from single or limited sources, and we are currently dependent on a limited number of sole-source suppliers. We purchase materials and services primarily pursuant to individual purchase orders. However, we have entered into certain supply agreements for the purchase of raw materials or other manufacturing-related services that specify minimum prices and purchase quantity based on our anticipated future requirements. Certain of our suppliers consign raw materials to us at our manufacturing facilities to which we take title as needed in our manufacturing process. We have taken strategic action with suppliers located around the world to secure sourcing of the raw materials and components necessary for our manufacturing.</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Backlog and Inventory</w:t>
      </w:r>
    </w:p>
    <w:p>
      <w:pPr>
        <w:spacing w:after="0" w:line="11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Our sales are primarily from the sale of semiconductor products under individual customer purchase orders, some of which have underlying master sales agreements that specify terms governing the product sales. In the absence of a sales agreement, the Company’s standard terms and conditions apply. Due to industry practice, which allows customers to cancel orders with limited advance notice to us prior to shipment, and with little or no penalty, we believe that backlog as of any particular date may not be a reliable indicator of our future revenue levels. The cancellation or deferral of product orders, the return of previously sold products, or overproduction due to a change in anticipated order volume could result in a reduction in revenue and us holding</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67310</wp:posOffset>
            </wp:positionV>
            <wp:extent cx="716153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excess or obsolete inventory, which could result in inventory write-downs and, in turn, could have a material adverse effect on our financial condition.</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Government Regulations</w:t>
      </w:r>
    </w:p>
    <w:p>
      <w:pPr>
        <w:spacing w:after="0" w:line="112"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We are subject to international, federal, state, and local legislation, regulations, and other requirements relating to the discharge of substances into the environment; the treatment, transport, and disposal of hazardous wastes; recycling and product packaging; worker health and safety; and other activities affecting the environment, our workforce, and the management of our manufacturing operations. In addition, most of our customers have mandated that our operations and our products comply with various sustainability initiatives and workers’ rights initiatives initiated by such customers, industry groups in which such customers participate, or the jurisdictions in which such customers operate. We believe that our operations and facilities comply in all material respects with applicable environmental laws and worker health and safety laws. Our efforts to comply with environmental laws and worker health and safety laws could have material impacts on our capital expenditures, competitive position, or financial condition, though the magnitude and duration of such impacts are uncertain and difficult to quantify.</w:t>
      </w:r>
    </w:p>
    <w:p>
      <w:pPr>
        <w:spacing w:after="0" w:line="21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also subject to import/export controls, tariffs, and other trade-related regulations and restrictions in the countries in which we have operations or otherwise do business. These controls, tariffs, regulations, and restrictions (including those discussed below in Item 1A, Risk Factors) have had, and we believe may continue to have, a material impact on our business, including our ability to sell products and to manufacture or source components.</w:t>
      </w:r>
    </w:p>
    <w:p>
      <w:pPr>
        <w:spacing w:after="0" w:line="20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Government regulations are subject to change in the future, and accordingly we are unable to assess the possible effect of compliance with future requirements or whether our compliance with such regulations will materially impact our business, results of operations, or financial condition.</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Seasonality</w:t>
      </w:r>
    </w:p>
    <w:p>
      <w:pPr>
        <w:spacing w:after="0" w:line="112"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6"/>
          <w:szCs w:val="16"/>
          <w:color w:val="auto"/>
        </w:rPr>
        <w:t>Sales of our products are subject to seasonal fluctuation and periods of increased demand in end-user consumer applications, such as smartphones and tablet computing devices. The highest demand for our products generally occurs in our first fiscal quarter ending in December and the fourth fiscal quarter ending in September. The lowest demand for our products generally occurs in our second fiscal quarter ending in March and the third fiscal quarter ending in June.</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Employees</w:t>
      </w:r>
    </w:p>
    <w:p>
      <w:pPr>
        <w:spacing w:after="0" w:line="11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Our workforce consists of approximately 10,100 employees located around the world, more than 99% of whom are full-time employees. As of September 27, 2024:</w:t>
      </w:r>
    </w:p>
    <w:p>
      <w:pPr>
        <w:spacing w:after="0" w:line="196" w:lineRule="exact"/>
        <w:rPr>
          <w:sz w:val="20"/>
          <w:szCs w:val="20"/>
          <w:color w:val="auto"/>
        </w:rPr>
      </w:pPr>
    </w:p>
    <w:p>
      <w:pPr>
        <w:ind w:left="640" w:hanging="320"/>
        <w:spacing w:after="0" w:line="253" w:lineRule="auto"/>
        <w:tabs>
          <w:tab w:leader="none" w:pos="60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workforce was distributed geographically approximately as follows: 54% in Mexico, 25% in the United States, 19% in Asia, 1% in Canada, and less than 1% in Europe.</w:t>
      </w:r>
    </w:p>
    <w:p>
      <w:pPr>
        <w:spacing w:after="0" w:line="1" w:lineRule="exact"/>
        <w:rPr>
          <w:rFonts w:ascii="Times New Roman" w:cs="Times New Roman" w:eastAsia="Times New Roman" w:hAnsi="Times New Roman"/>
          <w:sz w:val="18"/>
          <w:szCs w:val="18"/>
          <w:color w:val="auto"/>
        </w:rPr>
      </w:pPr>
    </w:p>
    <w:p>
      <w:pPr>
        <w:ind w:left="640" w:hanging="320"/>
        <w:spacing w:after="0" w:line="243" w:lineRule="auto"/>
        <w:tabs>
          <w:tab w:leader="none" w:pos="67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workforce was distributed by function approximately as follows: 41% in individual contributor manufacturing roles, 35% in engineering or technician roles, 11% in managerial roles, and 13% in professional or other administrative roles.</w:t>
      </w:r>
    </w:p>
    <w:p>
      <w:pPr>
        <w:ind w:left="640" w:hanging="320"/>
        <w:spacing w:after="0" w:line="247" w:lineRule="auto"/>
        <w:tabs>
          <w:tab w:leader="none" w:pos="579"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3,400 of our employees in Mexico, 570 of our employees in Singapore, and 440 of our employees in Japan were covered by collective bargaining and other union agreements.</w:t>
      </w:r>
    </w:p>
    <w:p>
      <w:pPr>
        <w:spacing w:after="0" w:line="213"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We focus on attracting and retaining employees by providing compensation and benefits packages that are competitive within the applicable market for each position. Nearly all full-time employees across the globe are eligible to participate in one of the Company’s incentive plans, under which payments are tied to pre-established performance goals, as well as to purchase shares of the Company’s common stock at a discount from its market price pursuant to the Company’s employee stock purchase plans. In addition, we believe that developing our employees’ skill sets and decision-making abilities—through challenging project assignments, formal training, mentorship, and recognition—is key not only to our employees’ job satisfaction and our retention efforts, but also to maintaining a strong leadership pipeline.</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67310</wp:posOffset>
            </wp:positionV>
            <wp:extent cx="716153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4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You should carefully consider the risks described below, some of which have manifested and any of which may occur in the future, in addition to the other information contained in this report before making an investment decision with respect to any of our securities. Our business, results of operations, and financial condition could be materially and adversely impacted by any of these risks, which could, in turn, adversely affect our stock price. Additional risks not currently known to us or other factors not perceived by us as material risks could also present significant risks to our business.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Associated with Operating a Global Business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risks of doing business internationally apply to all aspects of our operations.</w:t>
      </w:r>
    </w:p>
    <w:p>
      <w:pPr>
        <w:spacing w:after="0" w:line="11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We derive significant revenues from customers located outside the United States, primarily in countries located in the Asia-Pacific region and Europe. We have suppliers located outside the United States, including third-party packaging, assembly, and test facilities and semiconductor foundries located in the Asia-Pacific region. We also operate our own wafer processing facilities in Osaka, Japan, as well as packaging, assembly, and test facilities in Singapore and in Mexicali, Mexico. Our international sales and operations are subject to a number of risks inherent in selling and operating in multiple jurisdictions. These include, but are not limited to, risks regarding:</w:t>
      </w:r>
    </w:p>
    <w:p>
      <w:pPr>
        <w:spacing w:after="0" w:line="82" w:lineRule="exact"/>
        <w:rPr>
          <w:sz w:val="20"/>
          <w:szCs w:val="20"/>
          <w:color w:val="auto"/>
        </w:rPr>
      </w:pPr>
    </w:p>
    <w:p>
      <w:pPr>
        <w:ind w:left="560" w:hanging="240"/>
        <w:spacing w:after="0"/>
        <w:tabs>
          <w:tab w:leader="none" w:pos="5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recession or economic downturn globally or in the jurisdictions in which we do business,</w:t>
      </w:r>
    </w:p>
    <w:p>
      <w:pPr>
        <w:spacing w:after="0" w:line="20" w:lineRule="exact"/>
        <w:rPr>
          <w:rFonts w:ascii="Times New Roman" w:cs="Times New Roman" w:eastAsia="Times New Roman" w:hAnsi="Times New Roman"/>
          <w:sz w:val="18"/>
          <w:szCs w:val="18"/>
          <w:color w:val="auto"/>
        </w:rPr>
      </w:pPr>
    </w:p>
    <w:p>
      <w:pPr>
        <w:ind w:left="560" w:hanging="240"/>
        <w:spacing w:after="0"/>
        <w:tabs>
          <w:tab w:leader="none" w:pos="5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currency controls and currency exchange rate fluctuations, including increases or decreases in commodities prices related to such fluctuations,</w:t>
      </w:r>
    </w:p>
    <w:p>
      <w:pPr>
        <w:spacing w:after="0" w:line="3" w:lineRule="exact"/>
        <w:rPr>
          <w:rFonts w:ascii="Times New Roman" w:cs="Times New Roman" w:eastAsia="Times New Roman" w:hAnsi="Times New Roman"/>
          <w:sz w:val="18"/>
          <w:szCs w:val="18"/>
          <w:color w:val="auto"/>
        </w:rPr>
      </w:pPr>
    </w:p>
    <w:p>
      <w:pPr>
        <w:ind w:left="640" w:hanging="320"/>
        <w:spacing w:after="0" w:line="243" w:lineRule="auto"/>
        <w:tabs>
          <w:tab w:leader="none" w:pos="572"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inflation or deflation, as well as changes in existing and expected rates of inflation or deflation, which may vary across the jurisdictions in which we do business,</w:t>
      </w:r>
    </w:p>
    <w:p>
      <w:pPr>
        <w:ind w:left="560" w:hanging="240"/>
        <w:spacing w:after="0"/>
        <w:tabs>
          <w:tab w:leader="none" w:pos="5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rates, as well as changes in existing and expected interest rates, which may vary across the jurisdictions in which we do business,</w:t>
      </w:r>
    </w:p>
    <w:p>
      <w:pPr>
        <w:spacing w:after="0" w:line="3" w:lineRule="exact"/>
        <w:rPr>
          <w:rFonts w:ascii="Times New Roman" w:cs="Times New Roman" w:eastAsia="Times New Roman" w:hAnsi="Times New Roman"/>
          <w:sz w:val="18"/>
          <w:szCs w:val="18"/>
          <w:color w:val="auto"/>
        </w:rPr>
      </w:pPr>
    </w:p>
    <w:p>
      <w:pPr>
        <w:jc w:val="both"/>
        <w:ind w:left="640" w:hanging="320"/>
        <w:spacing w:after="0" w:line="243" w:lineRule="auto"/>
        <w:tabs>
          <w:tab w:leader="none" w:pos="641"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regional, and local economic and political conditions, including, but not limited to, social, economic, political, and supply chain instability related to the uncertainty regarding the relationships among the United States, China, Taiwan, Russia, Mexico, North Korea, Israel, other Middle Eastern countries, Japan, Singapore, other foreign countries, and the international community at large, as well as related to armed conflicts, such as the conflict between Russia and Ukraine and the conflicts in Israel and the Middle Eastern region, that exist, or in the future could exist, in various jurisdictions around the world,</w:t>
      </w:r>
    </w:p>
    <w:p>
      <w:pPr>
        <w:spacing w:after="0" w:line="2" w:lineRule="exact"/>
        <w:rPr>
          <w:rFonts w:ascii="Times New Roman" w:cs="Times New Roman" w:eastAsia="Times New Roman" w:hAnsi="Times New Roman"/>
          <w:sz w:val="18"/>
          <w:szCs w:val="18"/>
          <w:color w:val="auto"/>
        </w:rPr>
      </w:pPr>
    </w:p>
    <w:p>
      <w:pPr>
        <w:jc w:val="both"/>
        <w:ind w:left="640" w:hanging="320"/>
        <w:spacing w:after="0" w:line="243" w:lineRule="auto"/>
        <w:tabs>
          <w:tab w:leader="none" w:pos="719"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restrictive governmental actions (such as restrictions on transfer of funds, restrictions on individuals’ movement, including travel restrictions, quarantines, lockdowns, and curfews, trade protection measures, including export duties, quotas, customs duties, border taxes, border closures, increased import or export controls, export licenses, and tariffs, and restrictions on the purchase of products made or containing technology or components from certain companies or from companies located in certain jurisdictions), or actions by non-governmental individuals and groups (such as protests, boycotts, insurgencies, organized crime, and general civil unrest), that could negatively impact trade between, or increase the cost of operating in, the countries in which we do business,</w:t>
      </w:r>
    </w:p>
    <w:p>
      <w:pPr>
        <w:spacing w:after="0" w:line="2" w:lineRule="exact"/>
        <w:rPr>
          <w:rFonts w:ascii="Times New Roman" w:cs="Times New Roman" w:eastAsia="Times New Roman" w:hAnsi="Times New Roman"/>
          <w:sz w:val="18"/>
          <w:szCs w:val="18"/>
          <w:color w:val="auto"/>
        </w:rPr>
      </w:pPr>
    </w:p>
    <w:p>
      <w:pPr>
        <w:ind w:left="560" w:hanging="240"/>
        <w:spacing w:after="0"/>
        <w:tabs>
          <w:tab w:leader="none" w:pos="5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 market conditions and laws,</w:t>
      </w:r>
    </w:p>
    <w:p>
      <w:pPr>
        <w:spacing w:after="0" w:line="3" w:lineRule="exact"/>
        <w:rPr>
          <w:rFonts w:ascii="Times New Roman" w:cs="Times New Roman" w:eastAsia="Times New Roman" w:hAnsi="Times New Roman"/>
          <w:sz w:val="18"/>
          <w:szCs w:val="18"/>
          <w:color w:val="auto"/>
        </w:rPr>
      </w:pPr>
    </w:p>
    <w:p>
      <w:pPr>
        <w:ind w:left="560" w:hanging="240"/>
        <w:spacing w:after="0"/>
        <w:tabs>
          <w:tab w:leader="none" w:pos="5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of capital and trading markets,</w:t>
      </w:r>
    </w:p>
    <w:p>
      <w:pPr>
        <w:spacing w:after="0" w:line="3" w:lineRule="exact"/>
        <w:rPr>
          <w:rFonts w:ascii="Times New Roman" w:cs="Times New Roman" w:eastAsia="Times New Roman" w:hAnsi="Times New Roman"/>
          <w:sz w:val="18"/>
          <w:szCs w:val="18"/>
          <w:color w:val="auto"/>
        </w:rPr>
      </w:pPr>
    </w:p>
    <w:p>
      <w:pPr>
        <w:ind w:left="560" w:hanging="240"/>
        <w:spacing w:after="0"/>
        <w:tabs>
          <w:tab w:leader="none" w:pos="5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in collecting, or failure to collect, accounts receivable, as well as longer collection periods,</w:t>
      </w:r>
    </w:p>
    <w:p>
      <w:pPr>
        <w:spacing w:after="0" w:line="3" w:lineRule="exact"/>
        <w:rPr>
          <w:rFonts w:ascii="Times New Roman" w:cs="Times New Roman" w:eastAsia="Times New Roman" w:hAnsi="Times New Roman"/>
          <w:sz w:val="18"/>
          <w:szCs w:val="18"/>
          <w:color w:val="auto"/>
        </w:rPr>
      </w:pPr>
    </w:p>
    <w:p>
      <w:pPr>
        <w:ind w:left="640" w:hanging="320"/>
        <w:spacing w:after="0" w:line="243" w:lineRule="auto"/>
        <w:tabs>
          <w:tab w:leader="none" w:pos="57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or non-compliance with, legal or regulatory import/export requirements, including restrictions on selling to certain customers or into certain jurisdictions,</w:t>
      </w:r>
    </w:p>
    <w:p>
      <w:pPr>
        <w:ind w:left="640" w:hanging="320"/>
        <w:spacing w:after="0" w:line="237" w:lineRule="auto"/>
        <w:tabs>
          <w:tab w:leader="none" w:pos="561"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disasters and severe weather events, including, but not limited to, earthquakes, wildfires, droughts, hurricanes, tsunamis, floods, rising sea levels, as well as other impacts of climate change,</w:t>
      </w:r>
    </w:p>
    <w:p>
      <w:pPr>
        <w:ind w:left="640" w:right="420" w:hanging="320"/>
        <w:spacing w:after="0" w:line="228" w:lineRule="auto"/>
        <w:tabs>
          <w:tab w:leader="none" w:pos="561"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acts of terrorism, widespread illness, the effects of global health crises on business conditions in our industry or in the jurisdictions in which we do business, or other deterioration of public health conditions, and war,</w:t>
      </w:r>
    </w:p>
    <w:p>
      <w:pPr>
        <w:ind w:left="640" w:hanging="320"/>
        <w:spacing w:after="0" w:line="242" w:lineRule="auto"/>
        <w:tabs>
          <w:tab w:leader="none" w:pos="59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misappropriation or other unauthorized transfers of our information and breaches of our information systems, as well as the potential lack of adequate remedies or enforcement mechanisms in certain jurisdictions,</w:t>
      </w:r>
    </w:p>
    <w:p>
      <w:pPr>
        <w:ind w:left="560" w:hanging="240"/>
        <w:spacing w:after="0"/>
        <w:tabs>
          <w:tab w:leader="none" w:pos="5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in engaging distribution partners or obtaining sales or other business support in certain jurisdictions,</w:t>
      </w:r>
    </w:p>
    <w:p>
      <w:pPr>
        <w:spacing w:after="0" w:line="3" w:lineRule="exact"/>
        <w:rPr>
          <w:rFonts w:ascii="Times New Roman" w:cs="Times New Roman" w:eastAsia="Times New Roman" w:hAnsi="Times New Roman"/>
          <w:sz w:val="18"/>
          <w:szCs w:val="18"/>
          <w:color w:val="auto"/>
        </w:rPr>
      </w:pPr>
    </w:p>
    <w:p>
      <w:pPr>
        <w:ind w:left="560" w:hanging="240"/>
        <w:spacing w:after="0"/>
        <w:tabs>
          <w:tab w:leader="none" w:pos="5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cultural differences in the conduct of business,</w:t>
      </w:r>
    </w:p>
    <w:p>
      <w:pPr>
        <w:spacing w:after="0" w:line="3" w:lineRule="exact"/>
        <w:rPr>
          <w:rFonts w:ascii="Times New Roman" w:cs="Times New Roman" w:eastAsia="Times New Roman" w:hAnsi="Times New Roman"/>
          <w:sz w:val="18"/>
          <w:szCs w:val="18"/>
          <w:color w:val="auto"/>
        </w:rPr>
      </w:pPr>
    </w:p>
    <w:p>
      <w:pPr>
        <w:ind w:left="560" w:hanging="240"/>
        <w:spacing w:after="0"/>
        <w:tabs>
          <w:tab w:leader="none" w:pos="5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 or indirect government actions, subsidies, or policies aimed at supporting local industry,</w:t>
      </w:r>
    </w:p>
    <w:p>
      <w:pPr>
        <w:spacing w:after="0" w:line="3" w:lineRule="exact"/>
        <w:rPr>
          <w:rFonts w:ascii="Times New Roman" w:cs="Times New Roman" w:eastAsia="Times New Roman" w:hAnsi="Times New Roman"/>
          <w:sz w:val="18"/>
          <w:szCs w:val="18"/>
          <w:color w:val="auto"/>
        </w:rPr>
      </w:pPr>
    </w:p>
    <w:p>
      <w:pPr>
        <w:ind w:left="640" w:hanging="320"/>
        <w:spacing w:after="0" w:line="274" w:lineRule="auto"/>
        <w:tabs>
          <w:tab w:leader="none" w:pos="561"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laws and policies of the United States and other countries affecting trade, foreign investment and loans, foreign travel, and import or export licensing requirements, including, but not limited to, prohibitions on certain trade and other activities in China, Russia, Belarus, and portions of Ukraine,</w:t>
      </w:r>
    </w:p>
    <w:p>
      <w:pPr>
        <w:ind w:left="640" w:hanging="320"/>
        <w:spacing w:after="0" w:line="243" w:lineRule="auto"/>
        <w:tabs>
          <w:tab w:leader="none" w:pos="611"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from, or renegotiation of, existing trade agreements by the United States (or other jurisdictions) potentially affecting Mexico, China, and other countries in which we do business,</w:t>
      </w:r>
    </w:p>
    <w:p>
      <w:pPr>
        <w:ind w:left="560" w:hanging="240"/>
        <w:spacing w:after="0"/>
        <w:tabs>
          <w:tab w:leader="none" w:pos="5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current or future tax law or regulations or new interpretations thereof, by federal or state agencies or foreign governments,</w:t>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76200</wp:posOffset>
            </wp:positionV>
            <wp:extent cx="716153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ind w:left="560" w:hanging="240"/>
        <w:spacing w:after="0"/>
        <w:tabs>
          <w:tab w:leader="none" w:pos="5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effective tax rate as a result of our overall profitability and mix of earnings in countries with differing statutory tax rates,</w:t>
      </w:r>
    </w:p>
    <w:p>
      <w:pPr>
        <w:spacing w:after="0" w:line="20" w:lineRule="exact"/>
        <w:rPr>
          <w:rFonts w:ascii="Times New Roman" w:cs="Times New Roman" w:eastAsia="Times New Roman" w:hAnsi="Times New Roman"/>
          <w:sz w:val="18"/>
          <w:szCs w:val="18"/>
          <w:color w:val="auto"/>
        </w:rPr>
      </w:pPr>
    </w:p>
    <w:p>
      <w:pPr>
        <w:ind w:left="560" w:hanging="240"/>
        <w:spacing w:after="0"/>
        <w:tabs>
          <w:tab w:leader="none" w:pos="5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audits and examination of previously filed tax returns, and</w:t>
      </w:r>
    </w:p>
    <w:p>
      <w:pPr>
        <w:spacing w:after="0" w:line="3" w:lineRule="exact"/>
        <w:rPr>
          <w:rFonts w:ascii="Times New Roman" w:cs="Times New Roman" w:eastAsia="Times New Roman" w:hAnsi="Times New Roman"/>
          <w:sz w:val="18"/>
          <w:szCs w:val="18"/>
          <w:color w:val="auto"/>
        </w:rPr>
      </w:pPr>
    </w:p>
    <w:p>
      <w:pPr>
        <w:ind w:left="560" w:hanging="240"/>
        <w:spacing w:after="0"/>
        <w:tabs>
          <w:tab w:leader="none" w:pos="5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our ability under local laws to protect or enforce our intellectual property rights in a particular foreign jurisdiction.</w:t>
      </w:r>
    </w:p>
    <w:p>
      <w:pPr>
        <w:spacing w:after="0" w:line="9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Additionally, we are subject to risks in certain global markets in which wireless operators provide subsidies on handset sales to their customers. Increases in cellular handset prices that negatively impact handset sales can result from changes in regulatory policies or other factors, which could impact the demand for our products.</w:t>
      </w:r>
    </w:p>
    <w:p>
      <w:pPr>
        <w:spacing w:after="0" w:line="75"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Some of the countries in which we operate and seek to expand are in emerging markets where legal systems may be less developed or familiar to us, potentially impacting our ability to obtain appropriate recourse in the event of a dispute. Other jurisdictions in which we conduct business have established, or may establish, legal and regulatory regimes that differ materially from United States laws and regulations. It is costly, time-consuming, and requires significant resources to comply with the numerous, and sometimes conflicting, legal regimes in the jurisdictions in which we conduct business on matters as diverse as anti-corruption, anti-bribery, import/export controls, content requirements, trade restrictions, tariffs, taxation, sanctions, immigration, intellectual property, sustainability, internal and disclosure control obligations, securities regulation, competition, data privacy and protection, employment, and labor relations. Violations of one or more of these legal regimes’ laws and regulations in the conduct of our business could result in significant fines, penalties, or monetary damages, criminal sanctions against us or our officers, prohibitions on doing business, unfavorable publicity and other reputational damage, restrictions on our ability to process information, and allegations by our counterparties that we have not performed our contractual obligations.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tax laws and regulations could have an adverse impact on our operating results.</w:t>
      </w:r>
    </w:p>
    <w:p>
      <w:pPr>
        <w:spacing w:after="0" w:line="11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We are subject to taxation in many different countries and localities worldwide. To the extent the tax laws and regulations in these various countries and localities change, our tax liability could increase.</w:t>
      </w:r>
    </w:p>
    <w:p>
      <w:pPr>
        <w:spacing w:after="0" w:line="65"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6"/>
          <w:szCs w:val="16"/>
          <w:color w:val="auto"/>
        </w:rPr>
        <w:t>Beginning in fiscal 2023, for U.S. income tax purposes we were required to capitalize our research and development expenses and amortize them over five or fifteen years, rather than deduct them in the year incurred, which has increased, and which we expect will continue to increase, our taxes payable, resulting in reduced near term-cash flows. Furthermore, on August 16, 2022, the U.S. government enacted the Inflation Reduction Act (“IRA”), which imposes a corporate alternative minimum tax (“CAMT”) of 15% on adjusted financial statement income for certain corporations, as well as an excise tax on corporate stock repurchases. While the IRA did not have a material impact to the Company’s financial statements for fiscal 2024, it could have a material impact in future periods depending on various factors, including the amount and frequency of our stock repurchases and the applicability of the CAMT to the Company.</w:t>
      </w:r>
    </w:p>
    <w:p>
      <w:pPr>
        <w:spacing w:after="0" w:line="5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Because the changes in U.S. tax law require a number of complex calculations that previously were not required, our actual tax liability may differ materially from our income tax provisions, estimates, and accruals. Changes in legal interpretations, as well as additional guidance issued under these laws, could increase income tax liabilities and/or reduce certain tax benefits.</w:t>
      </w:r>
    </w:p>
    <w:p>
      <w:pPr>
        <w:spacing w:after="0" w:line="75"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Future changes in tax laws, regulations, and treaties, or the interpretation thereof, in addition to initiatives related to the Base Erosion and Profit Shifting (“BEPS”) Project of the Organisation for Economic Co-Operation and Development (“OECD”), including Pillar One and Pillar Two; the European Commission’s “state aid” investigations; enactment of a global corporate minimum tax; and other developments could have an adverse effect on the taxation of our business, including reducing the availability of tax credits and payment of higher income taxes. Furthermore, countries where we are subject to taxes, including the United States, are evaluating their tax policies and rules on a regular basis, and we may see significant changes in legislation and regulations concerning taxation.</w:t>
      </w:r>
    </w:p>
    <w:p>
      <w:pPr>
        <w:spacing w:after="0" w:line="8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unable to predict what tax changes may be enacted in the future or what effect such changes would have on our business, but such changes could affect our effective tax rates in countries where we have operations and could have an adverse effect on our overall tax position in the future, along with increasing the complexity, burden, and cost of tax compliance.</w:t>
      </w:r>
    </w:p>
    <w:p>
      <w:pPr>
        <w:spacing w:after="0" w:line="7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The Company operates under a tax holiday in Singapore and is subject to the Company’s compliance with certain conditions, including maintaining certain employment and investment thresholds in Singapore. If we cannot, or elect not to, comply with the conditions for the tax holiday, we could be required to refund certain previously realized tax benefits for fiscal years 2021 through 2024, over which period we enjoyed a tax holiday that decreased our taxes by a cumulative $329.8 million, and we may lose the benefits of the tax holiday earlier than scheduled. For a discussion of the impact the tax holiday has on Singapore taxes owed by us, see Note 8 to Item 14 of this Annual Report on Form 10-K.</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the risks of doing business in China.</w:t>
      </w:r>
    </w:p>
    <w:p>
      <w:pPr>
        <w:spacing w:after="0" w:line="11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Demand from Chinese customers may be adversely affected by China’s evolving laws and regulations, including those relating to taxation, import and export tariffs and restrictions, currency controls, environmental regulations, privacy and information</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76200</wp:posOffset>
            </wp:positionV>
            <wp:extent cx="716153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6"/>
          <w:szCs w:val="16"/>
          <w:color w:val="auto"/>
        </w:rPr>
        <w:t>security, indigenous innovation, and intellectual property rights and enforcement of those rights. Enforcement of existing laws or agreements may be inconsistent, and the potential issuance of new laws and regulations creates uncertainty. In addition, changes in the political environment, economic environment, governmental policies, United States-China relations, or China-Taiwan relations could result in revisions to laws or regulations or their interpretation and enforcement, exposure of our intellectual property, increased taxation, restrictions on imports, import duties, or currency revaluations, any of which could have an adverse effect on our business plans and operating results. In particular, the imposition by the United States of tariffs on goods imported from China, or deemed to be of Chinese origin, and other government actions that restrict our ability to sell our products to Chinese customers or to manufacture or source components in China, and countermeasures imposed by China in response, could directly or indirectly adversely impact our manufacturing costs, the availability and cost of materials, including gallium, germanium, antimony, and rare earth metals, and the sales of our products in China and elsewhere. For example, the U.S. government has expanded export restrictions, and might continue expanding export restrictions, including by adding certain Chinese entities to the U.S. Bureau of Industry and Security’s Entity List (“Entity List”) or other entity lists, which has limited, and could in the future limit, our ability to sell to certain of those entities and to third parties that do business with those entities. These restrictions have negatively impacted, and may continue to negatively impact, sales of our products. In the future, we may be prevented from shipping, or be required to obtain a license to ship, our products to certain customers if they are added to the Entity List. In addition, geopolitical changes in China-Taiwan relations could disrupt the operations of several companies in Taiwan that are suppliers to, or third-party partners of, the Company, our customers, and our customers’ other suppliers. Disruption of certain critical operations in Taiwan would adversely affect our ability to manufacture certain products and would likely have substantial negative effects on the entire semiconductor industry. Finally, China’s investments in technology development and manufacturing capability in support of its stated policy of reducing its dependence on foreign semiconductor manufacturers and other technology companies has likely already resulted, and we expect will continue to result, in reduced demand for our products in China and other key markets as well as reduced supply of critical materials for our products.</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Associated with the Development, Manufacturing, and Sale of Our Products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operating results may be adversely affected by quarterly and annual fluctuations.</w:t>
      </w:r>
    </w:p>
    <w:p>
      <w:pPr>
        <w:spacing w:after="0" w:line="11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Our revenues, earnings, and other operating results may fluctuate significantly on a quarterly and annual basis. These fluctuations are typically the result of a number of factors, many of which are beyond our control.</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factors include, among others:</w:t>
      </w:r>
    </w:p>
    <w:p>
      <w:pPr>
        <w:spacing w:after="0" w:line="108" w:lineRule="exact"/>
        <w:rPr>
          <w:sz w:val="20"/>
          <w:szCs w:val="20"/>
          <w:color w:val="auto"/>
        </w:rPr>
      </w:pPr>
    </w:p>
    <w:p>
      <w:pPr>
        <w:ind w:left="560" w:hanging="240"/>
        <w:spacing w:after="0"/>
        <w:tabs>
          <w:tab w:leader="none" w:pos="5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the widespread deployment or adoption of commercial 5G networks, AI and other new technologies,</w:t>
      </w:r>
    </w:p>
    <w:p>
      <w:pPr>
        <w:spacing w:after="0" w:line="20" w:lineRule="exact"/>
        <w:rPr>
          <w:rFonts w:ascii="Times New Roman" w:cs="Times New Roman" w:eastAsia="Times New Roman" w:hAnsi="Times New Roman"/>
          <w:sz w:val="18"/>
          <w:szCs w:val="18"/>
          <w:color w:val="auto"/>
        </w:rPr>
      </w:pPr>
    </w:p>
    <w:p>
      <w:pPr>
        <w:ind w:left="560" w:hanging="240"/>
        <w:spacing w:after="0"/>
        <w:tabs>
          <w:tab w:leader="none" w:pos="5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end-user demand for the products manufactured and sold by our customers,</w:t>
      </w:r>
    </w:p>
    <w:p>
      <w:pPr>
        <w:spacing w:after="0" w:line="3" w:lineRule="exact"/>
        <w:rPr>
          <w:rFonts w:ascii="Times New Roman" w:cs="Times New Roman" w:eastAsia="Times New Roman" w:hAnsi="Times New Roman"/>
          <w:sz w:val="18"/>
          <w:szCs w:val="18"/>
          <w:color w:val="auto"/>
        </w:rPr>
      </w:pPr>
    </w:p>
    <w:p>
      <w:pPr>
        <w:ind w:left="560" w:hanging="240"/>
        <w:spacing w:after="0"/>
        <w:tabs>
          <w:tab w:leader="none" w:pos="5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competitive pricing pressures, including decreases in average selling prices of our products,</w:t>
      </w:r>
    </w:p>
    <w:p>
      <w:pPr>
        <w:spacing w:after="0" w:line="3" w:lineRule="exact"/>
        <w:rPr>
          <w:rFonts w:ascii="Times New Roman" w:cs="Times New Roman" w:eastAsia="Times New Roman" w:hAnsi="Times New Roman"/>
          <w:sz w:val="18"/>
          <w:szCs w:val="18"/>
          <w:color w:val="auto"/>
        </w:rPr>
      </w:pPr>
    </w:p>
    <w:p>
      <w:pPr>
        <w:ind w:left="560" w:hanging="240"/>
        <w:spacing w:after="0"/>
        <w:tabs>
          <w:tab w:leader="none" w:pos="5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production capacity levels and fluctuations in manufacturing yields,</w:t>
      </w:r>
    </w:p>
    <w:p>
      <w:pPr>
        <w:spacing w:after="0" w:line="3" w:lineRule="exact"/>
        <w:rPr>
          <w:rFonts w:ascii="Times New Roman" w:cs="Times New Roman" w:eastAsia="Times New Roman" w:hAnsi="Times New Roman"/>
          <w:sz w:val="18"/>
          <w:szCs w:val="18"/>
          <w:color w:val="auto"/>
        </w:rPr>
      </w:pPr>
    </w:p>
    <w:p>
      <w:pPr>
        <w:ind w:left="560" w:hanging="240"/>
        <w:spacing w:after="0"/>
        <w:tabs>
          <w:tab w:leader="none" w:pos="5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and cost of materials and services from our suppliers,</w:t>
      </w:r>
    </w:p>
    <w:p>
      <w:pPr>
        <w:spacing w:after="0" w:line="3" w:lineRule="exact"/>
        <w:rPr>
          <w:rFonts w:ascii="Times New Roman" w:cs="Times New Roman" w:eastAsia="Times New Roman" w:hAnsi="Times New Roman"/>
          <w:sz w:val="18"/>
          <w:szCs w:val="18"/>
          <w:color w:val="auto"/>
        </w:rPr>
      </w:pPr>
    </w:p>
    <w:p>
      <w:pPr>
        <w:ind w:left="560" w:hanging="240"/>
        <w:spacing w:after="0"/>
        <w:tabs>
          <w:tab w:leader="none" w:pos="5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gain or loss of significant customers,</w:t>
      </w:r>
    </w:p>
    <w:p>
      <w:pPr>
        <w:spacing w:after="0" w:line="3" w:lineRule="exact"/>
        <w:rPr>
          <w:rFonts w:ascii="Times New Roman" w:cs="Times New Roman" w:eastAsia="Times New Roman" w:hAnsi="Times New Roman"/>
          <w:sz w:val="18"/>
          <w:szCs w:val="18"/>
          <w:color w:val="auto"/>
        </w:rPr>
      </w:pPr>
    </w:p>
    <w:p>
      <w:pPr>
        <w:ind w:left="560" w:hanging="240"/>
        <w:spacing w:after="0"/>
        <w:tabs>
          <w:tab w:leader="none" w:pos="5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introduce, and market new products and technologies on a timely basis,</w:t>
      </w:r>
    </w:p>
    <w:p>
      <w:pPr>
        <w:spacing w:after="0" w:line="3" w:lineRule="exact"/>
        <w:rPr>
          <w:rFonts w:ascii="Times New Roman" w:cs="Times New Roman" w:eastAsia="Times New Roman" w:hAnsi="Times New Roman"/>
          <w:sz w:val="18"/>
          <w:szCs w:val="18"/>
          <w:color w:val="auto"/>
        </w:rPr>
      </w:pPr>
    </w:p>
    <w:p>
      <w:pPr>
        <w:ind w:left="640" w:hanging="320"/>
        <w:spacing w:after="0" w:line="243" w:lineRule="auto"/>
        <w:tabs>
          <w:tab w:leader="none" w:pos="572"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acceptance of our products and our customers’ products including, but not limited to, market acceptance of new, emerging technologies, such as AI,</w:t>
      </w:r>
    </w:p>
    <w:p>
      <w:pPr>
        <w:ind w:left="560" w:hanging="240"/>
        <w:spacing w:after="0"/>
        <w:tabs>
          <w:tab w:leader="none" w:pos="5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product and technology introductions by competitors,</w:t>
      </w:r>
    </w:p>
    <w:p>
      <w:pPr>
        <w:spacing w:after="0" w:line="3" w:lineRule="exact"/>
        <w:rPr>
          <w:rFonts w:ascii="Times New Roman" w:cs="Times New Roman" w:eastAsia="Times New Roman" w:hAnsi="Times New Roman"/>
          <w:sz w:val="18"/>
          <w:szCs w:val="18"/>
          <w:color w:val="auto"/>
        </w:rPr>
      </w:pPr>
    </w:p>
    <w:p>
      <w:pPr>
        <w:ind w:left="560" w:hanging="240"/>
        <w:spacing w:after="0"/>
        <w:tabs>
          <w:tab w:leader="none" w:pos="56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delays in the adoption of standards by standard-setting bodies and delays in the commercial deployment or consumer adoption of certain technologies,</w:t>
      </w:r>
    </w:p>
    <w:p>
      <w:pPr>
        <w:spacing w:after="0" w:line="26" w:lineRule="exact"/>
        <w:rPr>
          <w:rFonts w:ascii="Times New Roman" w:cs="Times New Roman" w:eastAsia="Times New Roman" w:hAnsi="Times New Roman"/>
          <w:sz w:val="16"/>
          <w:szCs w:val="16"/>
          <w:color w:val="auto"/>
        </w:rPr>
      </w:pPr>
    </w:p>
    <w:p>
      <w:pPr>
        <w:ind w:left="640" w:hanging="320"/>
        <w:spacing w:after="0" w:line="243" w:lineRule="auto"/>
        <w:tabs>
          <w:tab w:leader="none" w:pos="579"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by government regulators to restrict or delay the availability of sufficient spectrum for wireless technologies, including technologies that utilize unlicensed spectrum and/or shared spectrum,</w:t>
      </w:r>
    </w:p>
    <w:p>
      <w:pPr>
        <w:ind w:left="560" w:hanging="240"/>
        <w:spacing w:after="0"/>
        <w:tabs>
          <w:tab w:leader="none" w:pos="5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consumers’ purchasing behaviors, including the rates at which they replace smartphones and other devices that utilize our products,</w:t>
      </w:r>
    </w:p>
    <w:p>
      <w:pPr>
        <w:spacing w:after="0" w:line="3" w:lineRule="exact"/>
        <w:rPr>
          <w:rFonts w:ascii="Times New Roman" w:cs="Times New Roman" w:eastAsia="Times New Roman" w:hAnsi="Times New Roman"/>
          <w:sz w:val="18"/>
          <w:szCs w:val="18"/>
          <w:color w:val="auto"/>
        </w:rPr>
      </w:pPr>
    </w:p>
    <w:p>
      <w:pPr>
        <w:ind w:left="640" w:hanging="320"/>
        <w:spacing w:after="0" w:line="243" w:lineRule="auto"/>
        <w:tabs>
          <w:tab w:leader="none" w:pos="653"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promotions, rebates, and discounts offered by carriers in certain geographic regions for smartphones and other devices that utilize our products,</w:t>
      </w:r>
    </w:p>
    <w:p>
      <w:pPr>
        <w:ind w:left="560" w:hanging="240"/>
        <w:spacing w:after="0"/>
        <w:tabs>
          <w:tab w:leader="none" w:pos="5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industry consolidation among our competitors,</w:t>
      </w:r>
    </w:p>
    <w:p>
      <w:pPr>
        <w:spacing w:after="0" w:line="3" w:lineRule="exact"/>
        <w:rPr>
          <w:rFonts w:ascii="Times New Roman" w:cs="Times New Roman" w:eastAsia="Times New Roman" w:hAnsi="Times New Roman"/>
          <w:sz w:val="18"/>
          <w:szCs w:val="18"/>
          <w:color w:val="auto"/>
        </w:rPr>
      </w:pPr>
    </w:p>
    <w:p>
      <w:pPr>
        <w:ind w:left="560" w:hanging="240"/>
        <w:spacing w:after="0"/>
        <w:tabs>
          <w:tab w:leader="none" w:pos="5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mix of products produced and sold, and</w:t>
      </w:r>
    </w:p>
    <w:p>
      <w:pPr>
        <w:spacing w:after="0" w:line="3" w:lineRule="exact"/>
        <w:rPr>
          <w:rFonts w:ascii="Times New Roman" w:cs="Times New Roman" w:eastAsia="Times New Roman" w:hAnsi="Times New Roman"/>
          <w:sz w:val="18"/>
          <w:szCs w:val="18"/>
          <w:color w:val="auto"/>
        </w:rPr>
      </w:pPr>
    </w:p>
    <w:p>
      <w:pPr>
        <w:ind w:left="640" w:hanging="320"/>
        <w:spacing w:after="0" w:line="247" w:lineRule="auto"/>
        <w:tabs>
          <w:tab w:leader="none" w:pos="676"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intellectual property disputes, including those concerning payments associated with the licensing and/or sale of intellectual property, and related remedies (e.g., monetary damages, injunctions, or exclusion orders affecting our or our customers’ products).</w:t>
      </w:r>
    </w:p>
    <w:p>
      <w:pPr>
        <w:spacing w:after="0" w:line="8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We employ certain methods, assumptions, estimates, and other subjective judgments in order to apply our accounting policies and to project future performance, and such projections may be publicly disclosed from time to time. Changes to such methods, assumptions, estimates, and judgments, combined with other factors that are difficult to forecast, including the factors listed above, could materially and adversely affect our quarterly or annual operating results and could produce actual operating results</w:t>
      </w: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76200</wp:posOffset>
            </wp:positionV>
            <wp:extent cx="716153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that differ significantly from previous estimates and projections. If our operating results fail to meet the expectations of analysts or investors, it could materially and adversely affect the price of our common stock.</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rely on a small number of customers for a large portion of our sales.</w:t>
      </w:r>
    </w:p>
    <w:p>
      <w:pPr>
        <w:spacing w:after="0" w:line="112"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Significant portions of our sales are concentrated among a limited number of customers. If we lost one or more of these major customers, if one or more major customers significantly decreased its orders for our products, or if one or more major customers delay or do not make payments in a timely manner, our business, results of operations, and financial condition could be materially and adversely impacted, which could adversely affect our stock price. In each of fiscal 2024, fiscal 2023, and fiscal 2022, one customer accounted for greater than ten percent of our net revenue. As of September 27, 2024, three customers represented 80% of our aggregate gross accounts receivable. For further discussion on customer concentration, see Note 14 to Item 8 of this Annual Report on Form 10-K.</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rely on Original Equipment Manufacturers (“OEMs”) and Original Design Manufacturers (“ODMs”) to design our products into their end products.</w:t>
      </w:r>
    </w:p>
    <w:p>
      <w:pPr>
        <w:spacing w:after="0" w:line="135"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Our products are not sold directly to the end user but are components or subsystems of other products. As a result, we rely on OEMs and ODMs of electronics products to select our products from among alternative offerings to be designed into their equipment. Without these “design wins,” we would have difficulty selling our products. If a manufacturer designs another supplier’s product into one of its product platforms, it is more difficult for us to achieve future design wins with that platform because changing suppliers involves significant cost, time, effort, and risk on the part of that manufacturer. Also, achieving a design win with a customer does not ensure that we will receive revenue from that customer. Even after a design win, the customer is not obligated to purchase our products and can choose at any time to reduce or cease use of our products, for example, if its own products are not commercially successful, or for any other reason. We do not obtain design wins on everything that we compete for, and we may not continue to achieve design wins or to convert design wins into actual sales. Failure to achieve design wins or to convert design wins into sales could materially and adversely affect our operating results. Furthermore, as a result of our lengthy product development and sales cycle, we may incur significant research and development expenses, and selling, general, and administrative expenses, without generating the anticipated revenue associated with these products.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manufacturing processes are extremely complex, specialized, and subject to disruption.</w:t>
      </w:r>
    </w:p>
    <w:p>
      <w:pPr>
        <w:spacing w:after="0" w:line="112"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6"/>
          <w:szCs w:val="16"/>
          <w:color w:val="auto"/>
        </w:rPr>
        <w:t>Our manufacturing operations are complex and subject to disruption, including due to causes beyond our control. The fabrication of integrated circuits is an extremely complex and precise process consisting of hundreds of separate steps. It requires production in a highly controlled, clean environment. Minor impurities, contamination of the clean room environment in which our products are produced, errors in any step of the fabrication process, defects in the masks used to print circuits on a wafer, defects in equipment or materials, human error, or a number of other factors can cause a substantial percentage of our products to be rejected or to malfunction. Because our operating results are highly dependent upon our ability to produce integrated circuits at acceptable manufacturing yields, these factors could have a material and adverse effect on our business. Additionally, our operations may be affected by lengthy or recurring disruptions of operations at any of our production facilities, as well as disruptions at facilities operated by our subcontractors or customers. These disruptions may result from electrical power outages or fluctuations, water shortages, fire, earthquake, flooding, war, acts of terrorism, health advisories or risks, or other natural or man-made disasters, outages or disruptions to our information technology infrastructure, including those portions provided by third parties, as well as equipment or software maintenance, repairs, updates, and/or upgrades. Disruptions of our manufacturing operations, or those of our subcontractors and customers, could cause significant delays in shipments until we are able to shift production of the impacted products from an affected facility or subcontractor to another facility or subcontractor, or until the affected customer resumes operations and accepts shipments from us. In the event of such delays, the required alternative capacity, particularly wafer production capacity, may not be available on a timely basis or at all. Even if alternative production capacity is available, we may not be able to obtain it on favorable terms, which could result in higher costs and/or a loss of customers and revenue. Likewise, lower-than-expected demand, could lead to underutilized manufacturing facilities, which could negatively impact our financial results.</w:t>
      </w:r>
    </w:p>
    <w:p>
      <w:pPr>
        <w:spacing w:after="0" w:line="2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6"/>
          <w:szCs w:val="16"/>
          <w:color w:val="auto"/>
        </w:rPr>
        <w:t>Our key facilities include, but are not limited to, our semiconductor wafer fabrication facilities in Newbury Park, California, and Woburn, Massachusetts; our SAW, TC-SAW, and BAW filter wafer processing facilities in Osaka, Japan; and our packaging, assembly and test facilities in Mexicali, Mexico, and in Singapore (“Singapore Filter Manufacturing Facility”). Several of our key facilities are leased or subleased. If we are unable to renew existing leases or subleases on terms acceptable to us, we may be required to relocate our affected operations. We operate under a sublease for our Singapore Filter Manufacturing Facility that expires in July 2025. Because the owner of the site for our Singapore Filter Manufacturing Facility has decided to redevelop it for other uses, the potential maximum amount of time we may be able to extend our sublease is five additional years. We have been engaged in discussions with the owner of the site and intend to request an extension of the sublease for five years, which request we will be permitted to make in February 2025. However, there is no guarantee that we will be able to secure an extension. In any event, we will need to relocate our Singapore Filter Manufacturing Facility, and we</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76200</wp:posOffset>
            </wp:positionV>
            <wp:extent cx="716153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have been exploring alternative sites in other locations. Relocation would be complex and could require, among other things, the transfer of equipment and process nodes and qualification of new or transferred production lines. This or any relocation or consolidation of facilities could result in disruptions to our business, including potential production interruptions or delays, quality problems, difficulties forecasting our production capabilities, challenges retaining employees or hiring new employees, and the incurrence of significant capital and other expenses, which could have a material adverse effect on our financial condition, results of operations or cash flow.</w:t>
      </w:r>
    </w:p>
    <w:p>
      <w:pPr>
        <w:spacing w:after="0" w:line="8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While we maintain insurance coverage to mitigate business continuity risks, among other risks, such coverage may be insufficient to cover all losses or all types of claims that may arise. Due to the highly specialized nature of our manufacturing processes, in the event of a disruption in production at one or more of our facilities for any reason, alternative production capacity would not be immediately available from third-party sources. These disruptions could have a material adverse effect on our business, results of operations, and financial condition.</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maintain and improve manufacturing yields that contribute positively to our gross margin and profitability.</w:t>
      </w:r>
    </w:p>
    <w:p>
      <w:pPr>
        <w:spacing w:after="0" w:line="11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Minor deviations or disturbances in the manufacturing process can cause substantial manufacturing yield loss, and in some cases, cause production to be suspended and impact our ability to meet customer demand on a timely basis. Manufacturing yields for new products initially tend to be lower as we complete product development and commence volume manufacturing, and typically increase as we bring the product to full production. Our forward product pricing includes this assumption of improving manufacturing yields and, as a result, material variances between projected and actual manufacturing yields will have a direct effect on our gross margin and profitability. The difficulty of accurately forecasting manufacturing yields and maintaining cost competitiveness through improving manufacturing yields will continue to be magnified by the increasing process complexity of manufacturing semiconductor products. Our manufacturing operations may also face pressures arising from the compression of product life cycles, which may require us to manufacture new products faster and for shorter periods while maintaining acceptable manufacturing yields and quality without, in many cases, reaching the longer-term, high-volume manufacturing conducive to higher manufacturing yields and declining costs.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dependent upon third parties for the manufacture, assembly, and testing of our products.</w:t>
      </w:r>
    </w:p>
    <w:p>
      <w:pPr>
        <w:spacing w:after="0" w:line="11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We rely on foundries to provide silicon-based products and to supplement our gallium arsenide wafer manufacturing capacity. There are significant risks associated with reliance on third-party foundries, including:</w:t>
      </w:r>
    </w:p>
    <w:p>
      <w:pPr>
        <w:spacing w:after="0" w:line="65" w:lineRule="exact"/>
        <w:rPr>
          <w:sz w:val="20"/>
          <w:szCs w:val="20"/>
          <w:color w:val="auto"/>
        </w:rPr>
      </w:pPr>
    </w:p>
    <w:p>
      <w:pPr>
        <w:ind w:left="560" w:hanging="240"/>
        <w:spacing w:after="0"/>
        <w:tabs>
          <w:tab w:leader="none" w:pos="5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lack of wafer supply, potential wafer shortages, and higher wafer prices,</w:t>
      </w:r>
    </w:p>
    <w:p>
      <w:pPr>
        <w:spacing w:after="0" w:line="20" w:lineRule="exact"/>
        <w:rPr>
          <w:rFonts w:ascii="Times New Roman" w:cs="Times New Roman" w:eastAsia="Times New Roman" w:hAnsi="Times New Roman"/>
          <w:sz w:val="18"/>
          <w:szCs w:val="18"/>
          <w:color w:val="auto"/>
        </w:rPr>
      </w:pPr>
    </w:p>
    <w:p>
      <w:pPr>
        <w:ind w:left="560" w:hanging="240"/>
        <w:spacing w:after="0"/>
        <w:tabs>
          <w:tab w:leader="none" w:pos="5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required minimum purchase commitments,</w:t>
      </w:r>
    </w:p>
    <w:p>
      <w:pPr>
        <w:spacing w:after="0" w:line="3" w:lineRule="exact"/>
        <w:rPr>
          <w:rFonts w:ascii="Times New Roman" w:cs="Times New Roman" w:eastAsia="Times New Roman" w:hAnsi="Times New Roman"/>
          <w:sz w:val="18"/>
          <w:szCs w:val="18"/>
          <w:color w:val="auto"/>
        </w:rPr>
      </w:pPr>
    </w:p>
    <w:p>
      <w:pPr>
        <w:ind w:left="560" w:hanging="240"/>
        <w:spacing w:after="0"/>
        <w:tabs>
          <w:tab w:leader="none" w:pos="5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limited ability to respond to unanticipated changes in customer demand,</w:t>
      </w:r>
    </w:p>
    <w:p>
      <w:pPr>
        <w:spacing w:after="0" w:line="3" w:lineRule="exact"/>
        <w:rPr>
          <w:rFonts w:ascii="Times New Roman" w:cs="Times New Roman" w:eastAsia="Times New Roman" w:hAnsi="Times New Roman"/>
          <w:sz w:val="18"/>
          <w:szCs w:val="18"/>
          <w:color w:val="auto"/>
        </w:rPr>
      </w:pPr>
    </w:p>
    <w:p>
      <w:pPr>
        <w:ind w:left="560" w:hanging="240"/>
        <w:spacing w:after="0"/>
        <w:tabs>
          <w:tab w:leader="none" w:pos="5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limited control over delivery schedules, manufacturing yields, production costs, process technologies, and quality assurance, and</w:t>
      </w:r>
    </w:p>
    <w:p>
      <w:pPr>
        <w:spacing w:after="0" w:line="3" w:lineRule="exact"/>
        <w:rPr>
          <w:rFonts w:ascii="Times New Roman" w:cs="Times New Roman" w:eastAsia="Times New Roman" w:hAnsi="Times New Roman"/>
          <w:sz w:val="18"/>
          <w:szCs w:val="18"/>
          <w:color w:val="auto"/>
        </w:rPr>
      </w:pPr>
    </w:p>
    <w:p>
      <w:pPr>
        <w:ind w:left="560" w:hanging="240"/>
        <w:spacing w:after="0"/>
        <w:tabs>
          <w:tab w:leader="none" w:pos="5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inaccessibility of, or delays in obtaining access to, key process technologies, materials, and IP blocks.</w:t>
      </w:r>
    </w:p>
    <w:p>
      <w:pPr>
        <w:spacing w:after="0" w:line="9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Even in cases where we have long-term supply arrangements to obtain additional external manufacturing capacity, the third-party foundries we use for our standby manufacturing capacity may allocate their limited capacity to the production requirements of other customers and in general we have no contractual right to prevent them from making such allocations. If we choose to use a new foundry to replace either existing or backup capacity, it will typically take an extended period of time for us to complete our qualification process for that foundry, which will result in a significant passage of time before we can begin shipping products from that new foundry.</w:t>
      </w:r>
    </w:p>
    <w:p>
      <w:pPr>
        <w:spacing w:after="0" w:line="8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Further, the third-party foundries may experience financial difficulties or changes in control, be unable to deliver products to us in a timely manner, be unwilling to invest in processes that meet our needs, or suffer damage or destruction to their facilities, particularly since some of them are located in areas prone to natural disasters or to severe weather events and other impacts of climate change. If any disruption of manufacturing capacity occurs, we may not have alternative manufacturing sources immediately available. We may therefore experience difficulties, delays, or additional costs in securing an adequate supply of our products, which could impair our ability to meet our customers’ needs and have a material adverse effect on our operating results.</w:t>
      </w:r>
    </w:p>
    <w:p>
      <w:pPr>
        <w:spacing w:after="0" w:line="82"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Although we own and operate assembly and test facilities, as part of our supply resilience and business continuity strategies, we still depend on subcontractors to package, assemble, and test certain of our products at cost-competitive rates. For those assembly and test subcontractors with whom we do not have long-term agreements, we typically procure services on a per-order basis. If any of our subcontractors experiences capacity constraints or financial difficulties, suffers any damage to its facilities, experiences outages or any other disruption of assembly or testing capacity, we may not be able to obtain alternative assembly and testing services in a timely manner and/or at cost-competitive rates. Due to the amount of time that it usually takes to qualify assembly and test subcontractors, we could experience significant delays and/or increased costs in product shipments if we are required to find alternative assembly and test subcontractors for our components. Any problems that we</w:t>
      </w: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76200</wp:posOffset>
            </wp:positionV>
            <wp:extent cx="716153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may encounter with the delivery, quality, or cost of our products could damage our customer relationships and materially and adversely affect our business, results of operations, and financial condition.</w:t>
      </w:r>
    </w:p>
    <w:p>
      <w:pPr>
        <w:spacing w:after="0" w:line="65"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6"/>
          <w:szCs w:val="16"/>
          <w:color w:val="auto"/>
        </w:rPr>
        <w:t>During fiscal 2022, we entered into long-term capacity reservation and supply agreements with certain third-party foundries, under which we agreed to certain minimum purchase commitments. As a result of reduced overall market demand, we recorded impairment charges during fiscal 2023 and renegotiated certain of these agreements in fiscal 2024. These long-term capacity reservation agreements may have an additional adverse effect on our operating results in the event our future supply needs are reduced below the minimum purchase expectations as a result of further reduction in overall market demand.</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dependent upon third parties for the supply of raw materials and components.</w:t>
      </w:r>
    </w:p>
    <w:p>
      <w:pPr>
        <w:spacing w:after="0" w:line="11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Our manufacturing operations depend on obtaining adequate supplies of raw materials and components used in our manufacturing processes at a competitive cost. Although we maintain relationships with suppliers located around the world with the objective of ensuring that we have adequate sources for the supply of raw materials and components for our manufacturing needs, increases in demand from the semiconductor industry for such raw materials and components (including, but not limited to, gallium, germanium, and precious and rare earth metals), as well as increased demand for commodities in general, can result in tighter supplies and higher costs. Our suppliers may not be able to meet our delivery schedules; we may lose a significant or sole supplier; a supplier may not be able to meet performance and quality specifications; shipments of precious metals may be subject to theft; and we may not be able to purchase such supplies or materials at a competitive cost. If a supplier were unable to meet our delivery schedules, if we lost a supplier, or if a supplier were unable to meet performance or quality specifications, our ability to satisfy customer obligations would be materially and adversely affected because the time required to identify and qualify an alternative supply source, where available, is typically lengthy. In part as a result of the COVID-19 pandemic, we experienced supply constraints for certain materials and components, which impacted production lead times, the cost of such materials and components, and our ability to meet customer demand for our products.</w:t>
      </w:r>
    </w:p>
    <w:p>
      <w:pPr>
        <w:spacing w:after="0" w:line="91"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In addition, we review our relationships with suppliers of raw materials and components for our manufacturing needs on an ongoing basis. In connection with our ongoing review, we may modify or terminate our relationship with one or more suppliers. We may also enter into sole supplier arrangements to meet certain of our raw material or component needs. While we do not typically rely on a single source of supply for our raw materials, we are currently dependent on a limited number of sole-source suppliers and in the future could become dependent on additional sole-source suppliers. If we were to lose these sole sources of supply, for any reason, a material adverse effect on our business could result until an alternate source is obtained. To the extent we enter into additional sole supplier arrangements for any of our raw materials or components, the risks associated with our supply arrangements would be exacerbated. Furthermore, our entry into capacity commitments in an attempt to ensure sufficient supply of raw materials and components may result in our obligation to pay above-market prices in the event of a future downward price correction.</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effectively operate our business if we are unable to attract and retain qualified personnel.</w:t>
      </w:r>
    </w:p>
    <w:p>
      <w:pPr>
        <w:spacing w:after="0" w:line="11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As the source of our technological and product innovations, our key engineering and technical personnel represent a significant asset. Our success depends on our ability to continue to attract, retain, and motivate qualified personnel, including executive officers and other key management, engineering, and technical personnel. The competition for management, engineering, and technical personnel is intense in the semiconductor industry, particularly in the locations in which we operate, and therefore we may not be able to continue to attract and retain the qualified personnel necessary for the design, development, manufacture, and sale of our products. Our employees are in high demand, and our competitors and other companies may be able to offer compensation or other opportunities in excess of what we offer. We may have particular difficulty attracting and retaining key personnel during periods of poor operating performance and/or declines in the price of our common stock, given, among other factors, the use of equity-based compensation by us and our competitors. If we are unable to obtain required stockholder approval for future increases in the number of shares available under our long-term incentive plans, we may be limited in granting equity-based incentive awards, which may impair our efforts to attract and retain necessary personnel. Further, existing immigration laws and difficulties obtaining visas, together with any changes to immigration policies or regulations in the United States, make it more difficult for us to recruit and retain highly skilled foreign national graduates of universities (in the United States or abroad), limiting the pool of available talent. The increased ability of employees in our industry to work from home or in other remote work arrangements has impacted, and may continue to impact, the mobility and turnover of our employees, potentially making it more difficult for us to compete in the job market. We continue to anticipate increases in human resource needs, particularly in engineering. The loss of the services of one or more of our key employees or our inability to attract, retain, and motivate qualified personnel could have a material adverse effect on our ability to operate our business.</w:t>
      </w:r>
    </w:p>
    <w:p>
      <w:pPr>
        <w:spacing w:after="0" w:line="82"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Our business could be adversely affected by the departure of existing members of our senior management team or if our senior management team is unable to effectively implement our strategy.</w:t>
      </w:r>
    </w:p>
    <w:p>
      <w:pPr>
        <w:spacing w:after="0" w:line="6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success depends, in large part, on the continued contributions of our senior management team, none of whom is bound by a written employment contract to remain with us for a specified period. The loss of any member of our senior management team could harm our ability to implement our business strategy and respond to the rapidly changing market conditions in which we</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76200</wp:posOffset>
            </wp:positionV>
            <wp:extent cx="716153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operate. In addition, the loss of certain members of our senior management team could harm our relationships with key customers and negatively impact our future revenue, results of operations, and financial condition.</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uncertainties involving the ordering and shipment of, and payment for, our products.</w:t>
      </w:r>
    </w:p>
    <w:p>
      <w:pPr>
        <w:spacing w:after="0" w:line="11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Our sales are typically made pursuant to standard purchase orders and/or specified customer contracts, or both, for delivery of products and not under long-term supply arrangements with our customers. Our customers may seek to cancel or defer orders before shipment. Additionally, we sell a portion of our products through third-party distributors, some of whom have rights to return products if the product is non-conforming. We may purchase and manufacture inventory based on estimates of customer demand for our products, which is difficult to predict and may not be accurate. The difficulties of forecasting may be compounded when we sell to OEMs indirectly through distributors or contract manufacturers, or both, as our forecasts of demand will then be based on estimates provided by multiple parties. In addition, our customers and distributors may change their inventory practices on short notice for any reason. Many of our products are customized to the needs or specifications of a specific customer or have a limited number of potential alternative buyers. The cancellation or deferral of product orders, the return of previously sold products, over-production due to a change in anticipated order volumes could result in us holding excess or obsolete inventory, which could result in inventory write-downs and, in turn, could have a material adverse effect on our financial condition. On the other hand, customers may require rapid increases in production on short notice, which could result in damaged customer relationships, increased manufacturing costs, increased liabilities, or harm to our reputation if we are unable to meet such increases in demand.</w:t>
      </w:r>
    </w:p>
    <w:p>
      <w:pPr>
        <w:spacing w:after="0" w:line="9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if a customer or distributor encounters financial difficulties of its own because of a change in demand or for any other reason, the customer’s or distributor’s ability to make timely payments against our accounts receivable could be impaired. Furthermore, our dependence on a few third-party carriers and logistics firms could result in delays, increased costs, and expedite fees related to our product shipments.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a risk that capital needed for our business will not be available when we need it.</w:t>
      </w:r>
    </w:p>
    <w:p>
      <w:pPr>
        <w:spacing w:after="0" w:line="11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To the extent that our existing cash and cash equivalents and cash generated from operations are insufficient to fund our future activities (including, but not limited to, capital expenditures), we may need to raise additional funds through public or private equity or debt financing. If unfavorable capital market conditions exist in the event we were to seek additional financing, we may not be able to raise sufficient capital on favorable terms and on a timely basis, if at all. Failure to obtain capital when required by our business circumstances would have a material adverse effect on us.</w:t>
      </w:r>
    </w:p>
    <w:p>
      <w:pPr>
        <w:spacing w:after="0" w:line="7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the future growth of our business is likely to require the expansion or improvement of our manufacturing facilities, the upgrade of our manufacturing equipment, strategic investments, and/or corporate acquisitions. Due in part to our repayment obligations on our outstanding indebtedness, the capital required to fund these investments may not be available in the future.</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exposed to risks related to the use of AI tools by us and others.</w:t>
      </w:r>
    </w:p>
    <w:p>
      <w:pPr>
        <w:spacing w:after="0" w:line="112"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Although we are evaluating, and where we believe appropriate, incorporating AI tools into our operations, our use of AI tools may subject us to significant competitive, legal, regulatory and other risks, and there can be no assurance that our use of AI tools will enhance our business operations or result in a benefit to us. Our competitors may be more successful in their use of AI tools, including by developing superior products or improving their operations with the assistance of AI. Additionally, there could be adverse impacts from inaccurate or flawed algorithms. Our use of AI tools could also result in the loss of confidential information or intellectual property or an inability to claim or enforce intellectual property rights, as well as subject us to risks related to intellectual property infringement or misappropriation, data privacy, cybersecurity, and the unauthorized use of Company data. The jurisdictions in which we conduct business have and may adopt laws and regulations related to AI, which could cause us to incur greater compliance costs, limit our use of AI tools, or subject us to legal liabilities.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encounter problems upgrading, enhancing, and improving our enterprise applications.</w:t>
      </w:r>
    </w:p>
    <w:p>
      <w:pPr>
        <w:spacing w:after="0" w:line="11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We have been and are engaging in activities to upgrade, enhance and improve various Company enterprise applications and information technology systems, including relating to demand management, enterprise management, quality, sales and marketing, and sourcing. These activities may not result in the benefits we expect and could cause disruptions to our operations, including interruptions or delays in sales or purchasing processes, business continuity, and maintaining effective internal controls, which could have a material adverse effect on our business.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Acquisitions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To be successful, we may need to make additional investments and acquisitions, integrate companies we acquire, and/or enter into strategic alliances.</w:t>
      </w:r>
    </w:p>
    <w:p>
      <w:pPr>
        <w:spacing w:after="0" w:line="11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Although we have invested in the past, and intend to continue to invest, significant resources in internal research and development activities, the complexity and rapidity of technological changes and the significant expense of internal research and development make it impractical for us to pursue development of all technological solutions on our own. On an ongoing</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76200</wp:posOffset>
            </wp:positionV>
            <wp:extent cx="716153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basis, we review investment, alliance, and acquisition prospects that would complement or expand our product offerings, augment our market coverage, or enhance our technological capabilities. We may not be able to identify and consummate suitable investment, alliance, or acquisition transactions in the future. Moreover, if such transactions are consummated, they could result in:</w:t>
      </w:r>
    </w:p>
    <w:p>
      <w:pPr>
        <w:spacing w:after="0" w:line="75" w:lineRule="exact"/>
        <w:rPr>
          <w:sz w:val="20"/>
          <w:szCs w:val="20"/>
          <w:color w:val="auto"/>
        </w:rPr>
      </w:pPr>
    </w:p>
    <w:p>
      <w:pPr>
        <w:ind w:left="560" w:hanging="240"/>
        <w:spacing w:after="0"/>
        <w:tabs>
          <w:tab w:leader="none" w:pos="5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issuances of equity securities dilutive to our stockholders,</w:t>
      </w:r>
    </w:p>
    <w:p>
      <w:pPr>
        <w:spacing w:after="0" w:line="20" w:lineRule="exact"/>
        <w:rPr>
          <w:rFonts w:ascii="Times New Roman" w:cs="Times New Roman" w:eastAsia="Times New Roman" w:hAnsi="Times New Roman"/>
          <w:sz w:val="18"/>
          <w:szCs w:val="18"/>
          <w:color w:val="auto"/>
        </w:rPr>
      </w:pPr>
    </w:p>
    <w:p>
      <w:pPr>
        <w:ind w:left="560" w:hanging="240"/>
        <w:spacing w:after="0"/>
        <w:tabs>
          <w:tab w:leader="none" w:pos="5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restructuring or other impairment write-offs,</w:t>
      </w:r>
    </w:p>
    <w:p>
      <w:pPr>
        <w:spacing w:after="0" w:line="3" w:lineRule="exact"/>
        <w:rPr>
          <w:rFonts w:ascii="Times New Roman" w:cs="Times New Roman" w:eastAsia="Times New Roman" w:hAnsi="Times New Roman"/>
          <w:sz w:val="18"/>
          <w:szCs w:val="18"/>
          <w:color w:val="auto"/>
        </w:rPr>
      </w:pPr>
    </w:p>
    <w:p>
      <w:pPr>
        <w:ind w:left="560" w:hanging="240"/>
        <w:spacing w:after="0"/>
        <w:tabs>
          <w:tab w:leader="none" w:pos="5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incurrence of substantial debt and assumption of unknown liabilities,</w:t>
      </w:r>
    </w:p>
    <w:p>
      <w:pPr>
        <w:spacing w:after="0" w:line="3" w:lineRule="exact"/>
        <w:rPr>
          <w:rFonts w:ascii="Times New Roman" w:cs="Times New Roman" w:eastAsia="Times New Roman" w:hAnsi="Times New Roman"/>
          <w:sz w:val="18"/>
          <w:szCs w:val="18"/>
          <w:color w:val="auto"/>
        </w:rPr>
      </w:pPr>
    </w:p>
    <w:p>
      <w:pPr>
        <w:ind w:left="560" w:hanging="240"/>
        <w:spacing w:after="0"/>
        <w:tabs>
          <w:tab w:leader="none" w:pos="5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loss of key employees from the acquired company,</w:t>
      </w:r>
    </w:p>
    <w:p>
      <w:pPr>
        <w:spacing w:after="0" w:line="3" w:lineRule="exact"/>
        <w:rPr>
          <w:rFonts w:ascii="Times New Roman" w:cs="Times New Roman" w:eastAsia="Times New Roman" w:hAnsi="Times New Roman"/>
          <w:sz w:val="18"/>
          <w:szCs w:val="18"/>
          <w:color w:val="auto"/>
        </w:rPr>
      </w:pPr>
    </w:p>
    <w:p>
      <w:pPr>
        <w:ind w:left="560" w:hanging="240"/>
        <w:spacing w:after="0"/>
        <w:tabs>
          <w:tab w:leader="none" w:pos="5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recognition of additional liabilities known or unknown at the time of acquisition,</w:t>
      </w:r>
    </w:p>
    <w:p>
      <w:pPr>
        <w:spacing w:after="0" w:line="3" w:lineRule="exact"/>
        <w:rPr>
          <w:rFonts w:ascii="Times New Roman" w:cs="Times New Roman" w:eastAsia="Times New Roman" w:hAnsi="Times New Roman"/>
          <w:sz w:val="18"/>
          <w:szCs w:val="18"/>
          <w:color w:val="auto"/>
        </w:rPr>
      </w:pPr>
    </w:p>
    <w:p>
      <w:pPr>
        <w:ind w:left="560" w:hanging="240"/>
        <w:spacing w:after="0"/>
        <w:tabs>
          <w:tab w:leader="none" w:pos="5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amortization expenses related to intangible assets, and</w:t>
      </w:r>
    </w:p>
    <w:p>
      <w:pPr>
        <w:spacing w:after="0" w:line="3" w:lineRule="exact"/>
        <w:rPr>
          <w:rFonts w:ascii="Times New Roman" w:cs="Times New Roman" w:eastAsia="Times New Roman" w:hAnsi="Times New Roman"/>
          <w:sz w:val="18"/>
          <w:szCs w:val="18"/>
          <w:color w:val="auto"/>
        </w:rPr>
      </w:pPr>
    </w:p>
    <w:p>
      <w:pPr>
        <w:ind w:left="560" w:hanging="240"/>
        <w:spacing w:after="0"/>
        <w:tabs>
          <w:tab w:leader="none" w:pos="5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diversion of management’s attention from other business concerns.</w:t>
      </w:r>
    </w:p>
    <w:p>
      <w:pPr>
        <w:spacing w:after="0" w:line="9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Moreover, integrating acquired organizations and their products and services may be difficult, expensive, time-consuming, and a strain on our resources and our relationships with employees and customers and ultimately may not be successful. Additionally, in periods following an acquisition, we will be required to evaluate goodwill and acquisition-related intangible assets for impairment. If such assets are found to be impaired, they will be written down to estimated fair value, with a charge against earnings.</w:t>
      </w:r>
    </w:p>
    <w:p>
      <w:pPr>
        <w:spacing w:after="0" w:line="75"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We incurred indebtedness in connection with the acquisition of the Infrastructure and Automotive business of Silicon Labs, which could reduce our flexibility to operate our business.</w:t>
      </w:r>
    </w:p>
    <w:p>
      <w:pPr>
        <w:spacing w:after="0" w:line="6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In May 2021, the Company issued in a public offering $500 million of 1.80% Senior Notes due 2026 and $500 million of 3.00% Senior Notes due 2031 (collectively, the “Notes”), which Notes remain outstanding. The proceeds from the issuance of Notes were used to finance a portion of the purchase price for the Company’s acquisition of certain assets, rights, and properties, and its assumption of certain liabilities, comprising Silicon Labs’ Infrastructure and Automotive business, on July 26, 2021 (the “Acquisition”). For further discussion, see Note 16 to Item 8 of this Annual Report on Form 10-K.</w:t>
      </w:r>
    </w:p>
    <w:p>
      <w:pPr>
        <w:spacing w:after="0" w:line="7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Additionally, on May 21, 2021, the Company entered into a revolving credit agreement with various financial institutions, as lenders, and JPMorgan Chase Bank, N.A., as administrative agent, providing for a $750 million revolving credit facility (the “Revolving Credit Facility”). Borrowings under the Revolving Credit Facility could be used for general corporate purposes and working capital needs of the Company and its subsidiaries.</w:t>
      </w:r>
    </w:p>
    <w:p>
      <w:pPr>
        <w:spacing w:after="0" w:line="75"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6"/>
          <w:szCs w:val="16"/>
          <w:color w:val="auto"/>
        </w:rPr>
        <w:t>Indebtedness under our Revolving Credit Facility or the Notes could have the effect, among other things, of reducing our flexibility to respond to changing business and economic conditions. We also have incurred, and will continue to incur, various costs and expenses associated with our indebtedness. Our ability to arrange additional financing and make payments of principal and interest on our indebtedness when due depends upon our future performance, which will be subject to general economic conditions, industry cycles, and financial, business, and other factors affecting our operations, many of which are beyond our control. We are exposed to interest rate risk through our Revolving Credit Facility, which is subject to variable interest rates, and interest rate increases have led to increased interest payments. Our existing indebtedness or incurrence of any additional indebtedness could reduce funds available for working capital, capital expenditures, acquisitions, and other general corporate purposes and may create competitive disadvantages relative to other companies with lower debt levels.</w:t>
      </w:r>
    </w:p>
    <w:p>
      <w:pPr>
        <w:spacing w:after="0" w:line="5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In addition, our credit ratings, combined with fluctuating interest rates, affect the cost and availability of future borrowings and, accordingly, our cost of capital. Our ratings reflect each rating organization’s opinion of our financial strength, operating performance, and ability to meet our debt obligations. There can be no assurance that we will achieve a particular rating or maintain a particular rating in the future. An inability to obtain or maintain a rating could increase the cost of future borrowings or refinancings of our indebtedness, limit our access to sources of financing in the future, or lead to other potentially adverse consequences.</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agreements that govern our indebtedness contain various covenants that impose restrictions that may affect our ability to operate our businesses.</w:t>
      </w:r>
    </w:p>
    <w:p>
      <w:pPr>
        <w:spacing w:after="0" w:line="112"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The agreements that govern the Notes and the Revolving Credit Facility contain various affirmative and negative covenants that, subject to certain significant exceptions, restrict our ability to, among other things, have liens on our property, change the nature of our business, and/or merge or consolidate with any other person or sell or convey certain assets to any one person. In addition, some of the agreements contain a financial covenant consisting of a limitation on leverage. Our ability to comply with these provisions may be affected by events beyond our control. Failure to comply with these covenants could result in an event of default, which, if not cured or waived, could accelerate our repayment obligations. Any such acceleration of our repayment obligations could have a material adverse effect on our business, financial condition, results of operations, cash flows, and stock price.</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76200</wp:posOffset>
            </wp:positionV>
            <wp:extent cx="716153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Associated with Our Industry</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semiconductor industry is highly cyclical and subject to significant downturns.</w:t>
      </w:r>
    </w:p>
    <w:p>
      <w:pPr>
        <w:spacing w:after="0" w:line="112"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We operate in the semiconductor industry, which is cyclical and subject to rapid declines in demand for end-user products in both the consumer and enterprise markets. Uncertain worldwide economic and political conditions, together with other factors such as the volatility of the financial markets, continue to make it difficult for our customers and for us to accurately forecast and plan future business activities. Uncertainty and economic weakness could result in a market contraction and, as a result, our business, results of operations, and financial condition would likely be materially and adversely affected. Such periods of industry downturn are characterized by diminished product demand and revenue, manufacturing overcapacity, excess inventory levels, accelerated erosion of average selling prices, bad debt, inventory charges, restructuring charges, and asset impairment charges. Furthermore, downturns in the semiconductor industry may be prolonged, and any extended delay or failure of the market to recover from an economic downturn would materially and adversely impact our business, results of operations, and financial condition, which could adversely affect our stock price.</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wireless communications, analog and mixed-signal semiconductor markets are characterized by significant competition.</w:t>
      </w:r>
    </w:p>
    <w:p>
      <w:pPr>
        <w:spacing w:after="0" w:line="11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wireless communications semiconductor industry, in general, and the other analog markets in which we compete are very competitive, which may cause pricing pressures, decreased gross margins, and rapid loss of market share. We compete with international and United States semiconductor manufacturers of all sizes in terms of resources and market share, including, but not limited to, Analog Devices, Broadcom, Cirrus Logic, Murata Manufacturing, NXP Semiconductors, Qorvo, Qualcomm, and Texas Instruments.</w:t>
      </w:r>
    </w:p>
    <w:p>
      <w:pPr>
        <w:spacing w:after="0" w:line="79"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6"/>
          <w:szCs w:val="16"/>
          <w:color w:val="auto"/>
        </w:rPr>
        <w:t>We currently face significant competition in our markets and expect that intense price and product competition will continue. From time to time, we have lost market share as a result of competition, and we could lose market share in the future. Also, this competition has resulted in, and is expected to continue to result in, declining average selling prices for many of our products and increased challenges in maintaining or increasing revenue, gross margin, and market share. Furthermore, additional competitors may enter our markets as a result of growth opportunities in electronics, the trend toward global expansion by foreign and domestic competitors, and technological and public policy changes (including national or regional policies, and/or state-sponsored investments, intended to develop and support localized competitors). We believe that the principal competitive factors for semiconductor suppliers in our markets include, among others:</w:t>
      </w:r>
    </w:p>
    <w:p>
      <w:pPr>
        <w:spacing w:after="0" w:line="54" w:lineRule="exact"/>
        <w:rPr>
          <w:sz w:val="20"/>
          <w:szCs w:val="20"/>
          <w:color w:val="auto"/>
        </w:rPr>
      </w:pPr>
    </w:p>
    <w:p>
      <w:pPr>
        <w:ind w:left="560" w:hanging="240"/>
        <w:spacing w:after="0"/>
        <w:tabs>
          <w:tab w:leader="none" w:pos="5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rapid time-to-market and product ramps (including, but not limited to, high-volume product ramps),</w:t>
      </w:r>
    </w:p>
    <w:p>
      <w:pPr>
        <w:spacing w:after="0" w:line="20" w:lineRule="exact"/>
        <w:rPr>
          <w:rFonts w:ascii="Times New Roman" w:cs="Times New Roman" w:eastAsia="Times New Roman" w:hAnsi="Times New Roman"/>
          <w:sz w:val="18"/>
          <w:szCs w:val="18"/>
          <w:color w:val="auto"/>
        </w:rPr>
      </w:pPr>
    </w:p>
    <w:p>
      <w:pPr>
        <w:ind w:left="560" w:hanging="240"/>
        <w:spacing w:after="0"/>
        <w:tabs>
          <w:tab w:leader="none" w:pos="5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timely new product innovation,</w:t>
      </w:r>
    </w:p>
    <w:p>
      <w:pPr>
        <w:spacing w:after="0" w:line="3" w:lineRule="exact"/>
        <w:rPr>
          <w:rFonts w:ascii="Times New Roman" w:cs="Times New Roman" w:eastAsia="Times New Roman" w:hAnsi="Times New Roman"/>
          <w:sz w:val="18"/>
          <w:szCs w:val="18"/>
          <w:color w:val="auto"/>
        </w:rPr>
      </w:pPr>
    </w:p>
    <w:p>
      <w:pPr>
        <w:ind w:left="560" w:hanging="240"/>
        <w:spacing w:after="0"/>
        <w:tabs>
          <w:tab w:leader="none" w:pos="5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capture design wins in new growth markets, such as 5G,</w:t>
      </w:r>
    </w:p>
    <w:p>
      <w:pPr>
        <w:spacing w:after="0" w:line="3" w:lineRule="exact"/>
        <w:rPr>
          <w:rFonts w:ascii="Times New Roman" w:cs="Times New Roman" w:eastAsia="Times New Roman" w:hAnsi="Times New Roman"/>
          <w:sz w:val="18"/>
          <w:szCs w:val="18"/>
          <w:color w:val="auto"/>
        </w:rPr>
      </w:pPr>
    </w:p>
    <w:p>
      <w:pPr>
        <w:ind w:left="560" w:hanging="240"/>
        <w:spacing w:after="0"/>
        <w:tabs>
          <w:tab w:leader="none" w:pos="5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quality, reliability, and performance,</w:t>
      </w:r>
    </w:p>
    <w:p>
      <w:pPr>
        <w:spacing w:after="0" w:line="3" w:lineRule="exact"/>
        <w:rPr>
          <w:rFonts w:ascii="Times New Roman" w:cs="Times New Roman" w:eastAsia="Times New Roman" w:hAnsi="Times New Roman"/>
          <w:sz w:val="18"/>
          <w:szCs w:val="18"/>
          <w:color w:val="auto"/>
        </w:rPr>
      </w:pPr>
    </w:p>
    <w:p>
      <w:pPr>
        <w:ind w:left="560" w:hanging="240"/>
        <w:spacing w:after="0"/>
        <w:tabs>
          <w:tab w:leader="none" w:pos="5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of certain products, including “high reliability” solutions, to perform under stringent operating conditions,</w:t>
      </w:r>
    </w:p>
    <w:p>
      <w:pPr>
        <w:spacing w:after="0" w:line="3" w:lineRule="exact"/>
        <w:rPr>
          <w:rFonts w:ascii="Times New Roman" w:cs="Times New Roman" w:eastAsia="Times New Roman" w:hAnsi="Times New Roman"/>
          <w:sz w:val="18"/>
          <w:szCs w:val="18"/>
          <w:color w:val="auto"/>
        </w:rPr>
      </w:pPr>
    </w:p>
    <w:p>
      <w:pPr>
        <w:ind w:left="560" w:hanging="240"/>
        <w:spacing w:after="0"/>
        <w:tabs>
          <w:tab w:leader="none" w:pos="5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cost and selling price,</w:t>
      </w:r>
    </w:p>
    <w:p>
      <w:pPr>
        <w:spacing w:after="0" w:line="3" w:lineRule="exact"/>
        <w:rPr>
          <w:rFonts w:ascii="Times New Roman" w:cs="Times New Roman" w:eastAsia="Times New Roman" w:hAnsi="Times New Roman"/>
          <w:sz w:val="18"/>
          <w:szCs w:val="18"/>
          <w:color w:val="auto"/>
        </w:rPr>
      </w:pPr>
    </w:p>
    <w:p>
      <w:pPr>
        <w:ind w:left="560" w:hanging="240"/>
        <w:spacing w:after="0"/>
        <w:tabs>
          <w:tab w:leader="none" w:pos="5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features available in products,</w:t>
      </w:r>
    </w:p>
    <w:p>
      <w:pPr>
        <w:spacing w:after="0" w:line="3" w:lineRule="exact"/>
        <w:rPr>
          <w:rFonts w:ascii="Times New Roman" w:cs="Times New Roman" w:eastAsia="Times New Roman" w:hAnsi="Times New Roman"/>
          <w:sz w:val="18"/>
          <w:szCs w:val="18"/>
          <w:color w:val="auto"/>
        </w:rPr>
      </w:pPr>
    </w:p>
    <w:p>
      <w:pPr>
        <w:ind w:left="560" w:hanging="240"/>
        <w:spacing w:after="0"/>
        <w:tabs>
          <w:tab w:leader="none" w:pos="5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alignment with customer performance specifications,</w:t>
      </w:r>
    </w:p>
    <w:p>
      <w:pPr>
        <w:spacing w:after="0" w:line="3" w:lineRule="exact"/>
        <w:rPr>
          <w:rFonts w:ascii="Times New Roman" w:cs="Times New Roman" w:eastAsia="Times New Roman" w:hAnsi="Times New Roman"/>
          <w:sz w:val="18"/>
          <w:szCs w:val="18"/>
          <w:color w:val="auto"/>
        </w:rPr>
      </w:pPr>
    </w:p>
    <w:p>
      <w:pPr>
        <w:ind w:left="560" w:hanging="240"/>
        <w:spacing w:after="0"/>
        <w:tabs>
          <w:tab w:leader="none" w:pos="5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industry standards,</w:t>
      </w:r>
    </w:p>
    <w:p>
      <w:pPr>
        <w:spacing w:after="0" w:line="3" w:lineRule="exact"/>
        <w:rPr>
          <w:rFonts w:ascii="Times New Roman" w:cs="Times New Roman" w:eastAsia="Times New Roman" w:hAnsi="Times New Roman"/>
          <w:sz w:val="18"/>
          <w:szCs w:val="18"/>
          <w:color w:val="auto"/>
        </w:rPr>
      </w:pPr>
    </w:p>
    <w:p>
      <w:pPr>
        <w:ind w:left="560" w:hanging="240"/>
        <w:spacing w:after="0"/>
        <w:tabs>
          <w:tab w:leader="none" w:pos="5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relationships with customers,</w:t>
      </w:r>
    </w:p>
    <w:p>
      <w:pPr>
        <w:spacing w:after="0" w:line="3" w:lineRule="exact"/>
        <w:rPr>
          <w:rFonts w:ascii="Times New Roman" w:cs="Times New Roman" w:eastAsia="Times New Roman" w:hAnsi="Times New Roman"/>
          <w:sz w:val="18"/>
          <w:szCs w:val="18"/>
          <w:color w:val="auto"/>
        </w:rPr>
      </w:pPr>
    </w:p>
    <w:p>
      <w:pPr>
        <w:ind w:left="560" w:hanging="240"/>
        <w:spacing w:after="0"/>
        <w:tabs>
          <w:tab w:leader="none" w:pos="5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access to, and the protection and enforcement of, intellectual property,</w:t>
      </w:r>
    </w:p>
    <w:p>
      <w:pPr>
        <w:spacing w:after="0" w:line="3" w:lineRule="exact"/>
        <w:rPr>
          <w:rFonts w:ascii="Times New Roman" w:cs="Times New Roman" w:eastAsia="Times New Roman" w:hAnsi="Times New Roman"/>
          <w:sz w:val="18"/>
          <w:szCs w:val="18"/>
          <w:color w:val="auto"/>
        </w:rPr>
      </w:pPr>
    </w:p>
    <w:p>
      <w:pPr>
        <w:ind w:left="560" w:hanging="240"/>
        <w:spacing w:after="0"/>
        <w:tabs>
          <w:tab w:leader="none" w:pos="5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partner with or participate in reference designs of baseband vendors,</w:t>
      </w:r>
    </w:p>
    <w:p>
      <w:pPr>
        <w:spacing w:after="0" w:line="3" w:lineRule="exact"/>
        <w:rPr>
          <w:rFonts w:ascii="Times New Roman" w:cs="Times New Roman" w:eastAsia="Times New Roman" w:hAnsi="Times New Roman"/>
          <w:sz w:val="18"/>
          <w:szCs w:val="18"/>
          <w:color w:val="auto"/>
        </w:rPr>
      </w:pPr>
    </w:p>
    <w:p>
      <w:pPr>
        <w:ind w:left="560" w:hanging="240"/>
        <w:spacing w:after="0"/>
        <w:tabs>
          <w:tab w:leader="none" w:pos="5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access to manufacturing capacity, raw materials, supplies, and services at a competitive cost, and</w:t>
      </w:r>
    </w:p>
    <w:p>
      <w:pPr>
        <w:spacing w:after="0" w:line="3" w:lineRule="exact"/>
        <w:rPr>
          <w:rFonts w:ascii="Times New Roman" w:cs="Times New Roman" w:eastAsia="Times New Roman" w:hAnsi="Times New Roman"/>
          <w:sz w:val="18"/>
          <w:szCs w:val="18"/>
          <w:color w:val="auto"/>
        </w:rPr>
      </w:pPr>
    </w:p>
    <w:p>
      <w:pPr>
        <w:ind w:left="560" w:hanging="240"/>
        <w:spacing w:after="0"/>
        <w:tabs>
          <w:tab w:leader="none" w:pos="5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secure government incentives and grants, such as funding available under the CHIPS and Science Act of 2022.</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might not be able to successfully address these factors. Many of our competitors benefit from:</w:t>
      </w:r>
    </w:p>
    <w:p>
      <w:pPr>
        <w:spacing w:after="0" w:line="108" w:lineRule="exact"/>
        <w:rPr>
          <w:sz w:val="20"/>
          <w:szCs w:val="20"/>
          <w:color w:val="auto"/>
        </w:rPr>
      </w:pPr>
    </w:p>
    <w:p>
      <w:pPr>
        <w:ind w:left="560" w:hanging="240"/>
        <w:spacing w:after="0"/>
        <w:tabs>
          <w:tab w:leader="none" w:pos="5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 presence in key markets,</w:t>
      </w:r>
    </w:p>
    <w:p>
      <w:pPr>
        <w:spacing w:after="0" w:line="20" w:lineRule="exact"/>
        <w:rPr>
          <w:rFonts w:ascii="Times New Roman" w:cs="Times New Roman" w:eastAsia="Times New Roman" w:hAnsi="Times New Roman"/>
          <w:sz w:val="18"/>
          <w:szCs w:val="18"/>
          <w:color w:val="auto"/>
        </w:rPr>
      </w:pPr>
    </w:p>
    <w:p>
      <w:pPr>
        <w:ind w:left="560" w:hanging="240"/>
        <w:spacing w:after="0"/>
        <w:tabs>
          <w:tab w:leader="none" w:pos="5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brand recognition,</w:t>
      </w:r>
    </w:p>
    <w:p>
      <w:pPr>
        <w:spacing w:after="0" w:line="3" w:lineRule="exact"/>
        <w:rPr>
          <w:rFonts w:ascii="Times New Roman" w:cs="Times New Roman" w:eastAsia="Times New Roman" w:hAnsi="Times New Roman"/>
          <w:sz w:val="18"/>
          <w:szCs w:val="18"/>
          <w:color w:val="auto"/>
        </w:rPr>
      </w:pPr>
    </w:p>
    <w:p>
      <w:pPr>
        <w:ind w:left="560" w:hanging="240"/>
        <w:spacing w:after="0"/>
        <w:tabs>
          <w:tab w:leader="none" w:pos="5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 levels of customer satisfaction,</w:t>
      </w:r>
    </w:p>
    <w:p>
      <w:pPr>
        <w:spacing w:after="0" w:line="3" w:lineRule="exact"/>
        <w:rPr>
          <w:rFonts w:ascii="Times New Roman" w:cs="Times New Roman" w:eastAsia="Times New Roman" w:hAnsi="Times New Roman"/>
          <w:sz w:val="18"/>
          <w:szCs w:val="18"/>
          <w:color w:val="auto"/>
        </w:rPr>
      </w:pPr>
    </w:p>
    <w:p>
      <w:pPr>
        <w:ind w:left="560" w:hanging="240"/>
        <w:spacing w:after="0"/>
        <w:tabs>
          <w:tab w:leader="none" w:pos="5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vertical integration,</w:t>
      </w:r>
    </w:p>
    <w:p>
      <w:pPr>
        <w:spacing w:after="0" w:line="3" w:lineRule="exact"/>
        <w:rPr>
          <w:rFonts w:ascii="Times New Roman" w:cs="Times New Roman" w:eastAsia="Times New Roman" w:hAnsi="Times New Roman"/>
          <w:sz w:val="18"/>
          <w:szCs w:val="18"/>
          <w:color w:val="auto"/>
        </w:rPr>
      </w:pPr>
    </w:p>
    <w:p>
      <w:pPr>
        <w:ind w:left="560" w:hanging="240"/>
        <w:spacing w:after="0"/>
        <w:tabs>
          <w:tab w:leader="none" w:pos="5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strong baseband partnership/participation in reference designs,</w:t>
      </w:r>
    </w:p>
    <w:p>
      <w:pPr>
        <w:spacing w:after="0" w:line="3" w:lineRule="exact"/>
        <w:rPr>
          <w:rFonts w:ascii="Times New Roman" w:cs="Times New Roman" w:eastAsia="Times New Roman" w:hAnsi="Times New Roman"/>
          <w:sz w:val="18"/>
          <w:szCs w:val="18"/>
          <w:color w:val="auto"/>
        </w:rPr>
      </w:pPr>
    </w:p>
    <w:p>
      <w:pPr>
        <w:ind w:left="560" w:hanging="240"/>
        <w:spacing w:after="0"/>
        <w:tabs>
          <w:tab w:leader="none" w:pos="5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broad product portfolio allowing them to bundle product offerings,</w:t>
      </w:r>
    </w:p>
    <w:p>
      <w:pPr>
        <w:spacing w:after="0" w:line="3" w:lineRule="exact"/>
        <w:rPr>
          <w:rFonts w:ascii="Times New Roman" w:cs="Times New Roman" w:eastAsia="Times New Roman" w:hAnsi="Times New Roman"/>
          <w:sz w:val="18"/>
          <w:szCs w:val="18"/>
          <w:color w:val="auto"/>
        </w:rPr>
      </w:pPr>
    </w:p>
    <w:p>
      <w:pPr>
        <w:ind w:left="560" w:hanging="240"/>
        <w:spacing w:after="0"/>
        <w:tabs>
          <w:tab w:leader="none" w:pos="5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ownership or control of key technology or intellectual property, and</w:t>
      </w:r>
    </w:p>
    <w:p>
      <w:pPr>
        <w:spacing w:after="0" w:line="3" w:lineRule="exact"/>
        <w:rPr>
          <w:rFonts w:ascii="Times New Roman" w:cs="Times New Roman" w:eastAsia="Times New Roman" w:hAnsi="Times New Roman"/>
          <w:sz w:val="18"/>
          <w:szCs w:val="18"/>
          <w:color w:val="auto"/>
        </w:rPr>
      </w:pPr>
    </w:p>
    <w:p>
      <w:pPr>
        <w:ind w:left="560" w:hanging="240"/>
        <w:spacing w:after="0"/>
        <w:tabs>
          <w:tab w:leader="none" w:pos="5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strong financial, sales and marketing, manufacturing, distribution, technical, or other resources.</w:t>
      </w:r>
    </w:p>
    <w:p>
      <w:pPr>
        <w:spacing w:after="0" w:line="90"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8"/>
          <w:szCs w:val="18"/>
          <w:color w:val="auto"/>
        </w:rPr>
        <w:t>As a result, certain competitors may be able to adapt more quickly than we can to new or emerging technologies, such as AI, and changes in customer requirements or may be able to devote greater resources to the development, promotion, and sale of</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76200</wp:posOffset>
            </wp:positionV>
            <wp:extent cx="716153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their products than we can. As a result of industry consolidation, certain competitors may be able to further exploit such benefits to strengthen their competitive position.</w:t>
      </w:r>
    </w:p>
    <w:p>
      <w:pPr>
        <w:spacing w:after="0" w:line="6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baseband reference design partners may leverage their market position by integrating additional functionality into their product offerings that compete with our solutions. If such a product offering were competitive with our solution as to performance, price, and quality, or if the interoperability of our solution with the partner’s baseband products were to be restricted, our business could be adversely impacted.</w:t>
      </w:r>
    </w:p>
    <w:p>
      <w:pPr>
        <w:spacing w:after="0" w:line="7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Current and potential competitors have established, or may in the future establish, financial or strategic relationships among themselves or with customers, resellers, or other third parties. These relationships may affect customers’ purchasing decisions. Accordingly, it is possible that new competitors or alliances among competitors could emerge, causing such competitors to rapidly acquire significant market share. We may not be able to compete successfully against current and potential competitors. Increased competition could result in pricing pressures, decreased gross margins, and loss of revenue and market share and may materially and adversely affect our business, results of operations, and financial condition.</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Remaining competitive in the semiconductor industry depends upon our ability to constantly innovate.</w:t>
      </w:r>
    </w:p>
    <w:p>
      <w:pPr>
        <w:spacing w:after="0" w:line="112"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The semiconductor industry generally and, in particular, many of the markets into which we sell our products, are highly cyclical and characterized by constant and rapid technological change, continuous product evolution, price erosion, evolving technical standards, short product life cycles (including annual product refreshes in some cases), increasing demand for higher levels of integration, increased miniaturization, reduced power consumption, and wide fluctuations in product supply and demand. Our operating results depend largely on our ability to continue to cost-effectively introduce new and enhanced products on a timely basis, both within our traditional markets and in new, expanded, or adjacent markets. The successful development and commercialization of semiconductor devices and modules is highly complex and depends on numerous factors, including the ability:</w:t>
      </w:r>
    </w:p>
    <w:p>
      <w:pPr>
        <w:spacing w:after="0" w:line="82" w:lineRule="exact"/>
        <w:rPr>
          <w:sz w:val="20"/>
          <w:szCs w:val="20"/>
          <w:color w:val="auto"/>
        </w:rPr>
      </w:pPr>
    </w:p>
    <w:p>
      <w:pPr>
        <w:ind w:left="560" w:hanging="240"/>
        <w:spacing w:after="0"/>
        <w:tabs>
          <w:tab w:leader="none" w:pos="5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anticipate customer and market requirements and changes in technology and industry standards,</w:t>
      </w:r>
    </w:p>
    <w:p>
      <w:pPr>
        <w:spacing w:after="0" w:line="20" w:lineRule="exact"/>
        <w:rPr>
          <w:rFonts w:ascii="Times New Roman" w:cs="Times New Roman" w:eastAsia="Times New Roman" w:hAnsi="Times New Roman"/>
          <w:sz w:val="18"/>
          <w:szCs w:val="18"/>
          <w:color w:val="auto"/>
        </w:rPr>
      </w:pPr>
    </w:p>
    <w:p>
      <w:pPr>
        <w:ind w:left="560" w:hanging="240"/>
        <w:spacing w:after="0"/>
        <w:tabs>
          <w:tab w:leader="none" w:pos="5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obtain sufficient manufacturing capacity within an international supply chain to meet customer demand,</w:t>
      </w:r>
    </w:p>
    <w:p>
      <w:pPr>
        <w:spacing w:after="0" w:line="3" w:lineRule="exact"/>
        <w:rPr>
          <w:rFonts w:ascii="Times New Roman" w:cs="Times New Roman" w:eastAsia="Times New Roman" w:hAnsi="Times New Roman"/>
          <w:sz w:val="18"/>
          <w:szCs w:val="18"/>
          <w:color w:val="auto"/>
        </w:rPr>
      </w:pPr>
    </w:p>
    <w:p>
      <w:pPr>
        <w:ind w:left="560" w:hanging="240"/>
        <w:spacing w:after="0"/>
        <w:tabs>
          <w:tab w:leader="none" w:pos="5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define new products that meet customer and market requirements,</w:t>
      </w:r>
    </w:p>
    <w:p>
      <w:pPr>
        <w:spacing w:after="0" w:line="3" w:lineRule="exact"/>
        <w:rPr>
          <w:rFonts w:ascii="Times New Roman" w:cs="Times New Roman" w:eastAsia="Times New Roman" w:hAnsi="Times New Roman"/>
          <w:sz w:val="18"/>
          <w:szCs w:val="18"/>
          <w:color w:val="auto"/>
        </w:rPr>
      </w:pPr>
    </w:p>
    <w:p>
      <w:pPr>
        <w:ind w:left="560" w:hanging="240"/>
        <w:spacing w:after="0"/>
        <w:tabs>
          <w:tab w:leader="none" w:pos="5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complete development of new products and bring products to market on a timely basis,</w:t>
      </w:r>
    </w:p>
    <w:p>
      <w:pPr>
        <w:spacing w:after="0" w:line="3" w:lineRule="exact"/>
        <w:rPr>
          <w:rFonts w:ascii="Times New Roman" w:cs="Times New Roman" w:eastAsia="Times New Roman" w:hAnsi="Times New Roman"/>
          <w:sz w:val="18"/>
          <w:szCs w:val="18"/>
          <w:color w:val="auto"/>
        </w:rPr>
      </w:pPr>
    </w:p>
    <w:p>
      <w:pPr>
        <w:ind w:left="560" w:hanging="240"/>
        <w:spacing w:after="0"/>
        <w:tabs>
          <w:tab w:leader="none" w:pos="5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differentiate our products from offerings of our competitors,</w:t>
      </w:r>
    </w:p>
    <w:p>
      <w:pPr>
        <w:spacing w:after="0" w:line="3" w:lineRule="exact"/>
        <w:rPr>
          <w:rFonts w:ascii="Times New Roman" w:cs="Times New Roman" w:eastAsia="Times New Roman" w:hAnsi="Times New Roman"/>
          <w:sz w:val="18"/>
          <w:szCs w:val="18"/>
          <w:color w:val="auto"/>
        </w:rPr>
      </w:pPr>
    </w:p>
    <w:p>
      <w:pPr>
        <w:ind w:left="560" w:hanging="240"/>
        <w:spacing w:after="0"/>
        <w:tabs>
          <w:tab w:leader="none" w:pos="5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achieve overall market acceptance of our products,</w:t>
      </w:r>
    </w:p>
    <w:p>
      <w:pPr>
        <w:spacing w:after="0" w:line="3" w:lineRule="exact"/>
        <w:rPr>
          <w:rFonts w:ascii="Times New Roman" w:cs="Times New Roman" w:eastAsia="Times New Roman" w:hAnsi="Times New Roman"/>
          <w:sz w:val="18"/>
          <w:szCs w:val="18"/>
          <w:color w:val="auto"/>
        </w:rPr>
      </w:pPr>
    </w:p>
    <w:p>
      <w:pPr>
        <w:ind w:left="560" w:hanging="240"/>
        <w:spacing w:after="0"/>
        <w:tabs>
          <w:tab w:leader="none" w:pos="5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lengthen the time that a particular product is in demand,</w:t>
      </w:r>
    </w:p>
    <w:p>
      <w:pPr>
        <w:spacing w:after="0" w:line="3" w:lineRule="exact"/>
        <w:rPr>
          <w:rFonts w:ascii="Times New Roman" w:cs="Times New Roman" w:eastAsia="Times New Roman" w:hAnsi="Times New Roman"/>
          <w:sz w:val="18"/>
          <w:szCs w:val="18"/>
          <w:color w:val="auto"/>
        </w:rPr>
      </w:pPr>
    </w:p>
    <w:p>
      <w:pPr>
        <w:ind w:left="560" w:hanging="240"/>
        <w:spacing w:after="0"/>
        <w:tabs>
          <w:tab w:leader="none" w:pos="5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source and maintain manufacturing materials,</w:t>
      </w:r>
    </w:p>
    <w:p>
      <w:pPr>
        <w:spacing w:after="0" w:line="3" w:lineRule="exact"/>
        <w:rPr>
          <w:rFonts w:ascii="Times New Roman" w:cs="Times New Roman" w:eastAsia="Times New Roman" w:hAnsi="Times New Roman"/>
          <w:sz w:val="18"/>
          <w:szCs w:val="18"/>
          <w:color w:val="auto"/>
        </w:rPr>
      </w:pPr>
    </w:p>
    <w:p>
      <w:pPr>
        <w:ind w:left="560" w:hanging="240"/>
        <w:spacing w:after="0"/>
        <w:tabs>
          <w:tab w:leader="none" w:pos="56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identify and maintain suppliers with the necessary technology and scale to support the increasing complexity of our manufacturing requirements, and</w:t>
      </w:r>
    </w:p>
    <w:p>
      <w:pPr>
        <w:spacing w:after="0" w:line="26" w:lineRule="exact"/>
        <w:rPr>
          <w:rFonts w:ascii="Times New Roman" w:cs="Times New Roman" w:eastAsia="Times New Roman" w:hAnsi="Times New Roman"/>
          <w:sz w:val="16"/>
          <w:szCs w:val="16"/>
          <w:color w:val="auto"/>
        </w:rPr>
      </w:pPr>
    </w:p>
    <w:p>
      <w:pPr>
        <w:ind w:left="560" w:hanging="240"/>
        <w:spacing w:after="0"/>
        <w:tabs>
          <w:tab w:leader="none" w:pos="5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obtain adequate multi-jurisdictional intellectual property protection for our new products.</w:t>
      </w:r>
    </w:p>
    <w:p>
      <w:pPr>
        <w:spacing w:after="0" w:line="9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Our ability to manufacture current products, and to develop new products, depends on, among other factors, the viability and flexibility of our own internal information technology systems.</w:t>
      </w:r>
    </w:p>
    <w:p>
      <w:pPr>
        <w:spacing w:after="0" w:line="65"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6"/>
          <w:szCs w:val="16"/>
          <w:color w:val="auto"/>
        </w:rPr>
        <w:t>We continually evaluate expenditures for planned product development and choose among alternatives based on our understanding of customer technical requirements, new industry standards, and expectations of future market growth and technologies. We may not be able to develop and introduce new or enhanced wireless communications, analog and mixed-signal semiconductor products in a timely and cost-effective manner, and our products may not satisfy customer requirements or achieve market acceptance, or we may not be able to anticipate new industry standards and technological changes. We also may not be able to respond successfully to new product announcements and introductions by competitors or to changes in the design or specifications of complementary products of third parties with which our products interface. If we fail to rapidly and cost-effectively introduce new and enhanced products in sufficient quantities that meet our customers’ requirements, our business, results of operations, and financial condition could be materially and adversely affected.</w:t>
      </w:r>
    </w:p>
    <w:p>
      <w:pPr>
        <w:spacing w:after="0" w:line="57"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6"/>
          <w:szCs w:val="16"/>
          <w:color w:val="auto"/>
        </w:rPr>
        <w:t>In addition, prices of many of our products decline, sometimes significantly, over time. Our products may become obsolete earlier than planned or may not have life cycles long enough to allow us to recoup the cost of our investment in designing such products. Accordingly, we believe that to remain competitive, we must continue to reduce the cost of producing and delivering existing products at the same time that we develop and introduce new or enhanced products. We may not be able to continue to reduce the cost of producing and delivering our products in a timely manner and thereby remain competitive.</w:t>
      </w:r>
    </w:p>
    <w:p>
      <w:pPr>
        <w:spacing w:after="0" w:line="4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In order to remain competitive, we expect to continue to transition many of our products to increasingly smaller geometries and form factors. This transition often requires us to upgrade our capital equipment, modify the manufacturing processes for our products, design new products to more stringent standards, and redesign some existing products. We have experienced some difficulties migrating to smaller geometry process technologies or new manufacturing processes, which resulted in sub-optimal manufacturing yields, delays in product deliveries, and increased expenses. We may face similar difficulties, delays, and expenses as we continue to transition our products to smaller geometry processes in the future. In some instances, we depend on</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76200</wp:posOffset>
            </wp:positionV>
            <wp:extent cx="716153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our relationships with our third-party foundries and packaging subcontractors to transition to smaller geometry processes successfully. Our manufacturing partners may not be able to effectively manage the transition, or we may not be able to maintain our relationships with certain manufacturing partners. If our manufacturing partners or we experience significant delays in this transition or fail to efficiently implement this transition, our business, results of operations, and financial condition could be materially and adversely affected. As smaller geometry processes become more prevalent, we expect to continue to integrate greater levels of functionality, as well as customer and third-party intellectual property, into our products. However, we may not be able to achieve higher levels of design integration or deliver new integrated products on a timely basis, or at all.</w:t>
      </w:r>
    </w:p>
    <w:p>
      <w:pPr>
        <w:spacing w:after="0" w:line="78"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Increasingly stringent environmental laws, rules, regulations, and customer expectations may require us to redesign our existing products and processes and could adversely affect our ability to cost-effectively produce our products.</w:t>
      </w:r>
    </w:p>
    <w:p>
      <w:pPr>
        <w:spacing w:after="0" w:line="60"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6"/>
          <w:szCs w:val="16"/>
          <w:color w:val="auto"/>
        </w:rPr>
        <w:t>The semiconductor industry has been subject to increasing environmental regulations, particularly those environmental requirements that control and restrict the use, transportation, emission, discharge, storage, and disposal of certain chemicals, elements, and materials used or produced in the semiconductor manufacturing process. Heightened public focus on climate change, sustainability, and environmental issues has also led to increased government regulation and caused certain of our customers to impose environmental standards on us as a part of doing business with them. We expect that the trend of increasing environmental awareness will continue, which will result in higher costs of operations. In addition, our commitment to environmentally sustainable practices, while undertaken in a manner designed to be as efficient and cost effective as possible, may result in increases in costs of operations for us relative to our competitors until technologies and methods are developed that will help reduce those costs or such practices become industry best practice.</w:t>
      </w:r>
    </w:p>
    <w:p>
      <w:pPr>
        <w:spacing w:after="0" w:line="5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A number of domestic and foreign jurisdictions restrict or may seek to restrict the use of various substances, including a class of chemicals known as per- and polyfluoroalkyl substances, and a number of such substances have been or are currently used in our products or processes. For example, the European Union Restriction of Hazardous Substances in Electrical and Electronic Equipment (“RoHS”) Directive requires that certain substances, which may be found in certain products we have manufactured in the past, be removed from all electronics components. Eliminating such substances from our manufacturing processes requires the expenditure of additional research and development funds to seek alternative substances for our products, as well as increased testing by third parties to ensure the quality of our products and compliance with the RoHS Directive. While we have implemented a compliance program intended to ensure our product offering meets these regulations, there may be instances where alternative substances will not be available or commercially feasible, or may only be available from a single source, or may be significantly more expensive than their restricted counterparts. Additionally, if we were found to be non-compliant with any such rule or regulation, we could be subject to fines, penalties, and/or restrictions imposed by government agencies that could adversely affect our operating results.</w:t>
      </w:r>
    </w:p>
    <w:p>
      <w:pPr>
        <w:spacing w:after="0" w:line="84"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Regulations in the United States require that we determine whether certain materials used in our products, referred to as conflict minerals, originated in the Democratic Republic of the Congo or adjoining countries, or were from recycled or scrap sources. The verification and reporting requirements, in addition to any customer demands for conflict-free sourcing, impose additional costs on us and on our suppliers, and may limit the sources or increase the prices of materials used in our products. Further, if we are unable to certify that our products are conflict free, we may face challenges with our customers, which could place us at a competitive disadvantage, and our reputation may be harmed. In addition, our customers may begin to require reports on our sourcing of other minerals or substances, which may impact our ongoing operations and increase our operating costs.</w:t>
      </w:r>
    </w:p>
    <w:p>
      <w:pPr>
        <w:spacing w:after="0" w:line="8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New climate change laws and regulations could require us to change our manufacturing processes or obtain substitute materials that may cost more or be less available for our manufacturing operations. Various jurisdictions in which we do business have implemented, or in the future could implement or amend, restrictions on emissions of carbon dioxide or other greenhouse gases, limitations or restrictions on water use, regulations on energy management and waste management, and other climate change-based rules and regulations, which may increase our expenses and adversely affect our operating results. We expect increased worldwide regulatory activity relating to climate change in the future.</w:t>
      </w:r>
    </w:p>
    <w:p>
      <w:pPr>
        <w:spacing w:after="0" w:line="8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Furthermore, environmental regulations often require parties to fund remedial action for violations of such regulations regardless of fault. Consequently, it is often difficult to estimate the future impact of environmental matters, including potential liabilities. In addition, our customers increasingly require warranties or indemnity relating to compliance with environmental regulations. The amount of expense and capital expenditures that might be required to satisfy environmental liabilities, to complete remedial actions, and to continue to comply with applicable environmental laws may have a material adverse effect on our business, results of operations, and financial condition.</w:t>
      </w:r>
    </w:p>
    <w:p>
      <w:pPr>
        <w:spacing w:after="0" w:line="82"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6"/>
          <w:szCs w:val="16"/>
          <w:color w:val="auto"/>
        </w:rPr>
        <w:t>In addition, increasing governmental, investor, and societal attention on sustainability matters, including expanding mandatory and voluntary reporting, diligence, and disclosure on sustainability topics such as climate change, carbon emissions, water usage, waste management, human capital, forced labor, and risk oversight, have expanded and could further expand the nature, scope, and complexity of matters that we are required to control, assess, and report. We expect that these and other rapidly changing laws, regulations, policies, interpretations, and expectations, as well as increased enforcement actions by various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76200</wp:posOffset>
            </wp:positionV>
            <wp:extent cx="716153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governmental and regulatory agencies, will continue to increase the cost of our compliance and internal risk management programs and to alter the environment in which we do business, which could have a material adverse effect on our business, results of operations, and financial condition. If our sustainability practices and disclosures do not meet the expectations and standards of our stockholders, customers, and other industry stakeholders, our reputation and business activities may be negatively impacted and our appeal to certain investors may be reduced.</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Associated with Cybersecurity and Intellectual Property Protection</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prevent, or timely detect, information technology security breaches.</w:t>
      </w:r>
    </w:p>
    <w:p>
      <w:pPr>
        <w:spacing w:after="0" w:line="112"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6"/>
          <w:szCs w:val="16"/>
          <w:color w:val="auto"/>
        </w:rPr>
        <w:t>Security breaches, phishing, spoofing, attempts by others to gain unauthorized access to our information technology systems, networks, and databases, and other cyberattacks continue to become more sophisticated and persistent. We have been subject to these attacks and expect to continue to be subject to these attacks. Further, these incidents, which might be related to industrial, state-sponsored, and/or economic espionage, or financial cyber extortion or fraud, include covertly introducing malware and spyware to our computers, networks, and products (or to an electronic system operated by a third party for our benefit) and impersonating authorized users, among others. We seek to prevent, detect, and investigate all security incidents and to prevent their recurrence, but in some cases, we might be unaware of an incident or its magnitude, duration, and effects. The theft, unauthorized use, transfer, or publication of our intellectual property, our confidential business, financial, and/or technical information, or the personal data of our employees and customers by third parties or by our employees could harm our competitive position, reduce the value of our investment in research and development and other strategic initiatives, or otherwise adversely affect our business and technology development. To the extent that any security breach or other cybersecurity incident results in inappropriate disclosure of our customers’, suppliers’, licensees’, or employees’ confidential or personal information, we may incur liability, face contractual and regulatory fines and penalties, and sustain significant financial resources to remediate such breach. Such an incident could, among other things, also damage our reputation, impair our ability to attract and retain our customers, impact our stock price, and materially damage our supplier relationships. If a ransom-style cyberattack or similar incident impedes our ability to use or access our information systems for an extended period of time, this could adversely affect our business operations and financial results. In addition, certain suppliers and other third parties with whom we conduct business, including foundries, assembly and test contractors, and distributors, have been, and are likely to continue to be, subject to cybersecurity incidents, misappropriation efforts, or network disruptions that could jeopardize our proprietary or sensitive data, impact such third parties’ ability to meet their obligations to us, or otherwise negatively impact our ongoing business operations. Geopolitical tensions or conflicts, such as the ongoing conflict involving Russia and Ukraine, the conflicts in Israel and the Middle Eastern region and the tensions involving China and Taiwan, may create a heightened risk of cybersecurity incidents. We expect to continue devoting significant resources to the security of our information technology systems, networks, and databases, including through the training of our employees and monitoring the security posture of critical third parties who have access to our systems or sensitive data. However, we cannot ensure that our cybersecurity program or these security measures and monitoring efforts will be sufficient to prevent or mitigate the damage caused by a cybersecurity incident or network disruption, and our systems may be vulnerable to hacking, insider threats, employee error or manipulation, theft, system malfunctions, or other adverse events. Further, China has implemented, and other countries or regions may implement, cybersecurity and privacy laws that require companies’ overall information disclosure, processing practices, and technology security environment to meet certain standards and/or be certified. Such laws may be complex, ambiguous, and subject to interpretation, which may create uncertainty regarding compliance. As a result, our efforts to comply with such laws, to the extent applicable, may be expensive and may fail, which could adversely affect our business, results of operations, and cash flows. In addition, certain of our products that we use contain firmware that incorporates or is derived from “open source” software that generally is made publicly available by its developers or other third parties. Risks related to the use of open source software include, but are not limited to, the introduction of cybersecurity vulnerabilities into our products or development platforms, our compliance with applicable licensing terms, subjecting certain of our derivative works or software enhancements to public disclosure and/or unfavorable licensing conditions, potential restrictions on our ability to market the firmware associated with our products, and enhanced governmental or other third-party scrutiny of our products.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 order to remain competitive, we must be able to successfully protect our intellectual property rights.</w:t>
      </w:r>
    </w:p>
    <w:p>
      <w:pPr>
        <w:spacing w:after="0" w:line="112"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6"/>
          <w:szCs w:val="16"/>
          <w:color w:val="auto"/>
        </w:rPr>
        <w:t>We rely on patent, copyright, trademark, trade secret, and other intellectual property rights and laws, as well as nondisclosure and confidentiality agreements and other methods, to protect our confidential and proprietary technologies, inventions, information, data, devices, algorithms, processes, and other intellectual property. In addition, we often incorporate the intellectual property of our customers, suppliers, or other third parties into our designs, and we have obligations with respect to the non-usage and non-disclosure of such third-party intellectual property. From time to time, we have engaged in and it may be necessary to continue to engage in litigation, administrative actions or like activities to enforce our intellectual property rights, to protect our trade secrets, or to determine the validity, enforceability, and scope of proprietary rights of others, including our customers. This could require us to expend significant resources and to divert the efforts and attention of our management and technical personnel from our business operations. Regardless of our actions:</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76200</wp:posOffset>
            </wp:positionV>
            <wp:extent cx="716153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ind w:left="640" w:hanging="320"/>
        <w:spacing w:after="0" w:line="253" w:lineRule="auto"/>
        <w:tabs>
          <w:tab w:leader="none" w:pos="60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steps we take to prevent misappropriation, infringement, dilution, or other violation of our intellectual property or the intellectual property of our customers, suppliers, or other third parties may not be successful,</w:t>
      </w:r>
    </w:p>
    <w:p>
      <w:pPr>
        <w:spacing w:after="0" w:line="1" w:lineRule="exact"/>
        <w:rPr>
          <w:rFonts w:ascii="Times New Roman" w:cs="Times New Roman" w:eastAsia="Times New Roman" w:hAnsi="Times New Roman"/>
          <w:sz w:val="18"/>
          <w:szCs w:val="18"/>
          <w:color w:val="auto"/>
        </w:rPr>
      </w:pPr>
    </w:p>
    <w:p>
      <w:pPr>
        <w:ind w:left="640" w:hanging="320"/>
        <w:spacing w:after="0" w:line="243" w:lineRule="auto"/>
        <w:tabs>
          <w:tab w:leader="none" w:pos="583"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our existing or future patents, copyrights, trademarks, trade secrets, or other intellectual property rights may be challenged, invalidated, deemed unenforceable, or circumvented, and</w:t>
      </w:r>
    </w:p>
    <w:p>
      <w:pPr>
        <w:ind w:left="640" w:hanging="320"/>
        <w:spacing w:after="0" w:line="247" w:lineRule="auto"/>
        <w:tabs>
          <w:tab w:leader="none" w:pos="59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contractually prohibited, or otherwise discouraged, by certain customers from pursuing certain remedies for third parties’ violations of our intellectual property.</w:t>
      </w:r>
    </w:p>
    <w:p>
      <w:pPr>
        <w:spacing w:after="0" w:line="81"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A third party could potentially copy, misappropriate, or otherwise obtain and use our technology without authorization, develop similar technology independently, or design around or invalidate our patents. If any of our intellectual property protection mechanisms fails to protect our technology, it would make it easier for our competitors to offer similar competitive products, potentially resulting in loss of market share and price erosion. Even if we receive a patent, the patent claims may not be broad enough to adequately cover and protect our technology or could be rendered invalid or unenforceable. Furthermore, even if we receive patent protection in the United States, we may not seek, or may not be granted, patent protection in other relevant foreign countries. In addition, effective patent, copyright, trademark, and trade secret protection and enforcement may be unavailable, impractical, or limited for certain technologies and in certain foreign countries.</w:t>
      </w:r>
    </w:p>
    <w:p>
      <w:pPr>
        <w:spacing w:after="0" w:line="84"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We attempt to control access to, and distribution of, our proprietary and confidential information through operational, technological, and legal safeguards. Despite our efforts, parties, including current and former employees, consultants, customers, licensees, suppliers, vendors, and other third parties may attempt to copy, disclose, transfer, misappropriate or obtain access to our information without our authorization. Furthermore, attempts by computer hackers or other third parties to gain unauthorized access to our systems or information could result in our confidential and/or proprietary information being compromised or our manufacturing and other business operations being interrupted. While we make reasonable attempts to prevent such unauthorized access or misappropriation, we may be unable to anticipate, detect, or stop the methods used, or we may be unable to prevent the release of our confidential and/or proprietary information or that of a third party.</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the risks of licensing third-party intellectual property.</w:t>
      </w:r>
    </w:p>
    <w:p>
      <w:pPr>
        <w:spacing w:after="0" w:line="11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We sell products in markets that are characterized by rapid technological changes, evolving industry standards, frequent new product introductions, short product life cycles, and increasing levels of integration. Many of our products currently use or incorporate technology licensed or acquired from third parties, and we expect our products in the future to also require technology from third parties. Our ability to keep pace with this market depends on our ability to obtain technology from third parties on commercially reasonable terms to allow our products to remain competitive. If licenses to such technology for our current or future products become unavailable or the terms on which they are available become commercially unreasonable, and we cannot otherwise acquire or integrate such technology, our products or our customers’ products could become unmarketable or obsolete, we could lose market share, and our business could be adversely affected. In such instances, we could also incur substantial unanticipated costs or scheduling delays to develop or acquire substitute technology to deliver competitive products. These risks are heightened with respect to certain of our products that incorporate increasing amounts of embedded software and digital circuit content that is subject to third-party intellectual property rights.</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Associated with Claims and Litigation</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warranty claims, product recalls, liability claims, and risks of litigation.</w:t>
      </w:r>
    </w:p>
    <w:p>
      <w:pPr>
        <w:spacing w:after="0" w:line="11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Although we invest significant resources in the testing of our products, from time to time we become aware of alleged defects in our products after they have been shipped, and we may be required to incur additional development and remediation costs or cash payments to settle claims pursuant to warranty and indemnification provisions in our customer contracts and purchase orders. Certain of our products, including “high reliability” solutions, may not be able to perform under stringent operating conditions. Examples of our “high reliability” solutions include applications intended for the aerospace, automotive, defense, and medical markets. The potential liabilities associated with these and similar provisions in certain of our customer contracts are in some cases capped at significant amounts, and in other cases are uncapped. In addition, because our customers typically integrate our products into other devices, and because we typically do not have a direct relationship with the end customers of our products, our products may be used in applications for which they were not necessarily designed or tested, and they may not perform as anticipated in such applications. Depending on the nature of any product defect claims, we may not be able to recoup our losses from our third-party suppliers. Investigating, analyzing, and/or remediating alleged product defects may divert our technical and other resources from other product development efforts and could result in claims against us by our customers or third parties, including liability for costs associated with product recalls, indemnification claims, product redesigns, or obligations under customer contracts. If any of our products contain defects, or have reliability, quality, or compatibility problems, our reputation may be damaged, and we could be subject to liability claims, which could make it more difficult for us to sell our products to existing and prospective customers and could adversely affect our operating results. Furthermore, such losses would not be covered under our existing insurance programs. In addition, in the event we are unable to fulfill our contractual obligations, lawsuits may be threatened or filed against us by customers or other third parties. Furthermore, force majeure clauses in our contracts could limit our ability to pursue remedies for certain third-party disruptions</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76200</wp:posOffset>
            </wp:positionV>
            <wp:extent cx="716153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and delays. From time to time, we have been, and may become involved in litigation with customers, suppliers, competitors, government or regulatory agencies, shareholders, employees, or other parties. We are the plaintiff in some of these actions and the defendant in others. Such actions could result in the imposition of various remedies such as injunctions or monetary damages, which if awarded could materially and adversely harm our business. From time to time, we are, and may become, the subject of inquiries, requests for information, or investigations by government and regulatory agencies regarding our business. Any such matters, regardless of their merit or resolution, could be costly and divert the efforts and attention of our management, damage our reputation, or otherwise adversely affect our business.</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claims of infringement of third-party intellectual property rights or demands that we license third-party technology.</w:t>
      </w:r>
    </w:p>
    <w:p>
      <w:pPr>
        <w:spacing w:after="0" w:line="11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semiconductor industry is characterized by vigorous protection, enforcement, and pursuit of intellectual property rights. Third parties have asserted, and may in the future assert, patent, copyright, trademark, and other intellectual property rights against technologies that are important to our business and manufacturing operations and have demanded and may in the future demand that we license their technology or refrain from using it.</w:t>
      </w:r>
    </w:p>
    <w:p>
      <w:pPr>
        <w:spacing w:after="0" w:line="7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Any litigation to determine the validity of any allegations that our products infringe or may infringe or misappropriate the intellectual property rights of another party, including indemnification claims arising from our contractual obligations to our customers, regardless of their merit or resolution, could be costly and divert the efforts and attention of our management and technical personnel. Regardless of the merits of any specific claim, we may not prevail in litigation because of the complex technical issues and inherent uncertainties in intellectual property litigation or the assessment of these claims. If litigation were to result in an adverse ruling, we could be required to:</w:t>
      </w:r>
    </w:p>
    <w:p>
      <w:pPr>
        <w:spacing w:after="0" w:line="82" w:lineRule="exact"/>
        <w:rPr>
          <w:sz w:val="20"/>
          <w:szCs w:val="20"/>
          <w:color w:val="auto"/>
        </w:rPr>
      </w:pPr>
    </w:p>
    <w:p>
      <w:pPr>
        <w:ind w:left="560" w:hanging="240"/>
        <w:spacing w:after="0"/>
        <w:tabs>
          <w:tab w:leader="none" w:pos="5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substantial damages,</w:t>
      </w:r>
    </w:p>
    <w:p>
      <w:pPr>
        <w:spacing w:after="0" w:line="20" w:lineRule="exact"/>
        <w:rPr>
          <w:rFonts w:ascii="Times New Roman" w:cs="Times New Roman" w:eastAsia="Times New Roman" w:hAnsi="Times New Roman"/>
          <w:sz w:val="18"/>
          <w:szCs w:val="18"/>
          <w:color w:val="auto"/>
        </w:rPr>
      </w:pPr>
    </w:p>
    <w:p>
      <w:pPr>
        <w:ind w:left="560" w:hanging="240"/>
        <w:spacing w:after="0"/>
        <w:tabs>
          <w:tab w:leader="none" w:pos="5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cease the manufacture, import, use, sale, or offer for sale of infringing products or processes,</w:t>
      </w:r>
    </w:p>
    <w:p>
      <w:pPr>
        <w:spacing w:after="0" w:line="3" w:lineRule="exact"/>
        <w:rPr>
          <w:rFonts w:ascii="Times New Roman" w:cs="Times New Roman" w:eastAsia="Times New Roman" w:hAnsi="Times New Roman"/>
          <w:sz w:val="18"/>
          <w:szCs w:val="18"/>
          <w:color w:val="auto"/>
        </w:rPr>
      </w:pPr>
    </w:p>
    <w:p>
      <w:pPr>
        <w:ind w:left="560" w:hanging="240"/>
        <w:spacing w:after="0"/>
        <w:tabs>
          <w:tab w:leader="none" w:pos="5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discontinue the use of infringing technology,</w:t>
      </w:r>
    </w:p>
    <w:p>
      <w:pPr>
        <w:spacing w:after="0" w:line="3" w:lineRule="exact"/>
        <w:rPr>
          <w:rFonts w:ascii="Times New Roman" w:cs="Times New Roman" w:eastAsia="Times New Roman" w:hAnsi="Times New Roman"/>
          <w:sz w:val="18"/>
          <w:szCs w:val="18"/>
          <w:color w:val="auto"/>
        </w:rPr>
      </w:pPr>
    </w:p>
    <w:p>
      <w:pPr>
        <w:ind w:left="560" w:hanging="240"/>
        <w:spacing w:after="0"/>
        <w:tabs>
          <w:tab w:leader="none" w:pos="5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expend significant resources to develop an alternate non-infringing technology, and</w:t>
      </w:r>
    </w:p>
    <w:p>
      <w:pPr>
        <w:spacing w:after="0" w:line="3" w:lineRule="exact"/>
        <w:rPr>
          <w:rFonts w:ascii="Times New Roman" w:cs="Times New Roman" w:eastAsia="Times New Roman" w:hAnsi="Times New Roman"/>
          <w:sz w:val="18"/>
          <w:szCs w:val="18"/>
          <w:color w:val="auto"/>
        </w:rPr>
      </w:pPr>
    </w:p>
    <w:p>
      <w:pPr>
        <w:ind w:left="560" w:hanging="240"/>
        <w:spacing w:after="0"/>
        <w:tabs>
          <w:tab w:leader="none" w:pos="5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license technology from the third party claiming infringement, which license may not be available on commercially reasonable terms.</w:t>
      </w:r>
    </w:p>
    <w:p>
      <w:pPr>
        <w:spacing w:after="0" w:line="9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Our operating results or financial condition may be materially adversely affected if we, or one of our customers, were required to take any one or more of the foregoing actions.</w:t>
      </w:r>
    </w:p>
    <w:p>
      <w:pPr>
        <w:spacing w:after="0" w:line="6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In addition, if another supplier to one of our customers, or a customer of ours itself, were found to be infringing upon the intellectual property rights of a third party, the supplier or customer could be ordered to cease the manufacture, import, use, sale, or offer for sale of its infringing product(s) or process(es), either of which could result, indirectly, in a decrease in demand from our customers for our products. If such a decrease in demand for our products were to occur, it could have an adverse impact on our operating results.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Associated with Owning our Common Stock</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stock price has been volatile and may fluctuate in the future.</w:t>
      </w:r>
    </w:p>
    <w:p>
      <w:pPr>
        <w:spacing w:after="0" w:line="11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The trading price of our common stock has fluctuated and may continue to fluctuate significantly. Such fluctuations may be influenced by many factors, including:</w:t>
      </w:r>
    </w:p>
    <w:p>
      <w:pPr>
        <w:spacing w:after="0" w:line="65" w:lineRule="exact"/>
        <w:rPr>
          <w:sz w:val="20"/>
          <w:szCs w:val="20"/>
          <w:color w:val="auto"/>
        </w:rPr>
      </w:pPr>
    </w:p>
    <w:p>
      <w:pPr>
        <w:ind w:left="560" w:hanging="240"/>
        <w:spacing w:after="0"/>
        <w:tabs>
          <w:tab w:leader="none" w:pos="5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uncertainty regarding the condition and prospects of the domestic and foreign economies,</w:t>
      </w:r>
    </w:p>
    <w:p>
      <w:pPr>
        <w:spacing w:after="0" w:line="20" w:lineRule="exact"/>
        <w:rPr>
          <w:rFonts w:ascii="Times New Roman" w:cs="Times New Roman" w:eastAsia="Times New Roman" w:hAnsi="Times New Roman"/>
          <w:sz w:val="18"/>
          <w:szCs w:val="18"/>
          <w:color w:val="auto"/>
        </w:rPr>
      </w:pPr>
    </w:p>
    <w:p>
      <w:pPr>
        <w:ind w:left="560" w:hanging="240"/>
        <w:spacing w:after="0"/>
        <w:tabs>
          <w:tab w:leader="none" w:pos="5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performance and prospects, and the performance and prospects of our major customers and competitors,</w:t>
      </w:r>
    </w:p>
    <w:p>
      <w:pPr>
        <w:spacing w:after="0" w:line="3" w:lineRule="exact"/>
        <w:rPr>
          <w:rFonts w:ascii="Times New Roman" w:cs="Times New Roman" w:eastAsia="Times New Roman" w:hAnsi="Times New Roman"/>
          <w:sz w:val="18"/>
          <w:szCs w:val="18"/>
          <w:color w:val="auto"/>
        </w:rPr>
      </w:pPr>
    </w:p>
    <w:p>
      <w:pPr>
        <w:ind w:left="560" w:hanging="240"/>
        <w:spacing w:after="0"/>
        <w:tabs>
          <w:tab w:leader="none" w:pos="5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volatility of the financial markets,</w:t>
      </w:r>
    </w:p>
    <w:p>
      <w:pPr>
        <w:spacing w:after="0" w:line="3" w:lineRule="exact"/>
        <w:rPr>
          <w:rFonts w:ascii="Times New Roman" w:cs="Times New Roman" w:eastAsia="Times New Roman" w:hAnsi="Times New Roman"/>
          <w:sz w:val="18"/>
          <w:szCs w:val="18"/>
          <w:color w:val="auto"/>
        </w:rPr>
      </w:pPr>
    </w:p>
    <w:p>
      <w:pPr>
        <w:ind w:left="560" w:hanging="240"/>
        <w:spacing w:after="0"/>
        <w:tabs>
          <w:tab w:leader="none" w:pos="5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instability in global credit and financial markets,</w:t>
      </w:r>
    </w:p>
    <w:p>
      <w:pPr>
        <w:spacing w:after="0" w:line="3" w:lineRule="exact"/>
        <w:rPr>
          <w:rFonts w:ascii="Times New Roman" w:cs="Times New Roman" w:eastAsia="Times New Roman" w:hAnsi="Times New Roman"/>
          <w:sz w:val="18"/>
          <w:szCs w:val="18"/>
          <w:color w:val="auto"/>
        </w:rPr>
      </w:pPr>
    </w:p>
    <w:p>
      <w:pPr>
        <w:ind w:left="560" w:hanging="240"/>
        <w:spacing w:after="0"/>
        <w:tabs>
          <w:tab w:leader="none" w:pos="5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revenue concentrations with relatively few customers,</w:t>
      </w:r>
    </w:p>
    <w:p>
      <w:pPr>
        <w:spacing w:after="0" w:line="3" w:lineRule="exact"/>
        <w:rPr>
          <w:rFonts w:ascii="Times New Roman" w:cs="Times New Roman" w:eastAsia="Times New Roman" w:hAnsi="Times New Roman"/>
          <w:sz w:val="18"/>
          <w:szCs w:val="18"/>
          <w:color w:val="auto"/>
        </w:rPr>
      </w:pPr>
    </w:p>
    <w:p>
      <w:pPr>
        <w:ind w:left="560" w:hanging="240"/>
        <w:spacing w:after="0"/>
        <w:tabs>
          <w:tab w:leader="none" w:pos="5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stock repurchase and dividend activities,</w:t>
      </w:r>
    </w:p>
    <w:p>
      <w:pPr>
        <w:spacing w:after="0" w:line="3" w:lineRule="exact"/>
        <w:rPr>
          <w:rFonts w:ascii="Times New Roman" w:cs="Times New Roman" w:eastAsia="Times New Roman" w:hAnsi="Times New Roman"/>
          <w:sz w:val="18"/>
          <w:szCs w:val="18"/>
          <w:color w:val="auto"/>
        </w:rPr>
      </w:pPr>
    </w:p>
    <w:p>
      <w:pPr>
        <w:ind w:left="560" w:hanging="240"/>
        <w:spacing w:after="0"/>
        <w:tabs>
          <w:tab w:leader="none" w:pos="5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our repayment of outstanding indebtedness,</w:t>
      </w:r>
    </w:p>
    <w:p>
      <w:pPr>
        <w:spacing w:after="0" w:line="3" w:lineRule="exact"/>
        <w:rPr>
          <w:rFonts w:ascii="Times New Roman" w:cs="Times New Roman" w:eastAsia="Times New Roman" w:hAnsi="Times New Roman"/>
          <w:sz w:val="18"/>
          <w:szCs w:val="18"/>
          <w:color w:val="auto"/>
        </w:rPr>
      </w:pPr>
    </w:p>
    <w:p>
      <w:pPr>
        <w:ind w:left="560" w:hanging="240"/>
        <w:spacing w:after="0"/>
        <w:tabs>
          <w:tab w:leader="none" w:pos="5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 perception of us and the industry in which we operate,</w:t>
      </w:r>
    </w:p>
    <w:p>
      <w:pPr>
        <w:spacing w:after="0" w:line="3" w:lineRule="exact"/>
        <w:rPr>
          <w:rFonts w:ascii="Times New Roman" w:cs="Times New Roman" w:eastAsia="Times New Roman" w:hAnsi="Times New Roman"/>
          <w:sz w:val="18"/>
          <w:szCs w:val="18"/>
          <w:color w:val="auto"/>
        </w:rPr>
      </w:pPr>
    </w:p>
    <w:p>
      <w:pPr>
        <w:ind w:left="560" w:hanging="240"/>
        <w:spacing w:after="0"/>
        <w:tabs>
          <w:tab w:leader="none" w:pos="5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market valuations of other companies, including, but not limited to, those in our industry,</w:t>
      </w:r>
    </w:p>
    <w:p>
      <w:pPr>
        <w:spacing w:after="0" w:line="3" w:lineRule="exact"/>
        <w:rPr>
          <w:rFonts w:ascii="Times New Roman" w:cs="Times New Roman" w:eastAsia="Times New Roman" w:hAnsi="Times New Roman"/>
          <w:sz w:val="18"/>
          <w:szCs w:val="18"/>
          <w:color w:val="auto"/>
        </w:rPr>
      </w:pPr>
    </w:p>
    <w:p>
      <w:pPr>
        <w:ind w:left="560" w:hanging="240"/>
        <w:spacing w:after="0"/>
        <w:tabs>
          <w:tab w:leader="none" w:pos="5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earnings estimates, price targets, or buy/sell recommendations by analysts,</w:t>
      </w:r>
    </w:p>
    <w:p>
      <w:pPr>
        <w:spacing w:after="0" w:line="3" w:lineRule="exact"/>
        <w:rPr>
          <w:rFonts w:ascii="Times New Roman" w:cs="Times New Roman" w:eastAsia="Times New Roman" w:hAnsi="Times New Roman"/>
          <w:sz w:val="18"/>
          <w:szCs w:val="18"/>
          <w:color w:val="auto"/>
        </w:rPr>
      </w:pPr>
    </w:p>
    <w:p>
      <w:pPr>
        <w:ind w:left="560" w:hanging="240"/>
        <w:spacing w:after="0"/>
        <w:tabs>
          <w:tab w:leader="none" w:pos="5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depth and liquidity of the market for our common stock,</w:t>
      </w:r>
    </w:p>
    <w:p>
      <w:pPr>
        <w:spacing w:after="0" w:line="3" w:lineRule="exact"/>
        <w:rPr>
          <w:rFonts w:ascii="Times New Roman" w:cs="Times New Roman" w:eastAsia="Times New Roman" w:hAnsi="Times New Roman"/>
          <w:sz w:val="18"/>
          <w:szCs w:val="18"/>
          <w:color w:val="auto"/>
        </w:rPr>
      </w:pPr>
    </w:p>
    <w:p>
      <w:pPr>
        <w:ind w:left="560" w:hanging="240"/>
        <w:spacing w:after="0"/>
        <w:tabs>
          <w:tab w:leader="none" w:pos="5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exclusion or removal of our stock from market indices, such as the S&amp;P 500 Index,</w:t>
      </w:r>
    </w:p>
    <w:p>
      <w:pPr>
        <w:spacing w:after="0" w:line="3" w:lineRule="exact"/>
        <w:rPr>
          <w:rFonts w:ascii="Times New Roman" w:cs="Times New Roman" w:eastAsia="Times New Roman" w:hAnsi="Times New Roman"/>
          <w:sz w:val="18"/>
          <w:szCs w:val="18"/>
          <w:color w:val="auto"/>
        </w:rPr>
      </w:pPr>
    </w:p>
    <w:p>
      <w:pPr>
        <w:ind w:left="560" w:hanging="240"/>
        <w:spacing w:after="0"/>
        <w:tabs>
          <w:tab w:leader="none" w:pos="5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domestic and international political conditions,</w:t>
      </w:r>
    </w:p>
    <w:p>
      <w:pPr>
        <w:spacing w:after="0" w:line="3" w:lineRule="exact"/>
        <w:rPr>
          <w:rFonts w:ascii="Times New Roman" w:cs="Times New Roman" w:eastAsia="Times New Roman" w:hAnsi="Times New Roman"/>
          <w:sz w:val="18"/>
          <w:szCs w:val="18"/>
          <w:color w:val="auto"/>
        </w:rPr>
      </w:pPr>
    </w:p>
    <w:p>
      <w:pPr>
        <w:ind w:left="560" w:hanging="240"/>
        <w:spacing w:after="0"/>
        <w:tabs>
          <w:tab w:leader="none" w:pos="5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domestic and international tax, fiscal, and trade policy decisions,</w:t>
      </w:r>
    </w:p>
    <w:p>
      <w:pPr>
        <w:spacing w:after="0" w:line="3" w:lineRule="exact"/>
        <w:rPr>
          <w:rFonts w:ascii="Times New Roman" w:cs="Times New Roman" w:eastAsia="Times New Roman" w:hAnsi="Times New Roman"/>
          <w:sz w:val="18"/>
          <w:szCs w:val="18"/>
          <w:color w:val="auto"/>
        </w:rPr>
      </w:pPr>
    </w:p>
    <w:p>
      <w:pPr>
        <w:ind w:left="560" w:hanging="240"/>
        <w:spacing w:after="0"/>
        <w:tabs>
          <w:tab w:leader="none" w:pos="5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identify, acquire, and integrate acquisition candidates, and</w:t>
      </w:r>
    </w:p>
    <w:p>
      <w:pPr>
        <w:spacing w:after="0" w:line="3" w:lineRule="exact"/>
        <w:rPr>
          <w:rFonts w:ascii="Times New Roman" w:cs="Times New Roman" w:eastAsia="Times New Roman" w:hAnsi="Times New Roman"/>
          <w:sz w:val="18"/>
          <w:szCs w:val="18"/>
          <w:color w:val="auto"/>
        </w:rPr>
      </w:pPr>
    </w:p>
    <w:p>
      <w:pPr>
        <w:ind w:left="560" w:hanging="240"/>
        <w:spacing w:after="0"/>
        <w:tabs>
          <w:tab w:leader="none" w:pos="5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of the impact of global health events.</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76200</wp:posOffset>
            </wp:positionV>
            <wp:extent cx="716153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Public stock markets have experienced price and trading volume volatility. This volatility has affected, and could significantly and negatively affect in the future, the market prices of securities of many technology companies, particularly the market price of our common stock.</w:t>
      </w:r>
    </w:p>
    <w:p>
      <w:pPr>
        <w:spacing w:after="0" w:line="6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In addition, fluctuations in our stock price, volume of shares traded, and changes in our trading multiples may make our stock attractive to momentum, hedge, day-trading, or activist investors who often shift funds into and out of stocks rapidly, exacerbating price fluctuations in either direction. We have been, and in the future may be, the subject of commentary by financial news media. Such commentary may contribute to volatility in our stock price. If our operating results do not meet the expectations of securities analysts, the financial news media, or investors, our stock price may decline, possibly substantially over a short period of time.</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There can be no assurance that we will continue to declare cash dividends or repurchase our stock.</w:t>
      </w:r>
    </w:p>
    <w:p>
      <w:pPr>
        <w:spacing w:after="0" w:line="11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pay, and intend to continue to pay, quarterly cash dividends, subject to capital availability and periodic determinations made by our Board of Directors that cash dividends are in the best interest of our stockholders. In addition, from time to time the Board of Directors approves stock repurchase programs, pursuant to which we are authorized to repurchase shares of our common stock on the open market or in privately negotiated transactions.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Future cash dividends and the amount and timing of our stock repurchases may be affected by, among other factors:</w:t>
      </w:r>
    </w:p>
    <w:p>
      <w:pPr>
        <w:spacing w:after="0" w:line="108" w:lineRule="exact"/>
        <w:rPr>
          <w:sz w:val="20"/>
          <w:szCs w:val="20"/>
          <w:color w:val="auto"/>
        </w:rPr>
      </w:pPr>
    </w:p>
    <w:p>
      <w:pPr>
        <w:ind w:left="560" w:hanging="240"/>
        <w:spacing w:after="0"/>
        <w:tabs>
          <w:tab w:leader="none" w:pos="5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views on potential future capital requirements, including those related to research and development,</w:t>
      </w:r>
    </w:p>
    <w:p>
      <w:pPr>
        <w:spacing w:after="0" w:line="20" w:lineRule="exact"/>
        <w:rPr>
          <w:rFonts w:ascii="Times New Roman" w:cs="Times New Roman" w:eastAsia="Times New Roman" w:hAnsi="Times New Roman"/>
          <w:sz w:val="18"/>
          <w:szCs w:val="18"/>
          <w:color w:val="auto"/>
        </w:rPr>
      </w:pPr>
    </w:p>
    <w:p>
      <w:pPr>
        <w:ind w:left="560" w:hanging="240"/>
        <w:spacing w:after="0"/>
        <w:tabs>
          <w:tab w:leader="none" w:pos="5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generate sufficient earnings and cash flows,</w:t>
      </w:r>
    </w:p>
    <w:p>
      <w:pPr>
        <w:spacing w:after="0" w:line="3" w:lineRule="exact"/>
        <w:rPr>
          <w:rFonts w:ascii="Times New Roman" w:cs="Times New Roman" w:eastAsia="Times New Roman" w:hAnsi="Times New Roman"/>
          <w:sz w:val="18"/>
          <w:szCs w:val="18"/>
          <w:color w:val="auto"/>
        </w:rPr>
      </w:pPr>
    </w:p>
    <w:p>
      <w:pPr>
        <w:ind w:left="560" w:hanging="240"/>
        <w:spacing w:after="0"/>
        <w:tabs>
          <w:tab w:leader="none" w:pos="5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use of cash to consummate various acquisition transactions,</w:t>
      </w:r>
    </w:p>
    <w:p>
      <w:pPr>
        <w:spacing w:after="0" w:line="3" w:lineRule="exact"/>
        <w:rPr>
          <w:rFonts w:ascii="Times New Roman" w:cs="Times New Roman" w:eastAsia="Times New Roman" w:hAnsi="Times New Roman"/>
          <w:sz w:val="18"/>
          <w:szCs w:val="18"/>
          <w:color w:val="auto"/>
        </w:rPr>
      </w:pPr>
    </w:p>
    <w:p>
      <w:pPr>
        <w:ind w:left="560" w:hanging="240"/>
        <w:spacing w:after="0"/>
        <w:tabs>
          <w:tab w:leader="none" w:pos="5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repayment of principal and interest on our indebtedness,</w:t>
      </w:r>
    </w:p>
    <w:p>
      <w:pPr>
        <w:spacing w:after="0" w:line="3" w:lineRule="exact"/>
        <w:rPr>
          <w:rFonts w:ascii="Times New Roman" w:cs="Times New Roman" w:eastAsia="Times New Roman" w:hAnsi="Times New Roman"/>
          <w:sz w:val="18"/>
          <w:szCs w:val="18"/>
          <w:color w:val="auto"/>
        </w:rPr>
      </w:pPr>
    </w:p>
    <w:p>
      <w:pPr>
        <w:ind w:left="560" w:hanging="240"/>
        <w:spacing w:after="0"/>
        <w:tabs>
          <w:tab w:leader="none" w:pos="5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federal and state income tax laws or corporate laws, and</w:t>
      </w:r>
    </w:p>
    <w:p>
      <w:pPr>
        <w:spacing w:after="0" w:line="3" w:lineRule="exact"/>
        <w:rPr>
          <w:rFonts w:ascii="Times New Roman" w:cs="Times New Roman" w:eastAsia="Times New Roman" w:hAnsi="Times New Roman"/>
          <w:sz w:val="18"/>
          <w:szCs w:val="18"/>
          <w:color w:val="auto"/>
        </w:rPr>
      </w:pPr>
    </w:p>
    <w:p>
      <w:pPr>
        <w:ind w:left="560" w:hanging="240"/>
        <w:spacing w:after="0"/>
        <w:tabs>
          <w:tab w:leader="none" w:pos="5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our business model.</w:t>
      </w:r>
    </w:p>
    <w:p>
      <w:pPr>
        <w:spacing w:after="0" w:line="9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cash dividend payments and stock repurchases may change from time to time, and we cannot provide assurance that we will increase our cash dividend payment or declare cash dividends or make stock repurchases in any particular amounts or at all. A reduction in our cash dividend payments or a reduction in the level of our stock repurchases could have a negative effect on our stock price.</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Certain provisions in our organizational documents and Delaware law may make it difficult for someone to acquire control of us.</w:t>
      </w:r>
    </w:p>
    <w:p>
      <w:pPr>
        <w:spacing w:after="0" w:line="11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have certain anti-takeover measures that may affect our common stock. Our certificate of incorporation, our by-laws, and the Delaware General Corporation Law contain several provisions that would make it more difficult to acquire control of us in a transaction not approved by our Board of Directors. Our certificate of incorporation and by-laws include provisions such as:</w:t>
      </w:r>
    </w:p>
    <w:p>
      <w:pPr>
        <w:spacing w:after="0" w:line="75" w:lineRule="exact"/>
        <w:rPr>
          <w:sz w:val="20"/>
          <w:szCs w:val="20"/>
          <w:color w:val="auto"/>
        </w:rPr>
      </w:pPr>
    </w:p>
    <w:p>
      <w:pPr>
        <w:ind w:left="560" w:hanging="240"/>
        <w:spacing w:after="0"/>
        <w:tabs>
          <w:tab w:leader="none" w:pos="5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Board of Directors to issue shares of preferred stock in one or more series without further authorization of stockholders,</w:t>
      </w:r>
    </w:p>
    <w:p>
      <w:pPr>
        <w:spacing w:after="0" w:line="20" w:lineRule="exact"/>
        <w:rPr>
          <w:rFonts w:ascii="Times New Roman" w:cs="Times New Roman" w:eastAsia="Times New Roman" w:hAnsi="Times New Roman"/>
          <w:sz w:val="18"/>
          <w:szCs w:val="18"/>
          <w:color w:val="auto"/>
        </w:rPr>
      </w:pPr>
    </w:p>
    <w:p>
      <w:pPr>
        <w:ind w:left="560" w:hanging="240"/>
        <w:spacing w:after="0"/>
        <w:tabs>
          <w:tab w:leader="none" w:pos="5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prohibition on stockholder action by written consent,</w:t>
      </w:r>
    </w:p>
    <w:p>
      <w:pPr>
        <w:spacing w:after="0" w:line="3" w:lineRule="exact"/>
        <w:rPr>
          <w:rFonts w:ascii="Times New Roman" w:cs="Times New Roman" w:eastAsia="Times New Roman" w:hAnsi="Times New Roman"/>
          <w:sz w:val="18"/>
          <w:szCs w:val="18"/>
          <w:color w:val="auto"/>
        </w:rPr>
      </w:pPr>
    </w:p>
    <w:p>
      <w:pPr>
        <w:ind w:left="640" w:hanging="320"/>
        <w:spacing w:after="0" w:line="243" w:lineRule="auto"/>
        <w:tabs>
          <w:tab w:leader="none" w:pos="569"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requirement that stockholders provide advance notice of any stockholder nominations of directors or any proposal of new business to be considered at any meeting of stockholders,</w:t>
      </w:r>
    </w:p>
    <w:p>
      <w:pPr>
        <w:ind w:left="640" w:hanging="320"/>
        <w:spacing w:after="0" w:line="243" w:lineRule="auto"/>
        <w:tabs>
          <w:tab w:leader="none" w:pos="606"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requirement that the affirmative vote of at least 80% of our shares be obtained to amend or repeal the provisions of our certificate of incorporation relating to the election and removal of directors or the right to act by written consent,</w:t>
      </w:r>
    </w:p>
    <w:p>
      <w:pPr>
        <w:jc w:val="both"/>
        <w:ind w:left="640" w:hanging="320"/>
        <w:spacing w:after="0" w:line="243" w:lineRule="auto"/>
        <w:tabs>
          <w:tab w:leader="none" w:pos="651"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requirement that the affirmative vote of at least 80% of our shares be obtained for business combinations unless approved by a majority of the members of the Board of Directors and, in the event that the other party to the business combination is the beneficial owner of 5% or more of our shares, a majority of the members of the Board of Directors in office prior to the time such other party became the beneficial owner of 5% or more of our shares, and</w:t>
      </w:r>
    </w:p>
    <w:p>
      <w:pPr>
        <w:spacing w:after="0" w:line="1" w:lineRule="exact"/>
        <w:rPr>
          <w:rFonts w:ascii="Times New Roman" w:cs="Times New Roman" w:eastAsia="Times New Roman" w:hAnsi="Times New Roman"/>
          <w:sz w:val="18"/>
          <w:szCs w:val="18"/>
          <w:color w:val="auto"/>
        </w:rPr>
      </w:pPr>
    </w:p>
    <w:p>
      <w:pPr>
        <w:ind w:left="640" w:hanging="320"/>
        <w:spacing w:after="0" w:line="247" w:lineRule="auto"/>
        <w:tabs>
          <w:tab w:leader="none" w:pos="628"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fair price provision, as well as a requirement that the affirmative vote of at least 90% of our shares be obtained to amend or repeal the fair price provision.</w:t>
      </w:r>
    </w:p>
    <w:p>
      <w:pPr>
        <w:spacing w:after="0" w:line="8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In addition to the provisions in our certificate of incorporation and by-laws, Section 203 of the Delaware General Corporation Law generally provides that a corporation may not engage in any business combination with any interested stockholder during the three-year period following the time that such stockholder becomes an interested stockholder, unless a majority of the directors then in office approves either the business combination or the transaction that results in the stockholder becoming an interested stockholder or specified stockholder approval requirements are met.</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76200</wp:posOffset>
            </wp:positionV>
            <wp:extent cx="716153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None.</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Cybersecurity Risk Management and Strategy</w:t>
      </w:r>
    </w:p>
    <w:p>
      <w:pPr>
        <w:spacing w:after="0" w:line="112"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We have developed and implemented processes for identifying, assessing, and managing cybersecurity risks as part of our overall enterprise risk management program. These processes are designed to protect our information technology and operational systems against cybersecurity threats. In connection with the operation of our program, we take into consideration guidance from various recognized cybersecurity industry frameworks and standards such as the National Institute of Standards and Technology Cybersecurity Framework (“NIST CSF”) and the International Organization for Standardization (“ISO”) 27001 standards. This does not mean that we adhere to any particular frameworks or meet any particular standards, but rather that we use industry frameworks and standards as a guide to help us identify, assess, and manage cybersecurity risks relevant to our business. Information about cybersecurity risk is collected as part of our overall enterprise risk management program, including as part of the annual enterprise risk assessment survey conducted by our internal audit team, the results of which are summarized and provided to our Audit Committee.</w:t>
      </w:r>
    </w:p>
    <w:p>
      <w:pPr>
        <w:spacing w:after="0" w:line="213"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We devote significant resources and efforts to protecting the security of our information technology and operational systems, including utilizing threat monitoring and commissioning assessments by third parties, taking guidance from ISO information security standards, and conducting proactive risk and compliance reviews against regulatory, industry, and evolving data privacy requirements. We provide training to our employees on our acceptable use policy, our data protection methods, and social engineering tactics used by threat actors, including through simulated phishing attacks. We maintain a cross-functional cybersecurity incident management procedure with defined roles, responsibilities, and reporting protocols that is designed to timely respond to, investigate, mitigate, remediate, and if appropriate, disclose, a cybersecurity incident. Furthermore, we practice our response to potential cybersecurity incidents through tabletop exercises.</w:t>
      </w:r>
    </w:p>
    <w:p>
      <w:pPr>
        <w:spacing w:after="0" w:line="21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As part of our selection process for certain third-party service providers, we evaluate components of their cybersecurity risk management programs using various factors. We engage third-party providers to provide ongoing threat monitoring, mitigation strategies, updates on emerging trends, security assessments, and penetration testing. We also receive updates from law enforcement and industry groups on emerging cybersecurity trends and the latest threats, and we have standing engagements with incident response experts.</w:t>
      </w:r>
    </w:p>
    <w:p>
      <w:pPr>
        <w:spacing w:after="0" w:line="21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 xml:space="preserve">As of the date of this Annual Report on Form 10-K, we have not identified any risks from cybersecurity threats that have materially affected or are reasonably likely to materially affect our company, including our business strategy, results of operations, or financial condition. For additional information regarding risks we face, please refer to </w:t>
      </w:r>
      <w:r>
        <w:rPr>
          <w:rFonts w:ascii="Times New Roman" w:cs="Times New Roman" w:eastAsia="Times New Roman" w:hAnsi="Times New Roman"/>
          <w:sz w:val="18"/>
          <w:szCs w:val="18"/>
          <w:i w:val="1"/>
          <w:iCs w:val="1"/>
          <w:color w:val="auto"/>
        </w:rPr>
        <w:t>“We may not be able to prevent, or timely detect, information technology security breaches”</w:t>
      </w:r>
      <w:r>
        <w:rPr>
          <w:rFonts w:ascii="Times New Roman" w:cs="Times New Roman" w:eastAsia="Times New Roman" w:hAnsi="Times New Roman"/>
          <w:sz w:val="18"/>
          <w:szCs w:val="18"/>
          <w:color w:val="auto"/>
        </w:rPr>
        <w:t xml:space="preserve"> in Item 1A, “Risk Factors,” in this Annual Report on Form 10-K.</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Cybersecurity Governance</w:t>
      </w:r>
    </w:p>
    <w:p>
      <w:pPr>
        <w:spacing w:after="0" w:line="112" w:lineRule="exact"/>
        <w:rPr>
          <w:sz w:val="20"/>
          <w:szCs w:val="20"/>
          <w:color w:val="auto"/>
        </w:rPr>
      </w:pPr>
    </w:p>
    <w:p>
      <w:pPr>
        <w:ind w:right="40"/>
        <w:spacing w:after="0" w:line="247" w:lineRule="auto"/>
        <w:rPr>
          <w:sz w:val="20"/>
          <w:szCs w:val="20"/>
          <w:color w:val="auto"/>
        </w:rPr>
      </w:pPr>
      <w:r>
        <w:rPr>
          <w:rFonts w:ascii="Times New Roman" w:cs="Times New Roman" w:eastAsia="Times New Roman" w:hAnsi="Times New Roman"/>
          <w:sz w:val="18"/>
          <w:szCs w:val="18"/>
          <w:color w:val="auto"/>
        </w:rPr>
        <w:t>Our Board of Directors (“Board”) is responsible for our risk oversight, with the Audit Committee specifically overseeing management’s cybersecurity risk management program. In this role, the Audit Committee receives quarterly updates from members of management, including the vice president, information technology and CIO, who oversees our information technology function (“CIO”) and another vice president who supports the CIO in implementing, monitoring and updating the cybersecurity risk management program, as well as addressing existing and emerging cybersecurity threats and managing cybersecurity incidents (“Head of Information Security”). The Board receives regular reports from the Audit Committee, as well as an annual cybersecurity report from management, including the CIO, highlighting key activities of the Company’s cybersecurity team, including internal initiatives and updates and external engagements with third party cybersecurity firms, recent incidents throughout the industry and the emerging threat landscape.</w:t>
      </w:r>
    </w:p>
    <w:p>
      <w:pPr>
        <w:spacing w:after="0" w:line="21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CIO has more than 25 years of experience in information technology and reports to our Chief Financial Officer. Our Head of Information Security, who reports to the CIO, has over 20 years of experience managing global information technology and cybersecurity operations and holds multiple industry-recognized certifications such as Certified Information Systems Security Professional and Certificate of Cloud Security Knowledge.</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84455</wp:posOffset>
            </wp:positionV>
            <wp:extent cx="716153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241"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8"/>
          <w:szCs w:val="18"/>
          <w:color w:val="auto"/>
        </w:rPr>
        <w:t>We maintain our primary executive offices in Irvine, California. For information regarding property, plant, and equipment by geographic region for each of the last two fiscal years, see Note 14 to Item 8 of this Annual Report on Form 10-K. The following table sets forth our principal facilities: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2860" w:type="dxa"/>
            <w:vAlign w:val="bottom"/>
            <w:gridSpan w:val="2"/>
          </w:tcPr>
          <w:p>
            <w:pPr>
              <w:ind w:left="1080"/>
              <w:spacing w:after="0"/>
              <w:rPr>
                <w:sz w:val="20"/>
                <w:szCs w:val="20"/>
                <w:color w:val="auto"/>
              </w:rPr>
            </w:pPr>
            <w:r>
              <w:rPr>
                <w:rFonts w:ascii="Times New Roman" w:cs="Times New Roman" w:eastAsia="Times New Roman" w:hAnsi="Times New Roman"/>
                <w:sz w:val="16"/>
                <w:szCs w:val="16"/>
                <w:b w:val="1"/>
                <w:bCs w:val="1"/>
                <w:color w:val="auto"/>
              </w:rPr>
              <w:t>Location</w:t>
            </w:r>
          </w:p>
        </w:tc>
        <w:tc>
          <w:tcPr>
            <w:tcW w:w="1620" w:type="dxa"/>
            <w:vAlign w:val="bottom"/>
            <w:gridSpan w:val="2"/>
          </w:tcPr>
          <w:p>
            <w:pPr>
              <w:ind w:left="260"/>
              <w:spacing w:after="0"/>
              <w:rPr>
                <w:sz w:val="20"/>
                <w:szCs w:val="20"/>
                <w:color w:val="auto"/>
              </w:rPr>
            </w:pPr>
            <w:r>
              <w:rPr>
                <w:rFonts w:ascii="Times New Roman" w:cs="Times New Roman" w:eastAsia="Times New Roman" w:hAnsi="Times New Roman"/>
                <w:sz w:val="16"/>
                <w:szCs w:val="16"/>
                <w:b w:val="1"/>
                <w:bCs w:val="1"/>
                <w:color w:val="auto"/>
              </w:rPr>
              <w:t>Owned/Leased</w:t>
            </w:r>
          </w:p>
        </w:tc>
        <w:tc>
          <w:tcPr>
            <w:tcW w:w="1620" w:type="dxa"/>
            <w:vAlign w:val="bottom"/>
            <w:gridSpan w:val="2"/>
          </w:tcPr>
          <w:p>
            <w:pPr>
              <w:ind w:left="240"/>
              <w:spacing w:after="0"/>
              <w:rPr>
                <w:sz w:val="20"/>
                <w:szCs w:val="20"/>
                <w:color w:val="auto"/>
              </w:rPr>
            </w:pPr>
            <w:r>
              <w:rPr>
                <w:rFonts w:ascii="Times New Roman" w:cs="Times New Roman" w:eastAsia="Times New Roman" w:hAnsi="Times New Roman"/>
                <w:sz w:val="16"/>
                <w:szCs w:val="16"/>
                <w:b w:val="1"/>
                <w:bCs w:val="1"/>
                <w:color w:val="auto"/>
              </w:rPr>
              <w:t>Square Footage</w:t>
            </w:r>
          </w:p>
        </w:tc>
        <w:tc>
          <w:tcPr>
            <w:tcW w:w="5140" w:type="dxa"/>
            <w:vAlign w:val="bottom"/>
          </w:tcPr>
          <w:p>
            <w:pPr>
              <w:ind w:left="1980"/>
              <w:spacing w:after="0"/>
              <w:rPr>
                <w:sz w:val="20"/>
                <w:szCs w:val="20"/>
                <w:color w:val="auto"/>
              </w:rPr>
            </w:pPr>
            <w:r>
              <w:rPr>
                <w:rFonts w:ascii="Times New Roman" w:cs="Times New Roman" w:eastAsia="Times New Roman" w:hAnsi="Times New Roman"/>
                <w:sz w:val="16"/>
                <w:szCs w:val="16"/>
                <w:b w:val="1"/>
                <w:bCs w:val="1"/>
                <w:color w:val="auto"/>
              </w:rPr>
              <w:t>Primary Function</w:t>
            </w:r>
          </w:p>
        </w:tc>
      </w:tr>
      <w:tr>
        <w:trPr>
          <w:trHeight w:val="219"/>
        </w:trPr>
        <w:tc>
          <w:tcPr>
            <w:tcW w:w="27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Singapore, Singapore</w:t>
            </w:r>
          </w:p>
        </w:tc>
        <w:tc>
          <w:tcPr>
            <w:tcW w:w="10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Leased</w:t>
            </w:r>
          </w:p>
        </w:tc>
        <w:tc>
          <w:tcPr>
            <w:tcW w:w="10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427,700</w:t>
            </w:r>
          </w:p>
        </w:tc>
        <w:tc>
          <w:tcPr>
            <w:tcW w:w="100" w:type="dxa"/>
            <w:vAlign w:val="bottom"/>
            <w:tcBorders>
              <w:top w:val="single" w:sz="8" w:color="CCEEFF"/>
            </w:tcBorders>
            <w:shd w:val="clear" w:color="auto" w:fill="CCEEFF"/>
          </w:tcPr>
          <w:p>
            <w:pPr>
              <w:spacing w:after="0"/>
              <w:rPr>
                <w:sz w:val="19"/>
                <w:szCs w:val="19"/>
                <w:color w:val="auto"/>
              </w:rPr>
            </w:pPr>
          </w:p>
        </w:tc>
        <w:tc>
          <w:tcPr>
            <w:tcW w:w="5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Filter manufacturing</w:t>
            </w:r>
          </w:p>
        </w:tc>
      </w:tr>
      <w:tr>
        <w:trPr>
          <w:trHeight w:val="223"/>
        </w:trPr>
        <w:tc>
          <w:tcPr>
            <w:tcW w:w="2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Osaka, Japan</w:t>
            </w:r>
          </w:p>
        </w:tc>
        <w:tc>
          <w:tcPr>
            <w:tcW w:w="1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Owned (1)</w:t>
            </w: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383,600</w:t>
            </w:r>
          </w:p>
        </w:tc>
        <w:tc>
          <w:tcPr>
            <w:tcW w:w="100" w:type="dxa"/>
            <w:vAlign w:val="bottom"/>
          </w:tcPr>
          <w:p>
            <w:pPr>
              <w:spacing w:after="0"/>
              <w:rPr>
                <w:sz w:val="19"/>
                <w:szCs w:val="19"/>
                <w:color w:val="auto"/>
              </w:rPr>
            </w:pPr>
          </w:p>
        </w:tc>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Filter manufacturing</w:t>
            </w:r>
          </w:p>
        </w:tc>
      </w:tr>
      <w:tr>
        <w:trPr>
          <w:trHeight w:val="223"/>
        </w:trPr>
        <w:tc>
          <w:tcPr>
            <w:tcW w:w="2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Mexicali, Mexico</w:t>
            </w:r>
          </w:p>
        </w:tc>
        <w:tc>
          <w:tcPr>
            <w:tcW w:w="1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Leased</w:t>
            </w: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378,000</w:t>
            </w:r>
          </w:p>
        </w:tc>
        <w:tc>
          <w:tcPr>
            <w:tcW w:w="100" w:type="dxa"/>
            <w:vAlign w:val="bottom"/>
            <w:shd w:val="clear" w:color="auto" w:fill="CCEEFF"/>
          </w:tcPr>
          <w:p>
            <w:pPr>
              <w:spacing w:after="0"/>
              <w:rPr>
                <w:sz w:val="19"/>
                <w:szCs w:val="19"/>
                <w:color w:val="auto"/>
              </w:rPr>
            </w:pPr>
          </w:p>
        </w:tc>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Manufacturing and office space</w:t>
            </w:r>
          </w:p>
        </w:tc>
      </w:tr>
      <w:tr>
        <w:trPr>
          <w:trHeight w:val="223"/>
        </w:trPr>
        <w:tc>
          <w:tcPr>
            <w:tcW w:w="2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Mexicali, Mexico</w:t>
            </w:r>
          </w:p>
        </w:tc>
        <w:tc>
          <w:tcPr>
            <w:tcW w:w="1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Owned</w:t>
            </w: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380,000</w:t>
            </w:r>
          </w:p>
        </w:tc>
        <w:tc>
          <w:tcPr>
            <w:tcW w:w="100" w:type="dxa"/>
            <w:vAlign w:val="bottom"/>
          </w:tcPr>
          <w:p>
            <w:pPr>
              <w:spacing w:after="0"/>
              <w:rPr>
                <w:sz w:val="19"/>
                <w:szCs w:val="19"/>
                <w:color w:val="auto"/>
              </w:rPr>
            </w:pPr>
          </w:p>
        </w:tc>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Manufacturing and office space</w:t>
            </w:r>
          </w:p>
        </w:tc>
      </w:tr>
      <w:tr>
        <w:trPr>
          <w:trHeight w:val="223"/>
        </w:trPr>
        <w:tc>
          <w:tcPr>
            <w:tcW w:w="2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Irvine, California</w:t>
            </w:r>
          </w:p>
        </w:tc>
        <w:tc>
          <w:tcPr>
            <w:tcW w:w="1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Leased</w:t>
            </w: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218,000</w:t>
            </w:r>
          </w:p>
        </w:tc>
        <w:tc>
          <w:tcPr>
            <w:tcW w:w="100" w:type="dxa"/>
            <w:vAlign w:val="bottom"/>
            <w:shd w:val="clear" w:color="auto" w:fill="CCEEFF"/>
          </w:tcPr>
          <w:p>
            <w:pPr>
              <w:spacing w:after="0"/>
              <w:rPr>
                <w:sz w:val="19"/>
                <w:szCs w:val="19"/>
                <w:color w:val="auto"/>
              </w:rPr>
            </w:pPr>
          </w:p>
        </w:tc>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Design center and office space</w:t>
            </w:r>
          </w:p>
        </w:tc>
      </w:tr>
      <w:tr>
        <w:trPr>
          <w:trHeight w:val="223"/>
        </w:trPr>
        <w:tc>
          <w:tcPr>
            <w:tcW w:w="2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Woburn, Massachusetts</w:t>
            </w:r>
          </w:p>
        </w:tc>
        <w:tc>
          <w:tcPr>
            <w:tcW w:w="1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Owned</w:t>
            </w: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158,000</w:t>
            </w:r>
          </w:p>
        </w:tc>
        <w:tc>
          <w:tcPr>
            <w:tcW w:w="100" w:type="dxa"/>
            <w:vAlign w:val="bottom"/>
          </w:tcPr>
          <w:p>
            <w:pPr>
              <w:spacing w:after="0"/>
              <w:rPr>
                <w:sz w:val="19"/>
                <w:szCs w:val="19"/>
                <w:color w:val="auto"/>
              </w:rPr>
            </w:pPr>
          </w:p>
        </w:tc>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Manufacturing and office space</w:t>
            </w:r>
          </w:p>
        </w:tc>
      </w:tr>
      <w:tr>
        <w:trPr>
          <w:trHeight w:val="223"/>
        </w:trPr>
        <w:tc>
          <w:tcPr>
            <w:tcW w:w="2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Newbury Park, California</w:t>
            </w:r>
          </w:p>
        </w:tc>
        <w:tc>
          <w:tcPr>
            <w:tcW w:w="1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Owned</w:t>
            </w: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111,600</w:t>
            </w:r>
          </w:p>
        </w:tc>
        <w:tc>
          <w:tcPr>
            <w:tcW w:w="100" w:type="dxa"/>
            <w:vAlign w:val="bottom"/>
            <w:shd w:val="clear" w:color="auto" w:fill="CCEEFF"/>
          </w:tcPr>
          <w:p>
            <w:pPr>
              <w:spacing w:after="0"/>
              <w:rPr>
                <w:sz w:val="19"/>
                <w:szCs w:val="19"/>
                <w:color w:val="auto"/>
              </w:rPr>
            </w:pPr>
          </w:p>
        </w:tc>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Manufacturing and office space</w:t>
            </w:r>
          </w:p>
        </w:tc>
      </w:tr>
      <w:tr>
        <w:trPr>
          <w:trHeight w:val="223"/>
        </w:trPr>
        <w:tc>
          <w:tcPr>
            <w:tcW w:w="2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Newbury Park, California</w:t>
            </w:r>
          </w:p>
        </w:tc>
        <w:tc>
          <w:tcPr>
            <w:tcW w:w="1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Leased</w:t>
            </w: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110,000</w:t>
            </w:r>
          </w:p>
        </w:tc>
        <w:tc>
          <w:tcPr>
            <w:tcW w:w="100" w:type="dxa"/>
            <w:vAlign w:val="bottom"/>
          </w:tcPr>
          <w:p>
            <w:pPr>
              <w:spacing w:after="0"/>
              <w:rPr>
                <w:sz w:val="19"/>
                <w:szCs w:val="19"/>
                <w:color w:val="auto"/>
              </w:rPr>
            </w:pPr>
          </w:p>
        </w:tc>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Design center</w:t>
            </w:r>
          </w:p>
        </w:tc>
      </w:tr>
      <w:tr>
        <w:trPr>
          <w:trHeight w:val="223"/>
        </w:trPr>
        <w:tc>
          <w:tcPr>
            <w:tcW w:w="2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Austin, Texas</w:t>
            </w:r>
          </w:p>
        </w:tc>
        <w:tc>
          <w:tcPr>
            <w:tcW w:w="1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Leased</w:t>
            </w: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98,300</w:t>
            </w:r>
          </w:p>
        </w:tc>
        <w:tc>
          <w:tcPr>
            <w:tcW w:w="100" w:type="dxa"/>
            <w:vAlign w:val="bottom"/>
            <w:shd w:val="clear" w:color="auto" w:fill="CCEEFF"/>
          </w:tcPr>
          <w:p>
            <w:pPr>
              <w:spacing w:after="0"/>
              <w:rPr>
                <w:sz w:val="19"/>
                <w:szCs w:val="19"/>
                <w:color w:val="auto"/>
              </w:rPr>
            </w:pPr>
          </w:p>
        </w:tc>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Design center and office space</w:t>
            </w:r>
          </w:p>
        </w:tc>
      </w:tr>
    </w:tbl>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The Company owns the building and the land is leased for approximately 37 additional years expiring in 2061.</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set forth under Note 11 to Item 8 of this Annual Report on Form 10-K is incorporated herein by reference.</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84455</wp:posOffset>
            </wp:positionV>
            <wp:extent cx="716153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39" w:lineRule="exact"/>
        <w:rPr>
          <w:sz w:val="20"/>
          <w:szCs w:val="20"/>
          <w:color w:val="auto"/>
        </w:rPr>
      </w:pPr>
    </w:p>
    <w:p>
      <w:pPr>
        <w:ind w:right="620"/>
        <w:spacing w:after="0" w:line="270"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 Information and Dividends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common stock is traded on the Nasdaq Global Select Market under the symbol “SWKS”.</w:t>
      </w:r>
    </w:p>
    <w:p>
      <w:pPr>
        <w:spacing w:after="0" w:line="23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number of stockholders of record of our common stock as of November 12, 2024, was 7,658. On November 12, 2024, the Company announced that the Board of Directors had declared a cash dividend of $0.70 per share of common stock, payable on December 24, 2024, to stockholders of record as of December 3, 2024. We pay, and intend to continue to pay, quarterly dividends subject to capital availability and periodic determinations made by our Board of Directors that cash dividends are in the best interests of our stockholders.</w:t>
      </w:r>
    </w:p>
    <w:p>
      <w:pPr>
        <w:spacing w:after="0" w:line="21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Future cash dividends may be affected by, among other items, our views on potential future capital requirements, including those relating to research and development, creation and expansion of investments and acquisitions, stock repurchase programs, debt issuances and repayments, changes in federal and state income tax law, and changes to our business model.</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Issuer Purchases of Equity Securities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information regarding repurchases of common stock made during the three months ended September 27, 2024:</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6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Total Number of Shares</w:t>
            </w:r>
          </w:p>
        </w:tc>
        <w:tc>
          <w:tcPr>
            <w:tcW w:w="22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Approximate Dollar Value of</w:t>
            </w:r>
          </w:p>
        </w:tc>
        <w:tc>
          <w:tcPr>
            <w:tcW w:w="0" w:type="dxa"/>
            <w:vAlign w:val="bottom"/>
          </w:tcPr>
          <w:p>
            <w:pPr>
              <w:spacing w:after="0"/>
              <w:rPr>
                <w:sz w:val="1"/>
                <w:szCs w:val="1"/>
                <w:color w:val="auto"/>
              </w:rPr>
            </w:pPr>
          </w:p>
        </w:tc>
      </w:tr>
      <w:tr>
        <w:trPr>
          <w:trHeight w:val="158"/>
        </w:trPr>
        <w:tc>
          <w:tcPr>
            <w:tcW w:w="2060" w:type="dxa"/>
            <w:vAlign w:val="bottom"/>
          </w:tcPr>
          <w:p>
            <w:pPr>
              <w:spacing w:after="0"/>
              <w:rPr>
                <w:sz w:val="13"/>
                <w:szCs w:val="13"/>
                <w:color w:val="auto"/>
              </w:rPr>
            </w:pPr>
          </w:p>
        </w:tc>
        <w:tc>
          <w:tcPr>
            <w:tcW w:w="22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Total Number of Shares</w:t>
            </w:r>
          </w:p>
        </w:tc>
        <w:tc>
          <w:tcPr>
            <w:tcW w:w="36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2240" w:type="dxa"/>
            <w:vAlign w:val="bottom"/>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w w:val="98"/>
              </w:rPr>
              <w:t>Purchased as Part of Publicly</w:t>
            </w:r>
          </w:p>
        </w:tc>
        <w:tc>
          <w:tcPr>
            <w:tcW w:w="2220" w:type="dxa"/>
            <w:vAlign w:val="bottom"/>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w w:val="97"/>
              </w:rPr>
              <w:t>Shares that May Yet Be</w:t>
            </w:r>
          </w:p>
        </w:tc>
        <w:tc>
          <w:tcPr>
            <w:tcW w:w="0" w:type="dxa"/>
            <w:vAlign w:val="bottom"/>
          </w:tcPr>
          <w:p>
            <w:pPr>
              <w:spacing w:after="0"/>
              <w:rPr>
                <w:sz w:val="1"/>
                <w:szCs w:val="1"/>
                <w:color w:val="auto"/>
              </w:rPr>
            </w:pPr>
          </w:p>
        </w:tc>
      </w:tr>
      <w:tr>
        <w:trPr>
          <w:trHeight w:val="158"/>
        </w:trPr>
        <w:tc>
          <w:tcPr>
            <w:tcW w:w="20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Period</w:t>
            </w:r>
          </w:p>
        </w:tc>
        <w:tc>
          <w:tcPr>
            <w:tcW w:w="2220" w:type="dxa"/>
            <w:vAlign w:val="bottom"/>
            <w:vMerge w:val="continue"/>
          </w:tcPr>
          <w:p>
            <w:pPr>
              <w:spacing w:after="0"/>
              <w:rPr>
                <w:sz w:val="13"/>
                <w:szCs w:val="13"/>
                <w:color w:val="auto"/>
              </w:rPr>
            </w:pPr>
          </w:p>
        </w:tc>
        <w:tc>
          <w:tcPr>
            <w:tcW w:w="360" w:type="dxa"/>
            <w:vAlign w:val="bottom"/>
          </w:tcPr>
          <w:p>
            <w:pPr>
              <w:spacing w:after="0"/>
              <w:rPr>
                <w:sz w:val="13"/>
                <w:szCs w:val="13"/>
                <w:color w:val="auto"/>
              </w:rPr>
            </w:pPr>
          </w:p>
        </w:tc>
        <w:tc>
          <w:tcPr>
            <w:tcW w:w="21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Average Price Paid per Share</w:t>
            </w:r>
          </w:p>
        </w:tc>
        <w:tc>
          <w:tcPr>
            <w:tcW w:w="2240" w:type="dxa"/>
            <w:vAlign w:val="bottom"/>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w w:val="97"/>
              </w:rPr>
              <w:t>Announced Plans or Programs</w:t>
            </w:r>
          </w:p>
        </w:tc>
        <w:tc>
          <w:tcPr>
            <w:tcW w:w="2220" w:type="dxa"/>
            <w:vAlign w:val="bottom"/>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w w:val="98"/>
              </w:rPr>
              <w:t>Purchased Under the Plans or</w:t>
            </w:r>
          </w:p>
        </w:tc>
        <w:tc>
          <w:tcPr>
            <w:tcW w:w="0" w:type="dxa"/>
            <w:vAlign w:val="bottom"/>
          </w:tcPr>
          <w:p>
            <w:pPr>
              <w:spacing w:after="0"/>
              <w:rPr>
                <w:sz w:val="1"/>
                <w:szCs w:val="1"/>
                <w:color w:val="auto"/>
              </w:rPr>
            </w:pPr>
          </w:p>
        </w:tc>
      </w:tr>
      <w:tr>
        <w:trPr>
          <w:trHeight w:val="209"/>
        </w:trPr>
        <w:tc>
          <w:tcPr>
            <w:tcW w:w="2060" w:type="dxa"/>
            <w:vAlign w:val="bottom"/>
            <w:tcBorders>
              <w:bottom w:val="single" w:sz="8" w:color="auto"/>
            </w:tcBorders>
            <w:vMerge w:val="continue"/>
          </w:tcPr>
          <w:p>
            <w:pPr>
              <w:spacing w:after="0"/>
              <w:rPr>
                <w:sz w:val="18"/>
                <w:szCs w:val="18"/>
                <w:color w:val="auto"/>
              </w:rPr>
            </w:pPr>
          </w:p>
        </w:tc>
        <w:tc>
          <w:tcPr>
            <w:tcW w:w="2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Purchased</w:t>
            </w:r>
          </w:p>
        </w:tc>
        <w:tc>
          <w:tcPr>
            <w:tcW w:w="360" w:type="dxa"/>
            <w:vAlign w:val="bottom"/>
            <w:tcBorders>
              <w:bottom w:val="single" w:sz="8" w:color="auto"/>
            </w:tcBorders>
          </w:tcPr>
          <w:p>
            <w:pPr>
              <w:spacing w:after="0"/>
              <w:rPr>
                <w:sz w:val="18"/>
                <w:szCs w:val="18"/>
                <w:color w:val="auto"/>
              </w:rPr>
            </w:pPr>
          </w:p>
        </w:tc>
        <w:tc>
          <w:tcPr>
            <w:tcW w:w="2140" w:type="dxa"/>
            <w:vAlign w:val="bottom"/>
            <w:tcBorders>
              <w:bottom w:val="single" w:sz="8" w:color="auto"/>
            </w:tcBorders>
            <w:vMerge w:val="continue"/>
          </w:tcPr>
          <w:p>
            <w:pPr>
              <w:spacing w:after="0"/>
              <w:rPr>
                <w:sz w:val="18"/>
                <w:szCs w:val="18"/>
                <w:color w:val="auto"/>
              </w:rPr>
            </w:pPr>
          </w:p>
        </w:tc>
        <w:tc>
          <w:tcPr>
            <w:tcW w:w="2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(1)</w:t>
            </w:r>
          </w:p>
        </w:tc>
        <w:tc>
          <w:tcPr>
            <w:tcW w:w="2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Programs (1) (2)</w:t>
            </w:r>
          </w:p>
        </w:tc>
        <w:tc>
          <w:tcPr>
            <w:tcW w:w="0" w:type="dxa"/>
            <w:vAlign w:val="bottom"/>
          </w:tcPr>
          <w:p>
            <w:pPr>
              <w:spacing w:after="0"/>
              <w:rPr>
                <w:sz w:val="1"/>
                <w:szCs w:val="1"/>
                <w:color w:val="auto"/>
              </w:rPr>
            </w:pPr>
          </w:p>
        </w:tc>
      </w:tr>
      <w:tr>
        <w:trPr>
          <w:trHeight w:val="217"/>
        </w:trPr>
        <w:tc>
          <w:tcPr>
            <w:tcW w:w="2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06/29/24 - 07/26/24</w:t>
            </w:r>
          </w:p>
        </w:tc>
        <w:tc>
          <w:tcPr>
            <w:tcW w:w="2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6,244</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$116.18</w:t>
            </w:r>
          </w:p>
        </w:tc>
        <w:tc>
          <w:tcPr>
            <w:tcW w:w="2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$1.9 billion</w:t>
            </w:r>
          </w:p>
        </w:tc>
        <w:tc>
          <w:tcPr>
            <w:tcW w:w="0" w:type="dxa"/>
            <w:vAlign w:val="bottom"/>
          </w:tcPr>
          <w:p>
            <w:pPr>
              <w:spacing w:after="0"/>
              <w:rPr>
                <w:sz w:val="1"/>
                <w:szCs w:val="1"/>
                <w:color w:val="auto"/>
              </w:rPr>
            </w:pPr>
          </w:p>
        </w:tc>
      </w:tr>
      <w:tr>
        <w:trPr>
          <w:trHeight w:val="223"/>
        </w:trPr>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07/27/24 - 08/23/24</w:t>
            </w: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10,615</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$108.30</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$1.9 billion</w:t>
            </w:r>
          </w:p>
        </w:tc>
        <w:tc>
          <w:tcPr>
            <w:tcW w:w="0" w:type="dxa"/>
            <w:vAlign w:val="bottom"/>
          </w:tcPr>
          <w:p>
            <w:pPr>
              <w:spacing w:after="0"/>
              <w:rPr>
                <w:sz w:val="1"/>
                <w:szCs w:val="1"/>
                <w:color w:val="auto"/>
              </w:rPr>
            </w:pPr>
          </w:p>
        </w:tc>
      </w:tr>
      <w:tr>
        <w:trPr>
          <w:trHeight w:val="223"/>
        </w:trPr>
        <w:tc>
          <w:tcPr>
            <w:tcW w:w="2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08/24/24 - 09/27/24</w:t>
            </w:r>
          </w:p>
        </w:tc>
        <w:tc>
          <w:tcPr>
            <w:tcW w:w="22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395</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$107.70</w:t>
            </w:r>
          </w:p>
        </w:tc>
        <w:tc>
          <w:tcPr>
            <w:tcW w:w="22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$1.9 billion</w:t>
            </w:r>
          </w:p>
        </w:tc>
        <w:tc>
          <w:tcPr>
            <w:tcW w:w="0" w:type="dxa"/>
            <w:vAlign w:val="bottom"/>
          </w:tcPr>
          <w:p>
            <w:pPr>
              <w:spacing w:after="0"/>
              <w:rPr>
                <w:sz w:val="1"/>
                <w:szCs w:val="1"/>
                <w:color w:val="auto"/>
              </w:rPr>
            </w:pPr>
          </w:p>
        </w:tc>
      </w:tr>
      <w:tr>
        <w:trPr>
          <w:trHeight w:val="216"/>
        </w:trPr>
        <w:tc>
          <w:tcPr>
            <w:tcW w:w="2060" w:type="dxa"/>
            <w:vAlign w:val="bottom"/>
          </w:tcPr>
          <w:p>
            <w:pPr>
              <w:spacing w:after="0"/>
              <w:rPr>
                <w:sz w:val="18"/>
                <w:szCs w:val="18"/>
                <w:color w:val="auto"/>
              </w:rPr>
            </w:pPr>
          </w:p>
        </w:tc>
        <w:tc>
          <w:tcPr>
            <w:tcW w:w="2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17,254</w:t>
            </w:r>
          </w:p>
        </w:tc>
        <w:tc>
          <w:tcPr>
            <w:tcW w:w="36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60" w:type="dxa"/>
            <w:vAlign w:val="bottom"/>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9" w:lineRule="exact"/>
        <w:rPr>
          <w:sz w:val="20"/>
          <w:szCs w:val="20"/>
          <w:color w:val="auto"/>
        </w:rPr>
      </w:pPr>
    </w:p>
    <w:p>
      <w:pPr>
        <w:jc w:val="both"/>
        <w:ind w:firstLine="5"/>
        <w:spacing w:after="0" w:line="250" w:lineRule="auto"/>
        <w:tabs>
          <w:tab w:leader="none" w:pos="272"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announced on February 6, 2023 that our Board of Directors had approved a stock repurchase program on January 31, 2023, which authorizes the repurchase of up to $2.0 billion of our common stock from time to time on the open market or in privately negotiated transactions, in compliance with applicable securities laws and other legal requirements, and which is scheduled to expire on February 1, 2025.</w:t>
      </w:r>
    </w:p>
    <w:p>
      <w:pPr>
        <w:spacing w:after="0" w:line="1" w:lineRule="exact"/>
        <w:rPr>
          <w:rFonts w:ascii="Times New Roman" w:cs="Times New Roman" w:eastAsia="Times New Roman" w:hAnsi="Times New Roman"/>
          <w:sz w:val="18"/>
          <w:szCs w:val="18"/>
          <w:color w:val="auto"/>
        </w:rPr>
      </w:pPr>
    </w:p>
    <w:p>
      <w:pPr>
        <w:ind w:firstLine="5"/>
        <w:spacing w:after="0" w:line="274" w:lineRule="auto"/>
        <w:tabs>
          <w:tab w:leader="none" w:pos="26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Company’s net share repurchases are subject to a 1% excise tax under the Inflation Reduction Act. Excise tax incurred reduces the amount available under the repurchase program, as applicable, and is included in the cost of shares repurchased in the Consolidated Statement of Stockholders’ Equity.</w:t>
      </w:r>
    </w:p>
    <w:p>
      <w:pPr>
        <w:ind w:firstLine="5"/>
        <w:spacing w:after="0" w:line="247" w:lineRule="auto"/>
        <w:tabs>
          <w:tab w:leader="none" w:pos="25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shares repurchased by us at the fair market value of the common stock as of the applicable purchase date, in connection with the satisfaction of tax withholding obligations under equity award agreements.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84455</wp:posOffset>
            </wp:positionV>
            <wp:extent cx="716153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239"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6"/>
          <w:szCs w:val="16"/>
          <w:i w:val="1"/>
          <w:iCs w:val="1"/>
          <w:color w:val="auto"/>
        </w:rPr>
        <w:t>The following discussion and analysis of our financial condition and results of operations should be read in conjunction with our consolidated financial statements and related notes that appear elsewhere in this Annual Report on Form 10-K. In addition to historical information, the following discussion contains forward-looking statements that are subject to risks and uncertainties. Actual results may differ substantially and adversely from those referred to herein due to a number of factors, including, but not limited to, those described below and in Item 1A “Risk Factors” and elsewhere in this Annual Report on Form 10-K.</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4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together with our consolidated subsidiaries, are a leading developer, manufacturer and provider of analog and mixed-signal semiconductor products and solutions for numerous applications, including aerospace, automotive, broadband, cellular infrastructure, connected home, defense, entertainment and gaming, industrial, medical, smartphone, tablet, and wearables.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Fiscal Years Ended September 27, 2024, September 29, 2023, and September 30, 2022</w:t>
      </w:r>
    </w:p>
    <w:p>
      <w:pPr>
        <w:spacing w:after="0" w:line="11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following table sets forth the results of our operations expressed as a percentage of net revenue. See Part II, Item 7 of our Annual Report on Form 10-K for the fiscal year ended September 29, 2023, filed with the SEC on November 17, 2023, as amended by Amendment No. 1 to such Annual Report on Form 10-K, filed with the SEC on January 26, 2024 (the “2023 10-K”), for Management’s Discussion and Analysis of Financial Condition and Results of Operations for the fiscal year ended September 30, 2022.</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5460" w:type="dxa"/>
            <w:vAlign w:val="bottom"/>
          </w:tcPr>
          <w:p>
            <w:pPr>
              <w:spacing w:after="0"/>
              <w:rPr>
                <w:sz w:val="18"/>
                <w:szCs w:val="18"/>
                <w:color w:val="auto"/>
              </w:rPr>
            </w:pPr>
          </w:p>
        </w:tc>
        <w:tc>
          <w:tcPr>
            <w:tcW w:w="18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gridSpan w:val="2"/>
          </w:tcPr>
          <w:p>
            <w:pPr>
              <w:ind w:left="300"/>
              <w:spacing w:after="0"/>
              <w:rPr>
                <w:sz w:val="20"/>
                <w:szCs w:val="20"/>
                <w:color w:val="auto"/>
              </w:rPr>
            </w:pPr>
            <w:r>
              <w:rPr>
                <w:rFonts w:ascii="Times New Roman" w:cs="Times New Roman" w:eastAsia="Times New Roman" w:hAnsi="Times New Roman"/>
                <w:sz w:val="16"/>
                <w:szCs w:val="16"/>
                <w:b w:val="1"/>
                <w:bCs w:val="1"/>
                <w:color w:val="auto"/>
              </w:rPr>
              <w:t>Fiscal Years Ended</w:t>
            </w:r>
          </w:p>
        </w:tc>
        <w:tc>
          <w:tcPr>
            <w:tcW w:w="1860" w:type="dxa"/>
            <w:vAlign w:val="bottom"/>
            <w:tcBorders>
              <w:bottom w:val="single" w:sz="8" w:color="auto"/>
            </w:tcBorders>
          </w:tcPr>
          <w:p>
            <w:pPr>
              <w:spacing w:after="0"/>
              <w:rPr>
                <w:sz w:val="18"/>
                <w:szCs w:val="18"/>
                <w:color w:val="auto"/>
              </w:rPr>
            </w:pPr>
          </w:p>
        </w:tc>
      </w:tr>
      <w:tr>
        <w:trPr>
          <w:trHeight w:val="205"/>
        </w:trPr>
        <w:tc>
          <w:tcPr>
            <w:tcW w:w="5460" w:type="dxa"/>
            <w:vAlign w:val="bottom"/>
          </w:tcPr>
          <w:p>
            <w:pPr>
              <w:spacing w:after="0"/>
              <w:rPr>
                <w:sz w:val="17"/>
                <w:szCs w:val="17"/>
                <w:color w:val="auto"/>
              </w:rPr>
            </w:pPr>
          </w:p>
        </w:tc>
        <w:tc>
          <w:tcPr>
            <w:tcW w:w="1960" w:type="dxa"/>
            <w:vAlign w:val="bottom"/>
            <w:gridSpan w:val="2"/>
          </w:tcPr>
          <w:p>
            <w:pPr>
              <w:ind w:left="280"/>
              <w:spacing w:after="0"/>
              <w:rPr>
                <w:sz w:val="20"/>
                <w:szCs w:val="20"/>
                <w:color w:val="auto"/>
              </w:rPr>
            </w:pPr>
            <w:r>
              <w:rPr>
                <w:rFonts w:ascii="Times New Roman" w:cs="Times New Roman" w:eastAsia="Times New Roman" w:hAnsi="Times New Roman"/>
                <w:sz w:val="16"/>
                <w:szCs w:val="16"/>
                <w:b w:val="1"/>
                <w:bCs w:val="1"/>
                <w:color w:val="auto"/>
              </w:rPr>
              <w:t>September 27, 2024</w:t>
            </w:r>
          </w:p>
        </w:tc>
        <w:tc>
          <w:tcPr>
            <w:tcW w:w="1960" w:type="dxa"/>
            <w:vAlign w:val="bottom"/>
            <w:gridSpan w:val="2"/>
          </w:tcPr>
          <w:p>
            <w:pPr>
              <w:ind w:left="280"/>
              <w:spacing w:after="0"/>
              <w:rPr>
                <w:sz w:val="20"/>
                <w:szCs w:val="20"/>
                <w:color w:val="auto"/>
              </w:rPr>
            </w:pPr>
            <w:r>
              <w:rPr>
                <w:rFonts w:ascii="Times New Roman" w:cs="Times New Roman" w:eastAsia="Times New Roman" w:hAnsi="Times New Roman"/>
                <w:sz w:val="16"/>
                <w:szCs w:val="16"/>
                <w:b w:val="1"/>
                <w:bCs w:val="1"/>
                <w:color w:val="auto"/>
              </w:rPr>
              <w:t>September 29, 2023</w:t>
            </w:r>
          </w:p>
        </w:tc>
        <w:tc>
          <w:tcPr>
            <w:tcW w:w="1860" w:type="dxa"/>
            <w:vAlign w:val="bottom"/>
          </w:tcPr>
          <w:p>
            <w:pPr>
              <w:jc w:val="right"/>
              <w:ind w:right="193"/>
              <w:spacing w:after="0"/>
              <w:rPr>
                <w:sz w:val="20"/>
                <w:szCs w:val="20"/>
                <w:color w:val="auto"/>
              </w:rPr>
            </w:pPr>
            <w:r>
              <w:rPr>
                <w:rFonts w:ascii="Times New Roman" w:cs="Times New Roman" w:eastAsia="Times New Roman" w:hAnsi="Times New Roman"/>
                <w:sz w:val="16"/>
                <w:szCs w:val="16"/>
                <w:b w:val="1"/>
                <w:bCs w:val="1"/>
                <w:color w:val="auto"/>
              </w:rPr>
              <w:t>September 30, 2022</w:t>
            </w:r>
          </w:p>
        </w:tc>
      </w:tr>
      <w:tr>
        <w:trPr>
          <w:trHeight w:val="217"/>
        </w:trPr>
        <w:tc>
          <w:tcPr>
            <w:tcW w:w="54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w:t>
            </w:r>
          </w:p>
        </w:tc>
        <w:tc>
          <w:tcPr>
            <w:tcW w:w="1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80" w:type="dxa"/>
            <w:vAlign w:val="bottom"/>
            <w:tcBorders>
              <w:top w:val="single" w:sz="8" w:color="CCEEFF"/>
            </w:tcBorders>
            <w:shd w:val="clear" w:color="auto" w:fill="CCEEFF"/>
          </w:tcPr>
          <w:p>
            <w:pPr>
              <w:spacing w:after="0"/>
              <w:rPr>
                <w:sz w:val="18"/>
                <w:szCs w:val="18"/>
                <w:color w:val="auto"/>
              </w:rPr>
            </w:pPr>
          </w:p>
        </w:tc>
        <w:tc>
          <w:tcPr>
            <w:tcW w:w="1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Borders>
              <w:top w:val="single" w:sz="8" w:color="CCEEFF"/>
            </w:tcBorders>
            <w:shd w:val="clear" w:color="auto" w:fill="CCEEFF"/>
          </w:tcPr>
          <w:p>
            <w:pPr>
              <w:spacing w:after="0"/>
              <w:rPr>
                <w:sz w:val="18"/>
                <w:szCs w:val="18"/>
                <w:color w:val="auto"/>
              </w:rPr>
            </w:pPr>
          </w:p>
        </w:tc>
        <w:tc>
          <w:tcPr>
            <w:tcW w:w="1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23"/>
        </w:trPr>
        <w:tc>
          <w:tcPr>
            <w:tcW w:w="5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188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58.8</w:t>
            </w:r>
          </w:p>
        </w:tc>
        <w:tc>
          <w:tcPr>
            <w:tcW w:w="80" w:type="dxa"/>
            <w:vAlign w:val="bottom"/>
            <w:tcBorders>
              <w:bottom w:val="single" w:sz="8" w:color="CCEEFF"/>
            </w:tcBorders>
          </w:tcPr>
          <w:p>
            <w:pPr>
              <w:spacing w:after="0"/>
              <w:rPr>
                <w:sz w:val="19"/>
                <w:szCs w:val="19"/>
                <w:color w:val="auto"/>
              </w:rPr>
            </w:pPr>
          </w:p>
        </w:tc>
        <w:tc>
          <w:tcPr>
            <w:tcW w:w="186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8"/>
                <w:szCs w:val="18"/>
                <w:color w:val="auto"/>
              </w:rPr>
              <w:t>55.8</w:t>
            </w:r>
          </w:p>
        </w:tc>
        <w:tc>
          <w:tcPr>
            <w:tcW w:w="100" w:type="dxa"/>
            <w:vAlign w:val="bottom"/>
            <w:tcBorders>
              <w:bottom w:val="single" w:sz="8" w:color="CCEEFF"/>
            </w:tcBorders>
          </w:tcPr>
          <w:p>
            <w:pPr>
              <w:spacing w:after="0"/>
              <w:rPr>
                <w:sz w:val="19"/>
                <w:szCs w:val="19"/>
                <w:color w:val="auto"/>
              </w:rPr>
            </w:pPr>
          </w:p>
        </w:tc>
        <w:tc>
          <w:tcPr>
            <w:tcW w:w="186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52.5</w:t>
            </w:r>
          </w:p>
        </w:tc>
      </w:tr>
      <w:tr>
        <w:trPr>
          <w:trHeight w:val="216"/>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8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41.2</w:t>
            </w:r>
          </w:p>
        </w:tc>
        <w:tc>
          <w:tcPr>
            <w:tcW w:w="80" w:type="dxa"/>
            <w:vAlign w:val="bottom"/>
            <w:shd w:val="clear" w:color="auto" w:fill="CCEEFF"/>
          </w:tcPr>
          <w:p>
            <w:pPr>
              <w:spacing w:after="0"/>
              <w:rPr>
                <w:sz w:val="18"/>
                <w:szCs w:val="18"/>
                <w:color w:val="auto"/>
              </w:rPr>
            </w:pPr>
          </w:p>
        </w:tc>
        <w:tc>
          <w:tcPr>
            <w:tcW w:w="186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44.2</w:t>
            </w:r>
          </w:p>
        </w:tc>
        <w:tc>
          <w:tcPr>
            <w:tcW w:w="100" w:type="dxa"/>
            <w:vAlign w:val="bottom"/>
            <w:shd w:val="clear" w:color="auto" w:fill="CCEEFF"/>
          </w:tcPr>
          <w:p>
            <w:pPr>
              <w:spacing w:after="0"/>
              <w:rPr>
                <w:sz w:val="18"/>
                <w:szCs w:val="18"/>
                <w:color w:val="auto"/>
              </w:rPr>
            </w:pPr>
          </w:p>
        </w:tc>
        <w:tc>
          <w:tcPr>
            <w:tcW w:w="18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47.5</w:t>
            </w:r>
          </w:p>
        </w:tc>
      </w:tr>
      <w:tr>
        <w:trPr>
          <w:trHeight w:val="223"/>
        </w:trPr>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60" w:type="dxa"/>
            <w:vAlign w:val="bottom"/>
          </w:tcPr>
          <w:p>
            <w:pPr>
              <w:spacing w:after="0"/>
              <w:rPr>
                <w:sz w:val="19"/>
                <w:szCs w:val="19"/>
                <w:color w:val="auto"/>
              </w:rPr>
            </w:pPr>
          </w:p>
        </w:tc>
      </w:tr>
      <w:tr>
        <w:trPr>
          <w:trHeight w:val="223"/>
        </w:trPr>
        <w:tc>
          <w:tcPr>
            <w:tcW w:w="5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8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15.1</w:t>
            </w:r>
          </w:p>
        </w:tc>
        <w:tc>
          <w:tcPr>
            <w:tcW w:w="80" w:type="dxa"/>
            <w:vAlign w:val="bottom"/>
            <w:shd w:val="clear" w:color="auto" w:fill="CCEEFF"/>
          </w:tcPr>
          <w:p>
            <w:pPr>
              <w:spacing w:after="0"/>
              <w:rPr>
                <w:sz w:val="19"/>
                <w:szCs w:val="19"/>
                <w:color w:val="auto"/>
              </w:rPr>
            </w:pPr>
          </w:p>
        </w:tc>
        <w:tc>
          <w:tcPr>
            <w:tcW w:w="186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12.7</w:t>
            </w:r>
          </w:p>
        </w:tc>
        <w:tc>
          <w:tcPr>
            <w:tcW w:w="100" w:type="dxa"/>
            <w:vAlign w:val="bottom"/>
            <w:shd w:val="clear" w:color="auto" w:fill="CCEEFF"/>
          </w:tcPr>
          <w:p>
            <w:pPr>
              <w:spacing w:after="0"/>
              <w:rPr>
                <w:sz w:val="19"/>
                <w:szCs w:val="19"/>
                <w:color w:val="auto"/>
              </w:rPr>
            </w:pPr>
          </w:p>
        </w:tc>
        <w:tc>
          <w:tcPr>
            <w:tcW w:w="18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11.3</w:t>
            </w:r>
          </w:p>
        </w:tc>
      </w:tr>
      <w:tr>
        <w:trPr>
          <w:trHeight w:val="223"/>
        </w:trPr>
        <w:tc>
          <w:tcPr>
            <w:tcW w:w="54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88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7.2</w:t>
            </w:r>
          </w:p>
        </w:tc>
        <w:tc>
          <w:tcPr>
            <w:tcW w:w="80" w:type="dxa"/>
            <w:vAlign w:val="bottom"/>
          </w:tcPr>
          <w:p>
            <w:pPr>
              <w:spacing w:after="0"/>
              <w:rPr>
                <w:sz w:val="19"/>
                <w:szCs w:val="19"/>
                <w:color w:val="auto"/>
              </w:rPr>
            </w:pPr>
          </w:p>
        </w:tc>
        <w:tc>
          <w:tcPr>
            <w:tcW w:w="186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Pr>
          <w:p>
            <w:pPr>
              <w:spacing w:after="0"/>
              <w:rPr>
                <w:sz w:val="19"/>
                <w:szCs w:val="19"/>
                <w:color w:val="auto"/>
              </w:rPr>
            </w:pPr>
          </w:p>
        </w:tc>
        <w:tc>
          <w:tcPr>
            <w:tcW w:w="18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6.0</w:t>
            </w:r>
          </w:p>
        </w:tc>
      </w:tr>
      <w:tr>
        <w:trPr>
          <w:trHeight w:val="223"/>
        </w:trPr>
        <w:tc>
          <w:tcPr>
            <w:tcW w:w="5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1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shd w:val="clear" w:color="auto" w:fill="CCEEFF"/>
          </w:tcPr>
          <w:p>
            <w:pPr>
              <w:spacing w:after="0"/>
              <w:rPr>
                <w:sz w:val="19"/>
                <w:szCs w:val="19"/>
                <w:color w:val="auto"/>
              </w:rPr>
            </w:pPr>
          </w:p>
        </w:tc>
        <w:tc>
          <w:tcPr>
            <w:tcW w:w="18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1.8</w:t>
            </w:r>
          </w:p>
        </w:tc>
      </w:tr>
      <w:tr>
        <w:trPr>
          <w:trHeight w:val="223"/>
        </w:trPr>
        <w:tc>
          <w:tcPr>
            <w:tcW w:w="54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Impairment, restructuring, and other charges</w:t>
            </w:r>
          </w:p>
        </w:tc>
        <w:tc>
          <w:tcPr>
            <w:tcW w:w="188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3.6</w:t>
            </w:r>
          </w:p>
        </w:tc>
        <w:tc>
          <w:tcPr>
            <w:tcW w:w="80" w:type="dxa"/>
            <w:vAlign w:val="bottom"/>
            <w:tcBorders>
              <w:bottom w:val="single" w:sz="8" w:color="CCEEFF"/>
            </w:tcBorders>
          </w:tcPr>
          <w:p>
            <w:pPr>
              <w:spacing w:after="0"/>
              <w:rPr>
                <w:sz w:val="19"/>
                <w:szCs w:val="19"/>
                <w:color w:val="auto"/>
              </w:rPr>
            </w:pPr>
          </w:p>
        </w:tc>
        <w:tc>
          <w:tcPr>
            <w:tcW w:w="186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Borders>
              <w:bottom w:val="single" w:sz="8" w:color="CCEEFF"/>
            </w:tcBorders>
          </w:tcPr>
          <w:p>
            <w:pPr>
              <w:spacing w:after="0"/>
              <w:rPr>
                <w:sz w:val="19"/>
                <w:szCs w:val="19"/>
                <w:color w:val="auto"/>
              </w:rPr>
            </w:pPr>
          </w:p>
        </w:tc>
        <w:tc>
          <w:tcPr>
            <w:tcW w:w="186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0.6</w:t>
            </w:r>
          </w:p>
        </w:tc>
      </w:tr>
      <w:tr>
        <w:trPr>
          <w:trHeight w:val="216"/>
        </w:trPr>
        <w:tc>
          <w:tcPr>
            <w:tcW w:w="54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88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25.9</w:t>
            </w:r>
          </w:p>
        </w:tc>
        <w:tc>
          <w:tcPr>
            <w:tcW w:w="80" w:type="dxa"/>
            <w:vAlign w:val="bottom"/>
            <w:shd w:val="clear" w:color="auto" w:fill="CCEEFF"/>
          </w:tcPr>
          <w:p>
            <w:pPr>
              <w:spacing w:after="0"/>
              <w:rPr>
                <w:sz w:val="18"/>
                <w:szCs w:val="18"/>
                <w:color w:val="auto"/>
              </w:rPr>
            </w:pPr>
          </w:p>
        </w:tc>
        <w:tc>
          <w:tcPr>
            <w:tcW w:w="186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20.6</w:t>
            </w:r>
          </w:p>
        </w:tc>
        <w:tc>
          <w:tcPr>
            <w:tcW w:w="100" w:type="dxa"/>
            <w:vAlign w:val="bottom"/>
            <w:shd w:val="clear" w:color="auto" w:fill="CCEEFF"/>
          </w:tcPr>
          <w:p>
            <w:pPr>
              <w:spacing w:after="0"/>
              <w:rPr>
                <w:sz w:val="18"/>
                <w:szCs w:val="18"/>
                <w:color w:val="auto"/>
              </w:rPr>
            </w:pPr>
          </w:p>
        </w:tc>
        <w:tc>
          <w:tcPr>
            <w:tcW w:w="186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19.7</w:t>
            </w:r>
          </w:p>
        </w:tc>
      </w:tr>
      <w:tr>
        <w:trPr>
          <w:trHeight w:val="216"/>
        </w:trPr>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188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15.3</w:t>
            </w:r>
          </w:p>
        </w:tc>
        <w:tc>
          <w:tcPr>
            <w:tcW w:w="80" w:type="dxa"/>
            <w:vAlign w:val="bottom"/>
          </w:tcPr>
          <w:p>
            <w:pPr>
              <w:spacing w:after="0"/>
              <w:rPr>
                <w:sz w:val="18"/>
                <w:szCs w:val="18"/>
                <w:color w:val="auto"/>
              </w:rPr>
            </w:pPr>
          </w:p>
        </w:tc>
        <w:tc>
          <w:tcPr>
            <w:tcW w:w="186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23.6</w:t>
            </w:r>
          </w:p>
        </w:tc>
        <w:tc>
          <w:tcPr>
            <w:tcW w:w="100" w:type="dxa"/>
            <w:vAlign w:val="bottom"/>
          </w:tcPr>
          <w:p>
            <w:pPr>
              <w:spacing w:after="0"/>
              <w:rPr>
                <w:sz w:val="18"/>
                <w:szCs w:val="18"/>
                <w:color w:val="auto"/>
              </w:rPr>
            </w:pPr>
          </w:p>
        </w:tc>
        <w:tc>
          <w:tcPr>
            <w:tcW w:w="18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27.8</w:t>
            </w:r>
          </w:p>
        </w:tc>
      </w:tr>
      <w:tr>
        <w:trPr>
          <w:trHeight w:val="223"/>
        </w:trPr>
        <w:tc>
          <w:tcPr>
            <w:tcW w:w="54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Interest expense</w:t>
            </w:r>
          </w:p>
        </w:tc>
        <w:tc>
          <w:tcPr>
            <w:tcW w:w="188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(0.7)</w:t>
            </w:r>
          </w:p>
        </w:tc>
        <w:tc>
          <w:tcPr>
            <w:tcW w:w="80" w:type="dxa"/>
            <w:vAlign w:val="bottom"/>
            <w:shd w:val="clear" w:color="auto" w:fill="CCEEFF"/>
          </w:tcPr>
          <w:p>
            <w:pPr>
              <w:spacing w:after="0"/>
              <w:rPr>
                <w:sz w:val="19"/>
                <w:szCs w:val="19"/>
                <w:color w:val="auto"/>
              </w:rPr>
            </w:pPr>
          </w:p>
        </w:tc>
        <w:tc>
          <w:tcPr>
            <w:tcW w:w="18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19"/>
                <w:szCs w:val="19"/>
                <w:color w:val="auto"/>
              </w:rPr>
            </w:pPr>
          </w:p>
        </w:tc>
        <w:tc>
          <w:tcPr>
            <w:tcW w:w="186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(0.9)</w:t>
            </w:r>
          </w:p>
        </w:tc>
      </w:tr>
      <w:tr>
        <w:trPr>
          <w:trHeight w:val="223"/>
        </w:trPr>
        <w:tc>
          <w:tcPr>
            <w:tcW w:w="54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88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0.7</w:t>
            </w:r>
          </w:p>
        </w:tc>
        <w:tc>
          <w:tcPr>
            <w:tcW w:w="80" w:type="dxa"/>
            <w:vAlign w:val="bottom"/>
            <w:tcBorders>
              <w:bottom w:val="single" w:sz="8" w:color="CCEEFF"/>
            </w:tcBorders>
          </w:tcPr>
          <w:p>
            <w:pPr>
              <w:spacing w:after="0"/>
              <w:rPr>
                <w:sz w:val="19"/>
                <w:szCs w:val="19"/>
                <w:color w:val="auto"/>
              </w:rPr>
            </w:pPr>
          </w:p>
        </w:tc>
        <w:tc>
          <w:tcPr>
            <w:tcW w:w="186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Borders>
              <w:bottom w:val="single" w:sz="8" w:color="CCEEFF"/>
            </w:tcBorders>
          </w:tcPr>
          <w:p>
            <w:pPr>
              <w:spacing w:after="0"/>
              <w:rPr>
                <w:sz w:val="19"/>
                <w:szCs w:val="19"/>
                <w:color w:val="auto"/>
              </w:rPr>
            </w:pPr>
          </w:p>
        </w:tc>
        <w:tc>
          <w:tcPr>
            <w:tcW w:w="186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8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15.2</w:t>
            </w:r>
          </w:p>
        </w:tc>
        <w:tc>
          <w:tcPr>
            <w:tcW w:w="80" w:type="dxa"/>
            <w:vAlign w:val="bottom"/>
            <w:shd w:val="clear" w:color="auto" w:fill="CCEEFF"/>
          </w:tcPr>
          <w:p>
            <w:pPr>
              <w:spacing w:after="0"/>
              <w:rPr>
                <w:sz w:val="18"/>
                <w:szCs w:val="18"/>
                <w:color w:val="auto"/>
              </w:rPr>
            </w:pPr>
          </w:p>
        </w:tc>
        <w:tc>
          <w:tcPr>
            <w:tcW w:w="186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22.6</w:t>
            </w:r>
          </w:p>
        </w:tc>
        <w:tc>
          <w:tcPr>
            <w:tcW w:w="100" w:type="dxa"/>
            <w:vAlign w:val="bottom"/>
            <w:shd w:val="clear" w:color="auto" w:fill="CCEEFF"/>
          </w:tcPr>
          <w:p>
            <w:pPr>
              <w:spacing w:after="0"/>
              <w:rPr>
                <w:sz w:val="18"/>
                <w:szCs w:val="18"/>
                <w:color w:val="auto"/>
              </w:rPr>
            </w:pPr>
          </w:p>
        </w:tc>
        <w:tc>
          <w:tcPr>
            <w:tcW w:w="18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26.9</w:t>
            </w:r>
          </w:p>
        </w:tc>
      </w:tr>
      <w:tr>
        <w:trPr>
          <w:trHeight w:val="223"/>
        </w:trPr>
        <w:tc>
          <w:tcPr>
            <w:tcW w:w="5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88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Borders>
              <w:bottom w:val="single" w:sz="8" w:color="CCEEFF"/>
            </w:tcBorders>
          </w:tcPr>
          <w:p>
            <w:pPr>
              <w:spacing w:after="0"/>
              <w:rPr>
                <w:sz w:val="19"/>
                <w:szCs w:val="19"/>
                <w:color w:val="auto"/>
              </w:rPr>
            </w:pPr>
          </w:p>
        </w:tc>
        <w:tc>
          <w:tcPr>
            <w:tcW w:w="186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Borders>
              <w:bottom w:val="single" w:sz="8" w:color="CCEEFF"/>
            </w:tcBorders>
          </w:tcPr>
          <w:p>
            <w:pPr>
              <w:spacing w:after="0"/>
              <w:rPr>
                <w:sz w:val="19"/>
                <w:szCs w:val="19"/>
                <w:color w:val="auto"/>
              </w:rPr>
            </w:pPr>
          </w:p>
        </w:tc>
        <w:tc>
          <w:tcPr>
            <w:tcW w:w="186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3.7</w:t>
            </w:r>
          </w:p>
        </w:tc>
      </w:tr>
      <w:tr>
        <w:trPr>
          <w:trHeight w:val="241"/>
        </w:trPr>
        <w:tc>
          <w:tcPr>
            <w:tcW w:w="5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14.3 %</w:t>
            </w:r>
          </w:p>
        </w:tc>
        <w:tc>
          <w:tcPr>
            <w:tcW w:w="80" w:type="dxa"/>
            <w:vAlign w:val="bottom"/>
            <w:tcBorders>
              <w:bottom w:val="single" w:sz="8" w:color="CCEEFF"/>
            </w:tcBorders>
            <w:shd w:val="clear" w:color="auto" w:fill="CCEEFF"/>
          </w:tcPr>
          <w:p>
            <w:pPr>
              <w:spacing w:after="0"/>
              <w:rPr>
                <w:sz w:val="20"/>
                <w:szCs w:val="20"/>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20.6 %</w:t>
            </w:r>
          </w:p>
        </w:tc>
        <w:tc>
          <w:tcPr>
            <w:tcW w:w="100" w:type="dxa"/>
            <w:vAlign w:val="bottom"/>
            <w:tcBorders>
              <w:bottom w:val="single" w:sz="8" w:color="CCEEFF"/>
            </w:tcBorders>
            <w:shd w:val="clear" w:color="auto" w:fill="CCEEFF"/>
          </w:tcPr>
          <w:p>
            <w:pPr>
              <w:spacing w:after="0"/>
              <w:rPr>
                <w:sz w:val="20"/>
                <w:szCs w:val="20"/>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23.2 %</w:t>
            </w:r>
          </w:p>
        </w:tc>
      </w:tr>
      <w:tr>
        <w:trPr>
          <w:trHeight w:val="20"/>
        </w:trPr>
        <w:tc>
          <w:tcPr>
            <w:tcW w:w="546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During the fiscal year ended September 27, 2024, the following key factors contributed to our overall results of operations, financial position, and cash flows:</w:t>
      </w:r>
    </w:p>
    <w:p>
      <w:pPr>
        <w:spacing w:after="0" w:line="262" w:lineRule="exact"/>
        <w:rPr>
          <w:sz w:val="20"/>
          <w:szCs w:val="20"/>
          <w:color w:val="auto"/>
        </w:rPr>
      </w:pPr>
    </w:p>
    <w:p>
      <w:pPr>
        <w:ind w:left="800" w:hanging="480"/>
        <w:spacing w:after="0" w:line="267" w:lineRule="auto"/>
        <w:tabs>
          <w:tab w:leader="none" w:pos="79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revenue decreased 12.5% to $4,178.0 million in fiscal 2024, as compared to $4,772.4 million in fiscal 2023, driven primarily by a decrease in demand for our mobile, analog, and mixed-signal products.</w:t>
      </w:r>
    </w:p>
    <w:p>
      <w:pPr>
        <w:spacing w:after="0" w:line="195" w:lineRule="exact"/>
        <w:rPr>
          <w:rFonts w:ascii="Times New Roman" w:cs="Times New Roman" w:eastAsia="Times New Roman" w:hAnsi="Times New Roman"/>
          <w:sz w:val="18"/>
          <w:szCs w:val="18"/>
          <w:color w:val="auto"/>
        </w:rPr>
      </w:pPr>
    </w:p>
    <w:p>
      <w:pPr>
        <w:jc w:val="both"/>
        <w:ind w:left="800" w:hanging="480"/>
        <w:spacing w:after="0" w:line="255" w:lineRule="auto"/>
        <w:tabs>
          <w:tab w:leader="none" w:pos="79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ending cash, cash equivalents, and marketable securities balance increased 113.1% to $1,574.1 million in fiscal 2024, as compared to $738.5 million in fiscal 2023. The increase in cash, cash equivalents, and marketable securities during fiscal 2024, was primarily due to cash generated from operations of $1,824.7 million, partially offset by</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84455</wp:posOffset>
            </wp:positionV>
            <wp:extent cx="716153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ind w:left="800"/>
        <w:spacing w:after="0" w:line="267" w:lineRule="auto"/>
        <w:rPr>
          <w:sz w:val="20"/>
          <w:szCs w:val="20"/>
          <w:color w:val="auto"/>
        </w:rPr>
      </w:pPr>
      <w:r>
        <w:rPr>
          <w:rFonts w:ascii="Times New Roman" w:cs="Times New Roman" w:eastAsia="Times New Roman" w:hAnsi="Times New Roman"/>
          <w:sz w:val="18"/>
          <w:szCs w:val="18"/>
          <w:color w:val="auto"/>
        </w:rPr>
        <w:t>dividend payments of $439.1 million, repayments of debt of $300.0 million, capital expenditures of $157.0 million, and share repurchases of $77.3 million.</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Revenue</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35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Fiscal Years Ended</w:t>
            </w:r>
          </w:p>
        </w:tc>
        <w:tc>
          <w:tcPr>
            <w:tcW w:w="9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spacing w:after="0"/>
              <w:rPr>
                <w:sz w:val="18"/>
                <w:szCs w:val="18"/>
                <w:color w:val="auto"/>
              </w:rPr>
            </w:pPr>
          </w:p>
        </w:tc>
      </w:tr>
      <w:tr>
        <w:trPr>
          <w:trHeight w:val="205"/>
        </w:trPr>
        <w:tc>
          <w:tcPr>
            <w:tcW w:w="3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(dollars in millions)</w:t>
            </w:r>
          </w:p>
        </w:tc>
        <w:tc>
          <w:tcPr>
            <w:tcW w:w="160" w:type="dxa"/>
            <w:vAlign w:val="bottom"/>
          </w:tcPr>
          <w:p>
            <w:pPr>
              <w:spacing w:after="0"/>
              <w:rPr>
                <w:sz w:val="17"/>
                <w:szCs w:val="17"/>
                <w:color w:val="auto"/>
              </w:rPr>
            </w:pPr>
          </w:p>
        </w:tc>
        <w:tc>
          <w:tcPr>
            <w:tcW w:w="170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September 27, 2024</w:t>
            </w:r>
          </w:p>
        </w:tc>
        <w:tc>
          <w:tcPr>
            <w:tcW w:w="10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Change</w:t>
            </w:r>
          </w:p>
        </w:tc>
        <w:tc>
          <w:tcPr>
            <w:tcW w:w="160" w:type="dxa"/>
            <w:vAlign w:val="bottom"/>
          </w:tcPr>
          <w:p>
            <w:pPr>
              <w:spacing w:after="0"/>
              <w:rPr>
                <w:sz w:val="17"/>
                <w:szCs w:val="17"/>
                <w:color w:val="auto"/>
              </w:rPr>
            </w:pPr>
          </w:p>
        </w:tc>
        <w:tc>
          <w:tcPr>
            <w:tcW w:w="170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September 29, 2023</w:t>
            </w:r>
          </w:p>
        </w:tc>
        <w:tc>
          <w:tcPr>
            <w:tcW w:w="10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Change</w:t>
            </w:r>
          </w:p>
        </w:tc>
        <w:tc>
          <w:tcPr>
            <w:tcW w:w="160" w:type="dxa"/>
            <w:vAlign w:val="bottom"/>
          </w:tcPr>
          <w:p>
            <w:pPr>
              <w:spacing w:after="0"/>
              <w:rPr>
                <w:sz w:val="17"/>
                <w:szCs w:val="17"/>
                <w:color w:val="auto"/>
              </w:rPr>
            </w:pPr>
          </w:p>
        </w:tc>
        <w:tc>
          <w:tcPr>
            <w:tcW w:w="1620" w:type="dxa"/>
            <w:vAlign w:val="bottom"/>
          </w:tcPr>
          <w:p>
            <w:pPr>
              <w:jc w:val="right"/>
              <w:ind w:right="157"/>
              <w:spacing w:after="0"/>
              <w:rPr>
                <w:sz w:val="20"/>
                <w:szCs w:val="20"/>
                <w:color w:val="auto"/>
              </w:rPr>
            </w:pPr>
            <w:r>
              <w:rPr>
                <w:rFonts w:ascii="Times New Roman" w:cs="Times New Roman" w:eastAsia="Times New Roman" w:hAnsi="Times New Roman"/>
                <w:sz w:val="16"/>
                <w:szCs w:val="16"/>
                <w:b w:val="1"/>
                <w:bCs w:val="1"/>
                <w:color w:val="auto"/>
              </w:rPr>
              <w:t>September 30, 2022</w:t>
            </w:r>
          </w:p>
        </w:tc>
      </w:tr>
      <w:tr>
        <w:trPr>
          <w:trHeight w:val="217"/>
        </w:trPr>
        <w:tc>
          <w:tcPr>
            <w:tcW w:w="3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4,178.0</w:t>
            </w:r>
          </w:p>
        </w:tc>
        <w:tc>
          <w:tcPr>
            <w:tcW w:w="10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ind w:right="117"/>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4,772.4</w:t>
            </w:r>
          </w:p>
        </w:tc>
        <w:tc>
          <w:tcPr>
            <w:tcW w:w="10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ind w:right="117"/>
              <w:spacing w:after="0"/>
              <w:rPr>
                <w:sz w:val="20"/>
                <w:szCs w:val="20"/>
                <w:color w:val="auto"/>
              </w:rPr>
            </w:pPr>
            <w:r>
              <w:rPr>
                <w:rFonts w:ascii="Times New Roman" w:cs="Times New Roman" w:eastAsia="Times New Roman" w:hAnsi="Times New Roman"/>
                <w:sz w:val="18"/>
                <w:szCs w:val="18"/>
                <w:color w:val="auto"/>
              </w:rPr>
              <w:t>(13.0)%</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5,485.5</w:t>
            </w:r>
          </w:p>
        </w:tc>
      </w:tr>
    </w:tbl>
    <w:p>
      <w:pPr>
        <w:spacing w:after="0" w:line="31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We market and sell our products indirectly through electronic components distributors and directly to OEMs of communications and electronics products, third-party original design manufacturers and contract manufacturers. We generally experience seasonal peaks during our fourth and first fiscal quarters (which correspond to the second half of the calendar year), primarily as a result of increased worldwide production of consumer electronics in anticipation of holiday sales, whereas our second and third fiscal quarters are typically lower and in line with seasonal industry trends.</w:t>
      </w:r>
    </w:p>
    <w:p>
      <w:pPr>
        <w:spacing w:after="0" w:line="211"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The decrease in net revenue in fiscal 2024, as compared to fiscal 2023, was driven primarily by a decrease in demand for our mobile, analog, and mixed-signal products.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information regarding net revenue by geographic region and customer concentration, see Note 14 to Item 8 of this Annual Report on Form 10-K.</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33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gridSpan w:val="2"/>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Fiscal Years Ended</w:t>
            </w:r>
          </w:p>
        </w:tc>
        <w:tc>
          <w:tcPr>
            <w:tcW w:w="9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spacing w:after="0"/>
              <w:rPr>
                <w:sz w:val="18"/>
                <w:szCs w:val="18"/>
                <w:color w:val="auto"/>
              </w:rPr>
            </w:pPr>
          </w:p>
        </w:tc>
      </w:tr>
      <w:tr>
        <w:trPr>
          <w:trHeight w:val="205"/>
        </w:trPr>
        <w:tc>
          <w:tcPr>
            <w:tcW w:w="3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(dollars in millions)</w:t>
            </w:r>
          </w:p>
        </w:tc>
        <w:tc>
          <w:tcPr>
            <w:tcW w:w="180" w:type="dxa"/>
            <w:vAlign w:val="bottom"/>
          </w:tcPr>
          <w:p>
            <w:pPr>
              <w:spacing w:after="0"/>
              <w:rPr>
                <w:sz w:val="17"/>
                <w:szCs w:val="17"/>
                <w:color w:val="auto"/>
              </w:rPr>
            </w:pPr>
          </w:p>
        </w:tc>
        <w:tc>
          <w:tcPr>
            <w:tcW w:w="176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September 27, 2024</w:t>
            </w:r>
          </w:p>
        </w:tc>
        <w:tc>
          <w:tcPr>
            <w:tcW w:w="10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Change</w:t>
            </w:r>
          </w:p>
        </w:tc>
        <w:tc>
          <w:tcPr>
            <w:tcW w:w="180" w:type="dxa"/>
            <w:vAlign w:val="bottom"/>
          </w:tcPr>
          <w:p>
            <w:pPr>
              <w:spacing w:after="0"/>
              <w:rPr>
                <w:sz w:val="17"/>
                <w:szCs w:val="17"/>
                <w:color w:val="auto"/>
              </w:rPr>
            </w:pPr>
          </w:p>
        </w:tc>
        <w:tc>
          <w:tcPr>
            <w:tcW w:w="176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September 29, 2023</w:t>
            </w:r>
          </w:p>
        </w:tc>
        <w:tc>
          <w:tcPr>
            <w:tcW w:w="10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Change</w:t>
            </w:r>
          </w:p>
        </w:tc>
        <w:tc>
          <w:tcPr>
            <w:tcW w:w="180" w:type="dxa"/>
            <w:vAlign w:val="bottom"/>
          </w:tcPr>
          <w:p>
            <w:pPr>
              <w:spacing w:after="0"/>
              <w:rPr>
                <w:sz w:val="17"/>
                <w:szCs w:val="17"/>
                <w:color w:val="auto"/>
              </w:rPr>
            </w:pPr>
          </w:p>
        </w:tc>
        <w:tc>
          <w:tcPr>
            <w:tcW w:w="1680" w:type="dxa"/>
            <w:vAlign w:val="bottom"/>
          </w:tcPr>
          <w:p>
            <w:pPr>
              <w:jc w:val="right"/>
              <w:ind w:right="195"/>
              <w:spacing w:after="0"/>
              <w:rPr>
                <w:sz w:val="20"/>
                <w:szCs w:val="20"/>
                <w:color w:val="auto"/>
              </w:rPr>
            </w:pPr>
            <w:r>
              <w:rPr>
                <w:rFonts w:ascii="Times New Roman" w:cs="Times New Roman" w:eastAsia="Times New Roman" w:hAnsi="Times New Roman"/>
                <w:sz w:val="16"/>
                <w:szCs w:val="16"/>
                <w:b w:val="1"/>
                <w:bCs w:val="1"/>
                <w:color w:val="auto"/>
              </w:rPr>
              <w:t>September 30, 2022</w:t>
            </w:r>
          </w:p>
        </w:tc>
      </w:tr>
      <w:tr>
        <w:trPr>
          <w:trHeight w:val="217"/>
        </w:trPr>
        <w:tc>
          <w:tcPr>
            <w:tcW w:w="3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top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1,720.8</w:t>
            </w:r>
          </w:p>
        </w:tc>
        <w:tc>
          <w:tcPr>
            <w:tcW w:w="8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ind w:right="117"/>
              <w:spacing w:after="0"/>
              <w:rPr>
                <w:sz w:val="20"/>
                <w:szCs w:val="20"/>
                <w:color w:val="auto"/>
              </w:rPr>
            </w:pPr>
            <w:r>
              <w:rPr>
                <w:rFonts w:ascii="Times New Roman" w:cs="Times New Roman" w:eastAsia="Times New Roman" w:hAnsi="Times New Roman"/>
                <w:sz w:val="18"/>
                <w:szCs w:val="18"/>
                <w:color w:val="auto"/>
              </w:rPr>
              <w:t>(18.3)%</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top w:val="single" w:sz="8" w:color="auto"/>
            </w:tcBorders>
            <w:shd w:val="clear" w:color="auto" w:fill="CCEEFF"/>
          </w:tcPr>
          <w:p>
            <w:pPr>
              <w:jc w:val="right"/>
              <w:ind w:right="137"/>
              <w:spacing w:after="0"/>
              <w:rPr>
                <w:sz w:val="20"/>
                <w:szCs w:val="20"/>
                <w:color w:val="auto"/>
              </w:rPr>
            </w:pPr>
            <w:r>
              <w:rPr>
                <w:rFonts w:ascii="Times New Roman" w:cs="Times New Roman" w:eastAsia="Times New Roman" w:hAnsi="Times New Roman"/>
                <w:sz w:val="18"/>
                <w:szCs w:val="18"/>
                <w:color w:val="auto"/>
              </w:rPr>
              <w:t>2,107.3</w:t>
            </w:r>
          </w:p>
        </w:tc>
        <w:tc>
          <w:tcPr>
            <w:tcW w:w="1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ind w:right="117"/>
              <w:spacing w:after="0"/>
              <w:rPr>
                <w:sz w:val="20"/>
                <w:szCs w:val="20"/>
                <w:color w:val="auto"/>
              </w:rPr>
            </w:pPr>
            <w:r>
              <w:rPr>
                <w:rFonts w:ascii="Times New Roman" w:cs="Times New Roman" w:eastAsia="Times New Roman" w:hAnsi="Times New Roman"/>
                <w:sz w:val="18"/>
                <w:szCs w:val="18"/>
                <w:color w:val="auto"/>
              </w:rPr>
              <w:t>(19.1)%</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top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2,604.3</w:t>
            </w:r>
          </w:p>
        </w:tc>
      </w:tr>
      <w:tr>
        <w:trPr>
          <w:trHeight w:val="228"/>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of net revenue</w:t>
            </w:r>
          </w:p>
        </w:tc>
        <w:tc>
          <w:tcPr>
            <w:tcW w:w="1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41.2 %</w:t>
            </w: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44.2 %</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47.5 %</w:t>
            </w:r>
          </w:p>
        </w:tc>
      </w:tr>
    </w:tbl>
    <w:p>
      <w:pPr>
        <w:spacing w:after="0" w:line="292"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6"/>
          <w:szCs w:val="16"/>
          <w:color w:val="auto"/>
        </w:rPr>
        <w:t>Gross profit represents net revenue less cost of goods sold. Our cost of goods sold consists primarily of purchased materials, labor, and overhead (including depreciation, share-based compensation expense, and amortization of acquisition intangibles) associated with product manufacturing. Erosion of average selling prices of established products is typical of the semiconductor industry. Consistent with trends in the industry, we anticipate that average selling prices for our established products will continue to decline over time. As part of our normal course of business, we intend to improve gross profit with efforts to increase unit volumes, improve manufacturing efficiencies, lower manufacturing costs of existing products, and by introducing new and higher value-added products.</w:t>
      </w:r>
    </w:p>
    <w:p>
      <w:pPr>
        <w:spacing w:after="0" w:line="18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The decrease in gross profit in fiscal 2024, as compared to fiscal 2023, was primarily the result of an unfavorable product mix, lower unit volumes, and lower average selling prices.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34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Fiscal Years Ended</w:t>
            </w:r>
          </w:p>
        </w:tc>
        <w:tc>
          <w:tcPr>
            <w:tcW w:w="9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spacing w:after="0"/>
              <w:rPr>
                <w:sz w:val="18"/>
                <w:szCs w:val="18"/>
                <w:color w:val="auto"/>
              </w:rPr>
            </w:pPr>
          </w:p>
        </w:tc>
      </w:tr>
      <w:tr>
        <w:trPr>
          <w:trHeight w:val="205"/>
        </w:trPr>
        <w:tc>
          <w:tcPr>
            <w:tcW w:w="3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(dollars in millions)</w:t>
            </w:r>
          </w:p>
        </w:tc>
        <w:tc>
          <w:tcPr>
            <w:tcW w:w="180" w:type="dxa"/>
            <w:vAlign w:val="bottom"/>
          </w:tcPr>
          <w:p>
            <w:pPr>
              <w:spacing w:after="0"/>
              <w:rPr>
                <w:sz w:val="17"/>
                <w:szCs w:val="17"/>
                <w:color w:val="auto"/>
              </w:rPr>
            </w:pPr>
          </w:p>
        </w:tc>
        <w:tc>
          <w:tcPr>
            <w:tcW w:w="176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September 27, 2024</w:t>
            </w:r>
          </w:p>
        </w:tc>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Change</w:t>
            </w:r>
          </w:p>
        </w:tc>
        <w:tc>
          <w:tcPr>
            <w:tcW w:w="200" w:type="dxa"/>
            <w:vAlign w:val="bottom"/>
          </w:tcPr>
          <w:p>
            <w:pPr>
              <w:spacing w:after="0"/>
              <w:rPr>
                <w:sz w:val="17"/>
                <w:szCs w:val="17"/>
                <w:color w:val="auto"/>
              </w:rPr>
            </w:pPr>
          </w:p>
        </w:tc>
        <w:tc>
          <w:tcPr>
            <w:tcW w:w="174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September 29, 2023</w:t>
            </w:r>
          </w:p>
        </w:tc>
        <w:tc>
          <w:tcPr>
            <w:tcW w:w="1060" w:type="dxa"/>
            <w:vAlign w:val="bottom"/>
            <w:gridSpan w:val="2"/>
          </w:tcPr>
          <w:p>
            <w:pPr>
              <w:ind w:left="22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80" w:type="dxa"/>
            <w:vAlign w:val="bottom"/>
          </w:tcPr>
          <w:p>
            <w:pPr>
              <w:spacing w:after="0"/>
              <w:rPr>
                <w:sz w:val="17"/>
                <w:szCs w:val="17"/>
                <w:color w:val="auto"/>
              </w:rPr>
            </w:pPr>
          </w:p>
        </w:tc>
        <w:tc>
          <w:tcPr>
            <w:tcW w:w="1680" w:type="dxa"/>
            <w:vAlign w:val="bottom"/>
          </w:tcPr>
          <w:p>
            <w:pPr>
              <w:jc w:val="right"/>
              <w:ind w:right="195"/>
              <w:spacing w:after="0"/>
              <w:rPr>
                <w:sz w:val="20"/>
                <w:szCs w:val="20"/>
                <w:color w:val="auto"/>
              </w:rPr>
            </w:pPr>
            <w:r>
              <w:rPr>
                <w:rFonts w:ascii="Times New Roman" w:cs="Times New Roman" w:eastAsia="Times New Roman" w:hAnsi="Times New Roman"/>
                <w:sz w:val="16"/>
                <w:szCs w:val="16"/>
                <w:b w:val="1"/>
                <w:bCs w:val="1"/>
                <w:color w:val="auto"/>
              </w:rPr>
              <w:t>September 30, 2022</w:t>
            </w:r>
          </w:p>
        </w:tc>
      </w:tr>
      <w:tr>
        <w:trPr>
          <w:trHeight w:val="217"/>
        </w:trPr>
        <w:tc>
          <w:tcPr>
            <w:tcW w:w="3400" w:type="dxa"/>
            <w:vAlign w:val="bottom"/>
            <w:tcBorders>
              <w:top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top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631.7</w:t>
            </w:r>
          </w:p>
        </w:tc>
        <w:tc>
          <w:tcPr>
            <w:tcW w:w="1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ind w:right="217"/>
              <w:spacing w:after="0"/>
              <w:rPr>
                <w:sz w:val="20"/>
                <w:szCs w:val="20"/>
                <w:color w:val="auto"/>
              </w:rPr>
            </w:pPr>
            <w:r>
              <w:rPr>
                <w:rFonts w:ascii="Times New Roman" w:cs="Times New Roman" w:eastAsia="Times New Roman" w:hAnsi="Times New Roman"/>
                <w:sz w:val="18"/>
                <w:szCs w:val="18"/>
                <w:color w:val="auto"/>
              </w:rPr>
              <w:t>4.1%</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top w:val="single" w:sz="8" w:color="auto"/>
            </w:tcBorders>
            <w:shd w:val="clear" w:color="auto" w:fill="CCEEFF"/>
          </w:tcPr>
          <w:p>
            <w:pPr>
              <w:jc w:val="right"/>
              <w:ind w:right="137"/>
              <w:spacing w:after="0"/>
              <w:rPr>
                <w:sz w:val="20"/>
                <w:szCs w:val="20"/>
                <w:color w:val="auto"/>
              </w:rPr>
            </w:pPr>
            <w:r>
              <w:rPr>
                <w:rFonts w:ascii="Times New Roman" w:cs="Times New Roman" w:eastAsia="Times New Roman" w:hAnsi="Times New Roman"/>
                <w:sz w:val="18"/>
                <w:szCs w:val="18"/>
                <w:color w:val="auto"/>
              </w:rPr>
              <w:t>606.8</w:t>
            </w:r>
          </w:p>
        </w:tc>
        <w:tc>
          <w:tcPr>
            <w:tcW w:w="8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top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617.9</w:t>
            </w:r>
          </w:p>
        </w:tc>
      </w:tr>
      <w:tr>
        <w:trPr>
          <w:trHeight w:val="228"/>
        </w:trPr>
        <w:tc>
          <w:tcPr>
            <w:tcW w:w="34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of net revenue</w:t>
            </w:r>
          </w:p>
        </w:tc>
        <w:tc>
          <w:tcPr>
            <w:tcW w:w="1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15.1 %</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12.7 %</w:t>
            </w: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11.3 %</w:t>
            </w:r>
          </w:p>
        </w:tc>
      </w:tr>
    </w:tbl>
    <w:p>
      <w:pPr>
        <w:spacing w:after="0" w:line="30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Research and development expenses consist primarily of direct personnel costs including share-based compensation expense, costs for pre-production evaluation units and testing of new devices, non-production masks, engineering prototypes, and design tool costs.</w:t>
      </w:r>
    </w:p>
    <w:p>
      <w:pPr>
        <w:spacing w:after="0" w:line="19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increase in research and development expenses in fiscal 2024, as compared to fiscal 2023, was primarily related to increases in certain headcount-related expenses and costs for engineering prototypes as a result of our increased investment in developing new technologies and products, partially offset by a decrease in share-based compensation expense and a decrease in depreciation expense as a result of extending the useful lives of certain machinery and equipment. For information regarding this change in accounting estimate, see Note 2 to Item 8 of this Annual Report on Form 10-K.</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84455</wp:posOffset>
            </wp:positionV>
            <wp:extent cx="716153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34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Fiscal Years Ended</w:t>
            </w:r>
          </w:p>
        </w:tc>
        <w:tc>
          <w:tcPr>
            <w:tcW w:w="9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spacing w:after="0"/>
              <w:rPr>
                <w:sz w:val="18"/>
                <w:szCs w:val="18"/>
                <w:color w:val="auto"/>
              </w:rPr>
            </w:pPr>
          </w:p>
        </w:tc>
      </w:tr>
      <w:tr>
        <w:trPr>
          <w:trHeight w:val="205"/>
        </w:trPr>
        <w:tc>
          <w:tcPr>
            <w:tcW w:w="3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(dollars in millions)</w:t>
            </w:r>
          </w:p>
        </w:tc>
        <w:tc>
          <w:tcPr>
            <w:tcW w:w="180" w:type="dxa"/>
            <w:vAlign w:val="bottom"/>
          </w:tcPr>
          <w:p>
            <w:pPr>
              <w:spacing w:after="0"/>
              <w:rPr>
                <w:sz w:val="17"/>
                <w:szCs w:val="17"/>
                <w:color w:val="auto"/>
              </w:rPr>
            </w:pPr>
          </w:p>
        </w:tc>
        <w:tc>
          <w:tcPr>
            <w:tcW w:w="176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September 27, 2024</w:t>
            </w:r>
          </w:p>
        </w:tc>
        <w:tc>
          <w:tcPr>
            <w:tcW w:w="1040" w:type="dxa"/>
            <w:vAlign w:val="bottom"/>
            <w:gridSpan w:val="2"/>
          </w:tcPr>
          <w:p>
            <w:pPr>
              <w:ind w:left="22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200" w:type="dxa"/>
            <w:vAlign w:val="bottom"/>
          </w:tcPr>
          <w:p>
            <w:pPr>
              <w:spacing w:after="0"/>
              <w:rPr>
                <w:sz w:val="17"/>
                <w:szCs w:val="17"/>
                <w:color w:val="auto"/>
              </w:rPr>
            </w:pPr>
          </w:p>
        </w:tc>
        <w:tc>
          <w:tcPr>
            <w:tcW w:w="174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September 29, 2023</w:t>
            </w:r>
          </w:p>
        </w:tc>
        <w:tc>
          <w:tcPr>
            <w:tcW w:w="1060" w:type="dxa"/>
            <w:vAlign w:val="bottom"/>
            <w:gridSpan w:val="2"/>
          </w:tcPr>
          <w:p>
            <w:pPr>
              <w:ind w:left="22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80" w:type="dxa"/>
            <w:vAlign w:val="bottom"/>
          </w:tcPr>
          <w:p>
            <w:pPr>
              <w:spacing w:after="0"/>
              <w:rPr>
                <w:sz w:val="17"/>
                <w:szCs w:val="17"/>
                <w:color w:val="auto"/>
              </w:rPr>
            </w:pPr>
          </w:p>
        </w:tc>
        <w:tc>
          <w:tcPr>
            <w:tcW w:w="1680" w:type="dxa"/>
            <w:vAlign w:val="bottom"/>
          </w:tcPr>
          <w:p>
            <w:pPr>
              <w:jc w:val="right"/>
              <w:ind w:right="195"/>
              <w:spacing w:after="0"/>
              <w:rPr>
                <w:sz w:val="20"/>
                <w:szCs w:val="20"/>
                <w:color w:val="auto"/>
              </w:rPr>
            </w:pPr>
            <w:r>
              <w:rPr>
                <w:rFonts w:ascii="Times New Roman" w:cs="Times New Roman" w:eastAsia="Times New Roman" w:hAnsi="Times New Roman"/>
                <w:sz w:val="16"/>
                <w:szCs w:val="16"/>
                <w:b w:val="1"/>
                <w:bCs w:val="1"/>
                <w:color w:val="auto"/>
              </w:rPr>
              <w:t>September 30, 2022</w:t>
            </w:r>
          </w:p>
        </w:tc>
      </w:tr>
      <w:tr>
        <w:trPr>
          <w:trHeight w:val="217"/>
        </w:trPr>
        <w:tc>
          <w:tcPr>
            <w:tcW w:w="3400" w:type="dxa"/>
            <w:vAlign w:val="bottom"/>
            <w:tcBorders>
              <w:top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top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300.8</w:t>
            </w:r>
          </w:p>
        </w:tc>
        <w:tc>
          <w:tcPr>
            <w:tcW w:w="1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(4.2)%</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top w:val="single" w:sz="8" w:color="auto"/>
            </w:tcBorders>
            <w:shd w:val="clear" w:color="auto" w:fill="CCEEFF"/>
          </w:tcPr>
          <w:p>
            <w:pPr>
              <w:jc w:val="right"/>
              <w:ind w:right="137"/>
              <w:spacing w:after="0"/>
              <w:rPr>
                <w:sz w:val="20"/>
                <w:szCs w:val="20"/>
                <w:color w:val="auto"/>
              </w:rPr>
            </w:pPr>
            <w:r>
              <w:rPr>
                <w:rFonts w:ascii="Times New Roman" w:cs="Times New Roman" w:eastAsia="Times New Roman" w:hAnsi="Times New Roman"/>
                <w:sz w:val="18"/>
                <w:szCs w:val="18"/>
                <w:color w:val="auto"/>
              </w:rPr>
              <w:t>314.0</w:t>
            </w:r>
          </w:p>
        </w:tc>
        <w:tc>
          <w:tcPr>
            <w:tcW w:w="8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top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329.8</w:t>
            </w:r>
          </w:p>
        </w:tc>
      </w:tr>
      <w:tr>
        <w:trPr>
          <w:trHeight w:val="228"/>
        </w:trPr>
        <w:tc>
          <w:tcPr>
            <w:tcW w:w="34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of net revenue</w:t>
            </w:r>
          </w:p>
        </w:tc>
        <w:tc>
          <w:tcPr>
            <w:tcW w:w="1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7.2 %</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6.6 %</w:t>
            </w: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6.0 %</w:t>
            </w:r>
          </w:p>
        </w:tc>
      </w:tr>
    </w:tbl>
    <w:p>
      <w:pPr>
        <w:spacing w:after="0" w:line="30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Selling, general, and administrative expenses include legal and related costs, accounting, treasury, human resources, information systems, customer service, bad debt expense, sales commissions, share-based compensation expense, advertising, marketing, costs associated with business combinations completed or contemplated during the period, and other costs.</w:t>
      </w:r>
    </w:p>
    <w:p>
      <w:pPr>
        <w:spacing w:after="0" w:line="20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The decrease in selling, general, and administrative expenses in fiscal 2024, as compared to fiscal 2023, was primarily related to a gain on the sale of property, plant, and equipment, a decrease in professional services costs, and a decrease in share-based compensation expense.</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Amortization of Intangibles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34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Fiscal Years Ended</w:t>
            </w:r>
          </w:p>
        </w:tc>
        <w:tc>
          <w:tcPr>
            <w:tcW w:w="9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spacing w:after="0"/>
              <w:rPr>
                <w:sz w:val="18"/>
                <w:szCs w:val="18"/>
                <w:color w:val="auto"/>
              </w:rPr>
            </w:pPr>
          </w:p>
        </w:tc>
      </w:tr>
      <w:tr>
        <w:trPr>
          <w:trHeight w:val="205"/>
        </w:trPr>
        <w:tc>
          <w:tcPr>
            <w:tcW w:w="3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(dollars in millions)</w:t>
            </w:r>
          </w:p>
        </w:tc>
        <w:tc>
          <w:tcPr>
            <w:tcW w:w="180" w:type="dxa"/>
            <w:vAlign w:val="bottom"/>
          </w:tcPr>
          <w:p>
            <w:pPr>
              <w:spacing w:after="0"/>
              <w:rPr>
                <w:sz w:val="17"/>
                <w:szCs w:val="17"/>
                <w:color w:val="auto"/>
              </w:rPr>
            </w:pPr>
          </w:p>
        </w:tc>
        <w:tc>
          <w:tcPr>
            <w:tcW w:w="176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September 27, 2024</w:t>
            </w:r>
          </w:p>
        </w:tc>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Change</w:t>
            </w:r>
          </w:p>
        </w:tc>
        <w:tc>
          <w:tcPr>
            <w:tcW w:w="200" w:type="dxa"/>
            <w:vAlign w:val="bottom"/>
          </w:tcPr>
          <w:p>
            <w:pPr>
              <w:spacing w:after="0"/>
              <w:rPr>
                <w:sz w:val="17"/>
                <w:szCs w:val="17"/>
                <w:color w:val="auto"/>
              </w:rPr>
            </w:pPr>
          </w:p>
        </w:tc>
        <w:tc>
          <w:tcPr>
            <w:tcW w:w="174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September 29, 2023</w:t>
            </w:r>
          </w:p>
        </w:tc>
        <w:tc>
          <w:tcPr>
            <w:tcW w:w="10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Change</w:t>
            </w:r>
          </w:p>
        </w:tc>
        <w:tc>
          <w:tcPr>
            <w:tcW w:w="180" w:type="dxa"/>
            <w:vAlign w:val="bottom"/>
          </w:tcPr>
          <w:p>
            <w:pPr>
              <w:spacing w:after="0"/>
              <w:rPr>
                <w:sz w:val="17"/>
                <w:szCs w:val="17"/>
                <w:color w:val="auto"/>
              </w:rPr>
            </w:pPr>
          </w:p>
        </w:tc>
        <w:tc>
          <w:tcPr>
            <w:tcW w:w="1680" w:type="dxa"/>
            <w:vAlign w:val="bottom"/>
          </w:tcPr>
          <w:p>
            <w:pPr>
              <w:jc w:val="right"/>
              <w:ind w:right="195"/>
              <w:spacing w:after="0"/>
              <w:rPr>
                <w:sz w:val="20"/>
                <w:szCs w:val="20"/>
                <w:color w:val="auto"/>
              </w:rPr>
            </w:pPr>
            <w:r>
              <w:rPr>
                <w:rFonts w:ascii="Times New Roman" w:cs="Times New Roman" w:eastAsia="Times New Roman" w:hAnsi="Times New Roman"/>
                <w:sz w:val="16"/>
                <w:szCs w:val="16"/>
                <w:b w:val="1"/>
                <w:bCs w:val="1"/>
                <w:color w:val="auto"/>
              </w:rPr>
              <w:t>September 30, 2022</w:t>
            </w:r>
          </w:p>
        </w:tc>
      </w:tr>
      <w:tr>
        <w:trPr>
          <w:trHeight w:val="217"/>
        </w:trPr>
        <w:tc>
          <w:tcPr>
            <w:tcW w:w="3400" w:type="dxa"/>
            <w:vAlign w:val="bottom"/>
            <w:tcBorders>
              <w:top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top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ind w:right="117"/>
              <w:spacing w:after="0"/>
              <w:rPr>
                <w:sz w:val="20"/>
                <w:szCs w:val="20"/>
                <w:color w:val="auto"/>
              </w:rPr>
            </w:pPr>
            <w:r>
              <w:rPr>
                <w:rFonts w:ascii="Times New Roman" w:cs="Times New Roman" w:eastAsia="Times New Roman" w:hAnsi="Times New Roman"/>
                <w:sz w:val="18"/>
                <w:szCs w:val="18"/>
                <w:color w:val="auto"/>
              </w:rPr>
              <w:t>(97.3)%</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top w:val="single" w:sz="8" w:color="auto"/>
            </w:tcBorders>
            <w:shd w:val="clear" w:color="auto" w:fill="CCEEFF"/>
          </w:tcPr>
          <w:p>
            <w:pPr>
              <w:jc w:val="right"/>
              <w:ind w:right="137"/>
              <w:spacing w:after="0"/>
              <w:rPr>
                <w:sz w:val="20"/>
                <w:szCs w:val="20"/>
                <w:color w:val="auto"/>
              </w:rPr>
            </w:pPr>
            <w:r>
              <w:rPr>
                <w:rFonts w:ascii="Times New Roman" w:cs="Times New Roman" w:eastAsia="Times New Roman" w:hAnsi="Times New Roman"/>
                <w:sz w:val="18"/>
                <w:szCs w:val="18"/>
                <w:color w:val="auto"/>
              </w:rPr>
              <w:t>33.2</w:t>
            </w:r>
          </w:p>
        </w:tc>
        <w:tc>
          <w:tcPr>
            <w:tcW w:w="8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8"/>
                <w:szCs w:val="18"/>
                <w:color w:val="auto"/>
              </w:rPr>
              <w:t>(66.4)%</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top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98.9</w:t>
            </w:r>
          </w:p>
        </w:tc>
      </w:tr>
      <w:tr>
        <w:trPr>
          <w:trHeight w:val="228"/>
        </w:trPr>
        <w:tc>
          <w:tcPr>
            <w:tcW w:w="34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of net revenue</w:t>
            </w:r>
          </w:p>
        </w:tc>
        <w:tc>
          <w:tcPr>
            <w:tcW w:w="180" w:type="dxa"/>
            <w:vAlign w:val="bottom"/>
          </w:tcPr>
          <w:p>
            <w:pPr>
              <w:spacing w:after="0"/>
              <w:rPr>
                <w:sz w:val="19"/>
                <w:szCs w:val="19"/>
                <w:color w:val="auto"/>
              </w:rPr>
            </w:pPr>
          </w:p>
        </w:tc>
        <w:tc>
          <w:tcPr>
            <w:tcW w:w="1760" w:type="dxa"/>
            <w:vAlign w:val="bottom"/>
            <w:gridSpan w:val="2"/>
          </w:tcPr>
          <w:p>
            <w:pPr>
              <w:ind w:left="1280"/>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0.7 %</w:t>
            </w: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1.8 %</w:t>
            </w:r>
          </w:p>
        </w:tc>
      </w:tr>
    </w:tbl>
    <w:p>
      <w:pPr>
        <w:spacing w:after="0" w:line="29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The decrease in amortization expense in fiscal 2024, as compared to fiscal 2023, was primarily due to certain intangible assets that were acquired in prior fiscal years reaching the end of their useful lives.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Restructuring, and Other Charges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34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Fiscal Years Ended</w:t>
            </w:r>
          </w:p>
        </w:tc>
        <w:tc>
          <w:tcPr>
            <w:tcW w:w="9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spacing w:after="0"/>
              <w:rPr>
                <w:sz w:val="18"/>
                <w:szCs w:val="18"/>
                <w:color w:val="auto"/>
              </w:rPr>
            </w:pPr>
          </w:p>
        </w:tc>
      </w:tr>
      <w:tr>
        <w:trPr>
          <w:trHeight w:val="205"/>
        </w:trPr>
        <w:tc>
          <w:tcPr>
            <w:tcW w:w="35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(dollars in millions)</w:t>
            </w:r>
          </w:p>
        </w:tc>
        <w:tc>
          <w:tcPr>
            <w:tcW w:w="176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September 27, 2024</w:t>
            </w:r>
          </w:p>
        </w:tc>
        <w:tc>
          <w:tcPr>
            <w:tcW w:w="1040" w:type="dxa"/>
            <w:vAlign w:val="bottom"/>
            <w:gridSpan w:val="2"/>
          </w:tcPr>
          <w:p>
            <w:pPr>
              <w:ind w:left="22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200" w:type="dxa"/>
            <w:vAlign w:val="bottom"/>
          </w:tcPr>
          <w:p>
            <w:pPr>
              <w:spacing w:after="0"/>
              <w:rPr>
                <w:sz w:val="17"/>
                <w:szCs w:val="17"/>
                <w:color w:val="auto"/>
              </w:rPr>
            </w:pPr>
          </w:p>
        </w:tc>
        <w:tc>
          <w:tcPr>
            <w:tcW w:w="174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September 29, 2023</w:t>
            </w:r>
          </w:p>
        </w:tc>
        <w:tc>
          <w:tcPr>
            <w:tcW w:w="1060" w:type="dxa"/>
            <w:vAlign w:val="bottom"/>
            <w:gridSpan w:val="2"/>
          </w:tcPr>
          <w:p>
            <w:pPr>
              <w:ind w:left="22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80" w:type="dxa"/>
            <w:vAlign w:val="bottom"/>
          </w:tcPr>
          <w:p>
            <w:pPr>
              <w:spacing w:after="0"/>
              <w:rPr>
                <w:sz w:val="17"/>
                <w:szCs w:val="17"/>
                <w:color w:val="auto"/>
              </w:rPr>
            </w:pPr>
          </w:p>
        </w:tc>
        <w:tc>
          <w:tcPr>
            <w:tcW w:w="1680" w:type="dxa"/>
            <w:vAlign w:val="bottom"/>
          </w:tcPr>
          <w:p>
            <w:pPr>
              <w:jc w:val="right"/>
              <w:ind w:right="195"/>
              <w:spacing w:after="0"/>
              <w:rPr>
                <w:sz w:val="20"/>
                <w:szCs w:val="20"/>
                <w:color w:val="auto"/>
              </w:rPr>
            </w:pPr>
            <w:r>
              <w:rPr>
                <w:rFonts w:ascii="Times New Roman" w:cs="Times New Roman" w:eastAsia="Times New Roman" w:hAnsi="Times New Roman"/>
                <w:sz w:val="16"/>
                <w:szCs w:val="16"/>
                <w:b w:val="1"/>
                <w:bCs w:val="1"/>
                <w:color w:val="auto"/>
              </w:rPr>
              <w:t>September 30, 2022</w:t>
            </w:r>
          </w:p>
        </w:tc>
      </w:tr>
      <w:tr>
        <w:trPr>
          <w:trHeight w:val="217"/>
        </w:trPr>
        <w:tc>
          <w:tcPr>
            <w:tcW w:w="3400" w:type="dxa"/>
            <w:vAlign w:val="bottom"/>
            <w:tcBorders>
              <w:top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Impairment, restructuring, and other charges</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top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150.0</w:t>
            </w:r>
          </w:p>
        </w:tc>
        <w:tc>
          <w:tcPr>
            <w:tcW w:w="1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430.0%</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top w:val="single" w:sz="8" w:color="auto"/>
            </w:tcBorders>
            <w:shd w:val="clear" w:color="auto" w:fill="CCEEFF"/>
          </w:tcPr>
          <w:p>
            <w:pPr>
              <w:jc w:val="right"/>
              <w:ind w:right="137"/>
              <w:spacing w:after="0"/>
              <w:rPr>
                <w:sz w:val="20"/>
                <w:szCs w:val="20"/>
                <w:color w:val="auto"/>
              </w:rPr>
            </w:pPr>
            <w:r>
              <w:rPr>
                <w:rFonts w:ascii="Times New Roman" w:cs="Times New Roman" w:eastAsia="Times New Roman" w:hAnsi="Times New Roman"/>
                <w:sz w:val="18"/>
                <w:szCs w:val="18"/>
                <w:color w:val="auto"/>
              </w:rPr>
              <w:t>28.3</w:t>
            </w:r>
          </w:p>
        </w:tc>
        <w:tc>
          <w:tcPr>
            <w:tcW w:w="8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top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30.7</w:t>
            </w:r>
          </w:p>
        </w:tc>
      </w:tr>
      <w:tr>
        <w:trPr>
          <w:trHeight w:val="228"/>
        </w:trPr>
        <w:tc>
          <w:tcPr>
            <w:tcW w:w="35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of net revenue</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3.6 %</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0.6 %</w:t>
            </w: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0.6 %</w:t>
            </w:r>
          </w:p>
        </w:tc>
      </w:tr>
    </w:tbl>
    <w:p>
      <w:pPr>
        <w:spacing w:after="0" w:line="30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Impairment, restructuring, and other charges in fiscal 2024 were primarily due to the abandonment or delay of previously capitalized in-process research and development (“IPR&amp;D”) projects of $147.9 million and employee severance costs.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Impairment, restructuring, and other charges in fiscal 2023 were primarily due to employee severance costs and impairment charges on divested assets.</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33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gridSpan w:val="2"/>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Fiscal Years Ended</w:t>
            </w:r>
          </w:p>
        </w:tc>
        <w:tc>
          <w:tcPr>
            <w:tcW w:w="9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spacing w:after="0"/>
              <w:rPr>
                <w:sz w:val="18"/>
                <w:szCs w:val="18"/>
                <w:color w:val="auto"/>
              </w:rPr>
            </w:pPr>
          </w:p>
        </w:tc>
      </w:tr>
      <w:tr>
        <w:trPr>
          <w:trHeight w:val="205"/>
        </w:trPr>
        <w:tc>
          <w:tcPr>
            <w:tcW w:w="3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(dollars in millions)</w:t>
            </w:r>
          </w:p>
        </w:tc>
        <w:tc>
          <w:tcPr>
            <w:tcW w:w="180" w:type="dxa"/>
            <w:vAlign w:val="bottom"/>
          </w:tcPr>
          <w:p>
            <w:pPr>
              <w:spacing w:after="0"/>
              <w:rPr>
                <w:sz w:val="17"/>
                <w:szCs w:val="17"/>
                <w:color w:val="auto"/>
              </w:rPr>
            </w:pPr>
          </w:p>
        </w:tc>
        <w:tc>
          <w:tcPr>
            <w:tcW w:w="176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September 27, 2024</w:t>
            </w:r>
          </w:p>
        </w:tc>
        <w:tc>
          <w:tcPr>
            <w:tcW w:w="10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Change</w:t>
            </w:r>
          </w:p>
        </w:tc>
        <w:tc>
          <w:tcPr>
            <w:tcW w:w="180" w:type="dxa"/>
            <w:vAlign w:val="bottom"/>
          </w:tcPr>
          <w:p>
            <w:pPr>
              <w:spacing w:after="0"/>
              <w:rPr>
                <w:sz w:val="17"/>
                <w:szCs w:val="17"/>
                <w:color w:val="auto"/>
              </w:rPr>
            </w:pPr>
          </w:p>
        </w:tc>
        <w:tc>
          <w:tcPr>
            <w:tcW w:w="176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September 29, 2023</w:t>
            </w:r>
          </w:p>
        </w:tc>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Change</w:t>
            </w:r>
          </w:p>
        </w:tc>
        <w:tc>
          <w:tcPr>
            <w:tcW w:w="200" w:type="dxa"/>
            <w:vAlign w:val="bottom"/>
          </w:tcPr>
          <w:p>
            <w:pPr>
              <w:spacing w:after="0"/>
              <w:rPr>
                <w:sz w:val="17"/>
                <w:szCs w:val="17"/>
                <w:color w:val="auto"/>
              </w:rPr>
            </w:pPr>
          </w:p>
        </w:tc>
        <w:tc>
          <w:tcPr>
            <w:tcW w:w="1680" w:type="dxa"/>
            <w:vAlign w:val="bottom"/>
          </w:tcPr>
          <w:p>
            <w:pPr>
              <w:jc w:val="right"/>
              <w:ind w:right="195"/>
              <w:spacing w:after="0"/>
              <w:rPr>
                <w:sz w:val="20"/>
                <w:szCs w:val="20"/>
                <w:color w:val="auto"/>
              </w:rPr>
            </w:pPr>
            <w:r>
              <w:rPr>
                <w:rFonts w:ascii="Times New Roman" w:cs="Times New Roman" w:eastAsia="Times New Roman" w:hAnsi="Times New Roman"/>
                <w:sz w:val="16"/>
                <w:szCs w:val="16"/>
                <w:b w:val="1"/>
                <w:bCs w:val="1"/>
                <w:color w:val="auto"/>
              </w:rPr>
              <w:t>September 30, 2022</w:t>
            </w:r>
          </w:p>
        </w:tc>
      </w:tr>
      <w:tr>
        <w:trPr>
          <w:trHeight w:val="217"/>
        </w:trPr>
        <w:tc>
          <w:tcPr>
            <w:tcW w:w="3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top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30.7</w:t>
            </w:r>
          </w:p>
        </w:tc>
        <w:tc>
          <w:tcPr>
            <w:tcW w:w="8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ind w:right="117"/>
              <w:spacing w:after="0"/>
              <w:rPr>
                <w:sz w:val="20"/>
                <w:szCs w:val="20"/>
                <w:color w:val="auto"/>
              </w:rPr>
            </w:pPr>
            <w:r>
              <w:rPr>
                <w:rFonts w:ascii="Times New Roman" w:cs="Times New Roman" w:eastAsia="Times New Roman" w:hAnsi="Times New Roman"/>
                <w:sz w:val="18"/>
                <w:szCs w:val="18"/>
                <w:color w:val="auto"/>
              </w:rPr>
              <w:t>(52.3)%</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top w:val="single" w:sz="8" w:color="auto"/>
            </w:tcBorders>
            <w:shd w:val="clear" w:color="auto" w:fill="CCEEFF"/>
          </w:tcPr>
          <w:p>
            <w:pPr>
              <w:jc w:val="right"/>
              <w:ind w:right="137"/>
              <w:spacing w:after="0"/>
              <w:rPr>
                <w:sz w:val="20"/>
                <w:szCs w:val="20"/>
                <w:color w:val="auto"/>
              </w:rPr>
            </w:pPr>
            <w:r>
              <w:rPr>
                <w:rFonts w:ascii="Times New Roman" w:cs="Times New Roman" w:eastAsia="Times New Roman" w:hAnsi="Times New Roman"/>
                <w:sz w:val="18"/>
                <w:szCs w:val="18"/>
                <w:color w:val="auto"/>
              </w:rPr>
              <w:t>64.4</w:t>
            </w:r>
          </w:p>
        </w:tc>
        <w:tc>
          <w:tcPr>
            <w:tcW w:w="1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ind w:right="177"/>
              <w:spacing w:after="0"/>
              <w:rPr>
                <w:sz w:val="20"/>
                <w:szCs w:val="20"/>
                <w:color w:val="auto"/>
              </w:rPr>
            </w:pPr>
            <w:r>
              <w:rPr>
                <w:rFonts w:ascii="Times New Roman" w:cs="Times New Roman" w:eastAsia="Times New Roman" w:hAnsi="Times New Roman"/>
                <w:sz w:val="18"/>
                <w:szCs w:val="18"/>
                <w:color w:val="auto"/>
              </w:rPr>
              <w:t>34.4%</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top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47.9</w:t>
            </w:r>
          </w:p>
        </w:tc>
      </w:tr>
      <w:tr>
        <w:trPr>
          <w:trHeight w:val="228"/>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of net revenue</w:t>
            </w:r>
          </w:p>
        </w:tc>
        <w:tc>
          <w:tcPr>
            <w:tcW w:w="1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0.7 %</w:t>
            </w: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0.9 %</w:t>
            </w:r>
          </w:p>
        </w:tc>
      </w:tr>
    </w:tbl>
    <w:p>
      <w:pPr>
        <w:spacing w:after="0" w:line="30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The decrease in interest expense in fiscal 2024, as compared to fiscal 2023, was due to certain debt repayments that reduced the amount of outstanding indebtedness.</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84455</wp:posOffset>
            </wp:positionV>
            <wp:extent cx="716153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34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Fiscal Years Ended</w:t>
            </w:r>
          </w:p>
        </w:tc>
        <w:tc>
          <w:tcPr>
            <w:tcW w:w="9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spacing w:after="0"/>
              <w:rPr>
                <w:sz w:val="18"/>
                <w:szCs w:val="18"/>
                <w:color w:val="auto"/>
              </w:rPr>
            </w:pPr>
          </w:p>
        </w:tc>
      </w:tr>
      <w:tr>
        <w:trPr>
          <w:trHeight w:val="205"/>
        </w:trPr>
        <w:tc>
          <w:tcPr>
            <w:tcW w:w="3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(dollars in millions)</w:t>
            </w:r>
          </w:p>
        </w:tc>
        <w:tc>
          <w:tcPr>
            <w:tcW w:w="180" w:type="dxa"/>
            <w:vAlign w:val="bottom"/>
          </w:tcPr>
          <w:p>
            <w:pPr>
              <w:spacing w:after="0"/>
              <w:rPr>
                <w:sz w:val="17"/>
                <w:szCs w:val="17"/>
                <w:color w:val="auto"/>
              </w:rPr>
            </w:pPr>
          </w:p>
        </w:tc>
        <w:tc>
          <w:tcPr>
            <w:tcW w:w="176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September 27, 2024</w:t>
            </w:r>
          </w:p>
        </w:tc>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Change</w:t>
            </w:r>
          </w:p>
        </w:tc>
        <w:tc>
          <w:tcPr>
            <w:tcW w:w="200" w:type="dxa"/>
            <w:vAlign w:val="bottom"/>
          </w:tcPr>
          <w:p>
            <w:pPr>
              <w:spacing w:after="0"/>
              <w:rPr>
                <w:sz w:val="17"/>
                <w:szCs w:val="17"/>
                <w:color w:val="auto"/>
              </w:rPr>
            </w:pPr>
          </w:p>
        </w:tc>
        <w:tc>
          <w:tcPr>
            <w:tcW w:w="174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September 29, 2023</w:t>
            </w:r>
          </w:p>
        </w:tc>
        <w:tc>
          <w:tcPr>
            <w:tcW w:w="1060" w:type="dxa"/>
            <w:vAlign w:val="bottom"/>
            <w:gridSpan w:val="2"/>
          </w:tcPr>
          <w:p>
            <w:pPr>
              <w:ind w:left="22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80" w:type="dxa"/>
            <w:vAlign w:val="bottom"/>
          </w:tcPr>
          <w:p>
            <w:pPr>
              <w:spacing w:after="0"/>
              <w:rPr>
                <w:sz w:val="17"/>
                <w:szCs w:val="17"/>
                <w:color w:val="auto"/>
              </w:rPr>
            </w:pPr>
          </w:p>
        </w:tc>
        <w:tc>
          <w:tcPr>
            <w:tcW w:w="1680" w:type="dxa"/>
            <w:vAlign w:val="bottom"/>
          </w:tcPr>
          <w:p>
            <w:pPr>
              <w:jc w:val="right"/>
              <w:ind w:right="195"/>
              <w:spacing w:after="0"/>
              <w:rPr>
                <w:sz w:val="20"/>
                <w:szCs w:val="20"/>
                <w:color w:val="auto"/>
              </w:rPr>
            </w:pPr>
            <w:r>
              <w:rPr>
                <w:rFonts w:ascii="Times New Roman" w:cs="Times New Roman" w:eastAsia="Times New Roman" w:hAnsi="Times New Roman"/>
                <w:sz w:val="16"/>
                <w:szCs w:val="16"/>
                <w:b w:val="1"/>
                <w:bCs w:val="1"/>
                <w:color w:val="auto"/>
              </w:rPr>
              <w:t>September 30, 2022</w:t>
            </w:r>
          </w:p>
        </w:tc>
      </w:tr>
      <w:tr>
        <w:trPr>
          <w:trHeight w:val="217"/>
        </w:trPr>
        <w:tc>
          <w:tcPr>
            <w:tcW w:w="3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top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29.7</w:t>
            </w:r>
          </w:p>
        </w:tc>
        <w:tc>
          <w:tcPr>
            <w:tcW w:w="1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ind w:right="177"/>
              <w:spacing w:after="0"/>
              <w:rPr>
                <w:sz w:val="20"/>
                <w:szCs w:val="20"/>
                <w:color w:val="auto"/>
              </w:rPr>
            </w:pPr>
            <w:r>
              <w:rPr>
                <w:rFonts w:ascii="Times New Roman" w:cs="Times New Roman" w:eastAsia="Times New Roman" w:hAnsi="Times New Roman"/>
                <w:sz w:val="18"/>
                <w:szCs w:val="18"/>
                <w:color w:val="auto"/>
              </w:rPr>
              <w:t>63.2%</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top w:val="single" w:sz="8" w:color="auto"/>
            </w:tcBorders>
            <w:shd w:val="clear" w:color="auto" w:fill="CCEEFF"/>
          </w:tcPr>
          <w:p>
            <w:pPr>
              <w:jc w:val="right"/>
              <w:ind w:right="137"/>
              <w:spacing w:after="0"/>
              <w:rPr>
                <w:sz w:val="20"/>
                <w:szCs w:val="20"/>
                <w:color w:val="auto"/>
              </w:rPr>
            </w:pPr>
            <w:r>
              <w:rPr>
                <w:rFonts w:ascii="Times New Roman" w:cs="Times New Roman" w:eastAsia="Times New Roman" w:hAnsi="Times New Roman"/>
                <w:sz w:val="18"/>
                <w:szCs w:val="18"/>
                <w:color w:val="auto"/>
              </w:rPr>
              <w:t>18.2</w:t>
            </w:r>
          </w:p>
        </w:tc>
        <w:tc>
          <w:tcPr>
            <w:tcW w:w="8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828.0%</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top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(2.5)</w:t>
            </w:r>
          </w:p>
        </w:tc>
      </w:tr>
      <w:tr>
        <w:trPr>
          <w:trHeight w:val="228"/>
        </w:trPr>
        <w:tc>
          <w:tcPr>
            <w:tcW w:w="3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of net revenue</w:t>
            </w:r>
          </w:p>
        </w:tc>
        <w:tc>
          <w:tcPr>
            <w:tcW w:w="1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0.7 %</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0.4 %</w:t>
            </w: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bl>
    <w:p>
      <w:pPr>
        <w:spacing w:after="0" w:line="30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The increase in other income, net in fiscal 2024, as compared to fiscal 2023, was primarily due to an increase in interest income generated from cash, cash equivalents, and marketable securities.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34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Fiscal Years Ended</w:t>
            </w:r>
          </w:p>
        </w:tc>
        <w:tc>
          <w:tcPr>
            <w:tcW w:w="9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spacing w:after="0"/>
              <w:rPr>
                <w:sz w:val="18"/>
                <w:szCs w:val="18"/>
                <w:color w:val="auto"/>
              </w:rPr>
            </w:pPr>
          </w:p>
        </w:tc>
      </w:tr>
      <w:tr>
        <w:trPr>
          <w:trHeight w:val="205"/>
        </w:trPr>
        <w:tc>
          <w:tcPr>
            <w:tcW w:w="3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(dollars in millions)</w:t>
            </w:r>
          </w:p>
        </w:tc>
        <w:tc>
          <w:tcPr>
            <w:tcW w:w="180" w:type="dxa"/>
            <w:vAlign w:val="bottom"/>
          </w:tcPr>
          <w:p>
            <w:pPr>
              <w:spacing w:after="0"/>
              <w:rPr>
                <w:sz w:val="17"/>
                <w:szCs w:val="17"/>
                <w:color w:val="auto"/>
              </w:rPr>
            </w:pPr>
          </w:p>
        </w:tc>
        <w:tc>
          <w:tcPr>
            <w:tcW w:w="176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September 27, 2024</w:t>
            </w:r>
          </w:p>
        </w:tc>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Change</w:t>
            </w:r>
          </w:p>
        </w:tc>
        <w:tc>
          <w:tcPr>
            <w:tcW w:w="200" w:type="dxa"/>
            <w:vAlign w:val="bottom"/>
          </w:tcPr>
          <w:p>
            <w:pPr>
              <w:spacing w:after="0"/>
              <w:rPr>
                <w:sz w:val="17"/>
                <w:szCs w:val="17"/>
                <w:color w:val="auto"/>
              </w:rPr>
            </w:pPr>
          </w:p>
        </w:tc>
        <w:tc>
          <w:tcPr>
            <w:tcW w:w="174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September 29, 2023</w:t>
            </w:r>
          </w:p>
        </w:tc>
        <w:tc>
          <w:tcPr>
            <w:tcW w:w="10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Change</w:t>
            </w:r>
          </w:p>
        </w:tc>
        <w:tc>
          <w:tcPr>
            <w:tcW w:w="180" w:type="dxa"/>
            <w:vAlign w:val="bottom"/>
          </w:tcPr>
          <w:p>
            <w:pPr>
              <w:spacing w:after="0"/>
              <w:rPr>
                <w:sz w:val="17"/>
                <w:szCs w:val="17"/>
                <w:color w:val="auto"/>
              </w:rPr>
            </w:pPr>
          </w:p>
        </w:tc>
        <w:tc>
          <w:tcPr>
            <w:tcW w:w="1680" w:type="dxa"/>
            <w:vAlign w:val="bottom"/>
          </w:tcPr>
          <w:p>
            <w:pPr>
              <w:jc w:val="right"/>
              <w:ind w:right="195"/>
              <w:spacing w:after="0"/>
              <w:rPr>
                <w:sz w:val="20"/>
                <w:szCs w:val="20"/>
                <w:color w:val="auto"/>
              </w:rPr>
            </w:pPr>
            <w:r>
              <w:rPr>
                <w:rFonts w:ascii="Times New Roman" w:cs="Times New Roman" w:eastAsia="Times New Roman" w:hAnsi="Times New Roman"/>
                <w:sz w:val="16"/>
                <w:szCs w:val="16"/>
                <w:b w:val="1"/>
                <w:bCs w:val="1"/>
                <w:color w:val="auto"/>
              </w:rPr>
              <w:t>September 30, 2022</w:t>
            </w:r>
          </w:p>
        </w:tc>
      </w:tr>
      <w:tr>
        <w:trPr>
          <w:trHeight w:val="217"/>
        </w:trPr>
        <w:tc>
          <w:tcPr>
            <w:tcW w:w="3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top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40.4</w:t>
            </w:r>
          </w:p>
        </w:tc>
        <w:tc>
          <w:tcPr>
            <w:tcW w:w="1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ind w:right="117"/>
              <w:spacing w:after="0"/>
              <w:rPr>
                <w:sz w:val="20"/>
                <w:szCs w:val="20"/>
                <w:color w:val="auto"/>
              </w:rPr>
            </w:pPr>
            <w:r>
              <w:rPr>
                <w:rFonts w:ascii="Times New Roman" w:cs="Times New Roman" w:eastAsia="Times New Roman" w:hAnsi="Times New Roman"/>
                <w:sz w:val="18"/>
                <w:szCs w:val="18"/>
                <w:color w:val="auto"/>
              </w:rPr>
              <w:t>(57.9)%</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top w:val="single" w:sz="8" w:color="auto"/>
            </w:tcBorders>
            <w:shd w:val="clear" w:color="auto" w:fill="CCEEFF"/>
          </w:tcPr>
          <w:p>
            <w:pPr>
              <w:jc w:val="right"/>
              <w:ind w:right="137"/>
              <w:spacing w:after="0"/>
              <w:rPr>
                <w:sz w:val="20"/>
                <w:szCs w:val="20"/>
                <w:color w:val="auto"/>
              </w:rPr>
            </w:pPr>
            <w:r>
              <w:rPr>
                <w:rFonts w:ascii="Times New Roman" w:cs="Times New Roman" w:eastAsia="Times New Roman" w:hAnsi="Times New Roman"/>
                <w:sz w:val="18"/>
                <w:szCs w:val="18"/>
                <w:color w:val="auto"/>
              </w:rPr>
              <w:t>96.0</w:t>
            </w:r>
          </w:p>
        </w:tc>
        <w:tc>
          <w:tcPr>
            <w:tcW w:w="8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8"/>
                <w:szCs w:val="18"/>
                <w:color w:val="auto"/>
              </w:rPr>
              <w:t>(52.3)%</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top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201.4</w:t>
            </w:r>
          </w:p>
        </w:tc>
      </w:tr>
      <w:tr>
        <w:trPr>
          <w:trHeight w:val="228"/>
        </w:trPr>
        <w:tc>
          <w:tcPr>
            <w:tcW w:w="3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of net revenue</w:t>
            </w:r>
          </w:p>
        </w:tc>
        <w:tc>
          <w:tcPr>
            <w:tcW w:w="1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3.7 %</w:t>
            </w:r>
          </w:p>
        </w:tc>
      </w:tr>
    </w:tbl>
    <w:p>
      <w:pPr>
        <w:spacing w:after="0" w:line="29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recorded a provision for income taxes of $40.4 million (which consisted of benefits of $41.5 million and $0.3 million related to United States federal and state income taxes, respectively, and a provision of $82.2 million related to foreign income taxes) and $96.0 million (which consisted of $62.0 million and $34.0 million related to United States and foreign income taxes, respectively) in fiscal 2024 and fiscal 2023, respectively.</w:t>
      </w:r>
    </w:p>
    <w:p>
      <w:pPr>
        <w:spacing w:after="0" w:line="20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decrease in income tax expense in fiscal 2024, as compared to fiscal 2023, was primarily due to lower income from operations and a higher proportion of foreign income compared to domestic, partially offset by a decrease in the benefit from foreign-derived intangible income (“FDII”), an increase in tax expense related to a change in the reserve for uncertain tax positions, and an increase in the tax on global intangible low-taxed income (“GILTI”), net of foreign tax credits.</w:t>
      </w:r>
    </w:p>
    <w:p>
      <w:pPr>
        <w:spacing w:after="0" w:line="21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Future changes in tax laws could arise related to the BEPS Project of the OECD, including Pillar One and Pillar Two; the European Commission’s “state aid” investigations; enactment of a global corporate minimum tax; and other developments that could have an adverse effect on the taxation of our business, including reducing the availability of tax credits and payment of higher income taxes. Many countries have implemented laws based on Pillar Two which will be effective for us in fiscal year 2025. We continue to evaluate the impact of proposed and enacted legislative changes to our effective tax rate as new guidance becomes available.</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8 to Item 8 of this Annual Report on Form 10-K for additional information regarding income taxes.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57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Fiscal Years Ended</w:t>
            </w: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spacing w:after="0"/>
              <w:rPr>
                <w:sz w:val="18"/>
                <w:szCs w:val="18"/>
                <w:color w:val="auto"/>
              </w:rPr>
            </w:pPr>
          </w:p>
        </w:tc>
      </w:tr>
      <w:tr>
        <w:trPr>
          <w:trHeight w:val="205"/>
        </w:trPr>
        <w:tc>
          <w:tcPr>
            <w:tcW w:w="5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160" w:type="dxa"/>
            <w:vAlign w:val="bottom"/>
          </w:tcPr>
          <w:p>
            <w:pPr>
              <w:spacing w:after="0"/>
              <w:rPr>
                <w:sz w:val="17"/>
                <w:szCs w:val="17"/>
                <w:color w:val="auto"/>
              </w:rPr>
            </w:pPr>
          </w:p>
        </w:tc>
        <w:tc>
          <w:tcPr>
            <w:tcW w:w="170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September 27, 2024</w:t>
            </w:r>
          </w:p>
        </w:tc>
        <w:tc>
          <w:tcPr>
            <w:tcW w:w="180" w:type="dxa"/>
            <w:vAlign w:val="bottom"/>
          </w:tcPr>
          <w:p>
            <w:pPr>
              <w:spacing w:after="0"/>
              <w:rPr>
                <w:sz w:val="17"/>
                <w:szCs w:val="17"/>
                <w:color w:val="auto"/>
              </w:rPr>
            </w:pPr>
          </w:p>
        </w:tc>
        <w:tc>
          <w:tcPr>
            <w:tcW w:w="170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September 29, 2023</w:t>
            </w:r>
          </w:p>
        </w:tc>
        <w:tc>
          <w:tcPr>
            <w:tcW w:w="160" w:type="dxa"/>
            <w:vAlign w:val="bottom"/>
          </w:tcPr>
          <w:p>
            <w:pPr>
              <w:spacing w:after="0"/>
              <w:rPr>
                <w:sz w:val="17"/>
                <w:szCs w:val="17"/>
                <w:color w:val="auto"/>
              </w:rPr>
            </w:pPr>
          </w:p>
        </w:tc>
        <w:tc>
          <w:tcPr>
            <w:tcW w:w="1600" w:type="dxa"/>
            <w:vAlign w:val="bottom"/>
          </w:tcPr>
          <w:p>
            <w:pPr>
              <w:jc w:val="right"/>
              <w:ind w:right="134"/>
              <w:spacing w:after="0"/>
              <w:rPr>
                <w:sz w:val="20"/>
                <w:szCs w:val="20"/>
                <w:color w:val="auto"/>
              </w:rPr>
            </w:pPr>
            <w:r>
              <w:rPr>
                <w:rFonts w:ascii="Times New Roman" w:cs="Times New Roman" w:eastAsia="Times New Roman" w:hAnsi="Times New Roman"/>
                <w:sz w:val="16"/>
                <w:szCs w:val="16"/>
                <w:b w:val="1"/>
                <w:bCs w:val="1"/>
                <w:color w:val="auto"/>
              </w:rPr>
              <w:t>September 30, 2022</w:t>
            </w:r>
          </w:p>
        </w:tc>
      </w:tr>
      <w:tr>
        <w:trPr>
          <w:trHeight w:val="217"/>
        </w:trPr>
        <w:tc>
          <w:tcPr>
            <w:tcW w:w="5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718.8</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566.0</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882.9</w:t>
            </w:r>
          </w:p>
        </w:tc>
      </w:tr>
      <w:tr>
        <w:trPr>
          <w:trHeight w:val="223"/>
        </w:trPr>
        <w:tc>
          <w:tcPr>
            <w:tcW w:w="57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1,824.7</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1,856.4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1,424.6</w:t>
            </w:r>
          </w:p>
        </w:tc>
      </w:tr>
      <w:tr>
        <w:trPr>
          <w:trHeight w:val="223"/>
        </w:trPr>
        <w:tc>
          <w:tcPr>
            <w:tcW w:w="57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(355.9)</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(378.9)</w:t>
            </w:r>
          </w:p>
        </w:tc>
      </w:tr>
      <w:tr>
        <w:trPr>
          <w:trHeight w:val="223"/>
        </w:trPr>
        <w:tc>
          <w:tcPr>
            <w:tcW w:w="57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16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(819.0)</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(1,479.2)</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(1,362.6)</w:t>
            </w:r>
          </w:p>
        </w:tc>
      </w:tr>
      <w:tr>
        <w:trPr>
          <w:trHeight w:val="241"/>
        </w:trPr>
        <w:tc>
          <w:tcPr>
            <w:tcW w:w="5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1,368.6</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718.8</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566.0</w:t>
            </w: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provided by operating activities:</w:t>
      </w:r>
    </w:p>
    <w:p>
      <w:pPr>
        <w:spacing w:after="0" w:line="11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Cash provided by operating activities consists of net income for the period adjusted for certain non-cash items and changes in certain operating assets and liabilities. The $31.7 million decrease in cash provided by operating activities for fiscal 2024, as compared to fiscal 2023, was primarily related to lower net income, partially offset by favorable changes in working capital of $402.9 million, due primarily to a decrease in inventory and accounts receivable.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used in investing activities:</w:t>
      </w:r>
    </w:p>
    <w:p>
      <w:pPr>
        <w:spacing w:after="0" w:line="11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Cash used in investing activities consists primarily of capital expenditures, cash paid to acquire intangible assets, and cash paid to purchase marketable securities, offset by cash received related to the sale or maturity of marketable securities. The</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84455</wp:posOffset>
            </wp:positionV>
            <wp:extent cx="716153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$131.5 million increase in cash used in investing activities for fiscal 2024, as compared to fiscal 2023, was primarily related to a decrease of $207.5 million in sales of marketable securities, partially offset by a decrease of $17.9 million in purchases of marketable securities and a decrease of $53.3 million in cash used for capital expenditures.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used in financing activities:</w:t>
      </w:r>
    </w:p>
    <w:p>
      <w:pPr>
        <w:spacing w:after="0" w:line="112"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6"/>
          <w:szCs w:val="16"/>
          <w:color w:val="auto"/>
        </w:rPr>
        <w:t>Cash used in financing activities consists primarily of proceeds and payments related to our long-term borrowings and cash transactions related to equity. The $660.2 million decrease in cash used in financing activities for fiscal 2024, as compared to fiscal 2023, was primarily related to a decrease of $600.0 million for the repayment of debt and a decrease of $98.0 million in stock repurchase activity, partially offset by an increase of $33.9 million in dividend payments.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w:t>
      </w:r>
    </w:p>
    <w:p>
      <w:pPr>
        <w:spacing w:after="0" w:line="11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Cash, cash equivalents, and marketable securities totaled $1,574.1 million as of September 27, 2024, representing an increase of $835.6 million from September 29, 2023.</w:t>
      </w:r>
    </w:p>
    <w:p>
      <w:pPr>
        <w:spacing w:after="0" w:line="196"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6"/>
          <w:szCs w:val="16"/>
          <w:color w:val="auto"/>
        </w:rPr>
        <w:t>We have outstanding $500.0 million of Notes Due 2026 and $500.0 million of Notes Due 2031. During fiscal 2024, 2023, and 2022, we repaid $300.0 million, $900.0 million, and $50.0 million of outstanding borrowings, respectively. We have a Revolving Credit Agreement (the “Revolving Credit Agreement”) under which we may borrow up to $750.0 million for general corporate purposes and working capital needs of the Company and its subsidiaries. As of September 27, 2024, there were no borrowings outstanding under the revolving credit facility (the “Revolver”). The Revolving Credit Agreement expires July 26, 2026.</w:t>
      </w:r>
    </w:p>
    <w:p>
      <w:pPr>
        <w:spacing w:after="0" w:line="17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For a description of contractual obligations, such as taxes, leases, purchase commitments, and debt, see Note 8, Note 10, Note 11, and Note 16 to Item 8 of this Annual Report on Form 10-K, respectively.</w:t>
      </w:r>
    </w:p>
    <w:p>
      <w:pPr>
        <w:spacing w:after="0" w:line="196"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6"/>
          <w:szCs w:val="16"/>
          <w:color w:val="auto"/>
        </w:rPr>
        <w:t>Based on our historical results of operations, we expect that our cash, cash equivalents, and marketable securities on hand, the cash we expect to generate from operations, and funds from our Revolver, will be sufficient to fund our short-term and long-term liquidity requirements primarily arising from: research and development, capital expenditures, potential acquisitions, working capital, quarterly cash dividend payments (if such dividends are declared by the Board of Directors), outstanding commitments, and other liquidity requirements associated with existing operations. However, we cannot be certain that our cash on hand, cash generated from operations, and funds from our Revolver will be available in the future to fund all of our capital and operating requirements. In addition, any future strategic investments and significant acquisitions may require additional cash and capital resources. If we are unable to obtain sufficient cash or capital to meet our needs on a timely basis and on favorable terms, our business and operations could be materially and adversely affected.</w:t>
      </w:r>
    </w:p>
    <w:p>
      <w:pPr>
        <w:spacing w:after="0" w:line="18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Our invested cash balances primarily consist of highly liquid marketable securities that are available to meet near-term cash requirements including: money market funds, U.S. Treasury and government securities, corporate bonds and notes, and municipal bonds.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41"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The discussion and analysis of our financial condition and results of operations are based upon our consolidated financial statements, which have been prepared in accordance with U.S. generally accepted accounting principles (“GAAP”). The preparation of these financial statements requires us to make estimates and judgments in applying our most critical accounting policies that can have a significant impact on the results we report in our financial statements. The SEC has defined critical accounting estimates as those that are both most important to the portrayal of our financial condition and results and which require our most difficult, complex, or subjective judgments or estimates. Based on this definition, our most critical accounting estimates include revenue recognition, which impacts the recording of net revenue; inventory valuation, which impacts the cost of goods sold and gross margin; and income taxes, which impacts the income tax provision. These policies and significant judgments involved are discussed further below. We have other significant accounting policies that do not generally require subjective estimates or judgments or would not have a material impact on our results of operations. Our significant accounting policies are described in Note 2 to Item 8 of this Annual Report on Form 10-K.</w:t>
      </w:r>
    </w:p>
    <w:p>
      <w:pPr>
        <w:spacing w:after="0" w:line="21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Revenue Recognition. </w:t>
      </w:r>
      <w:r>
        <w:rPr>
          <w:rFonts w:ascii="Times New Roman" w:cs="Times New Roman" w:eastAsia="Times New Roman" w:hAnsi="Times New Roman"/>
          <w:sz w:val="18"/>
          <w:szCs w:val="18"/>
          <w:color w:val="auto"/>
        </w:rPr>
        <w:t>We recognize revenue in accordance with the Financial Accounting Standards Board’s (“FASB”) Accounting Standards Codification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net of estimated reserves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Our revenue reserves contain uncertainties because they require management to make assumptions and to apply judgment to estimate the value of future credits to customers for product returns, price protection, price adjustments, and stock rotation for products sold to certain electronic component distributors. We base these estimates on the expected value method considering all reasonably available information, including our historical experience and current expectations, and are reflected in the</w:t>
      </w: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84455</wp:posOffset>
            </wp:positionV>
            <wp:extent cx="716153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transaction price when sales are recorded. Changes in actual demand or market conditions could adversely or beneficially impact our reserve calculations.</w:t>
      </w:r>
    </w:p>
    <w:p>
      <w:pPr>
        <w:spacing w:after="0" w:line="23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b w:val="1"/>
          <w:bCs w:val="1"/>
          <w:i w:val="1"/>
          <w:iCs w:val="1"/>
          <w:color w:val="auto"/>
        </w:rPr>
        <w:t>Inventory Valuation</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value our inventory at the lower of cost or net realizable value. Reserves for excess and obsolete inventory are established on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quarterly basis and are based on a detailed analysis of aged material, salability of our inventory, market conditions, and product life cycles. Once reserves are established, write-downs of inventory are considered permanent adjustments to the cost basis of inventory. Our reserves contain uncertainties because the calculation requires management to make assumptions and to apply judgment regarding historical experience, market conditions, and technological obsolescence. Changes in actual demand or market conditions could adversely impact our reserve calculations.</w:t>
      </w:r>
    </w:p>
    <w:p>
      <w:pPr>
        <w:spacing w:after="0" w:line="20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Income Taxes. </w:t>
      </w:r>
      <w:r>
        <w:rPr>
          <w:rFonts w:ascii="Times New Roman" w:cs="Times New Roman" w:eastAsia="Times New Roman" w:hAnsi="Times New Roman"/>
          <w:sz w:val="18"/>
          <w:szCs w:val="18"/>
          <w:color w:val="auto"/>
        </w:rPr>
        <w:t>The application of tax laws and regulations to calculate our tax liabilities is subject to legal and factual interpretation, judgment, and uncertainty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 a multitude of jurisdictions. Tax laws and regulations themselves are subject to change as a result of changes in fiscal policy, changes in legislation, the evolution of regulations, and court rulings. We recognize potential liabilities for anticipated tax audit issues in the United States and other tax jurisdictions based on our estimate of whether, and the extent to which, additional taxes and interest will be due. We record an amount as an estimate of probable additional income tax liability at the largest amount that we feel is more likely than not, based upon the technical merits of the position, to be sustained upon audit by the relevant tax authority.</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241"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We are subject to overall financial market risks, such as changes in market liquidity, credit quality, investment risk, interest rate risk, and foreign exchange rate risk as described below.</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 and Interest Rate Risk</w:t>
      </w:r>
    </w:p>
    <w:p>
      <w:pPr>
        <w:spacing w:after="0" w:line="11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Our exposure to interest rate and general market risks relates to our investment portfolio. Our investment portfolio consists of cash and cash equivalents (money market funds, corporate bonds and notes, and U.S. Treasury and government securities purchased with less than ninety days until maturity) that total approximately $1,368.6 million, and marketable securities (U.S. Treasury and government securities, corporate bonds and notes, and municipal bonds) that total approximately $194.1 million and $11.4 million within short-term and long-term marketable securities, respectively, as of September 27, 2024.</w:t>
      </w:r>
    </w:p>
    <w:p>
      <w:pPr>
        <w:spacing w:after="0" w:line="21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main objectives of our investment activities are liquidity and preservation of capital. Our cash equivalent investments have short-term maturity periods that dampen the impact of market or interest rate risk. Our marketable securities have short-term maturity periods less than one year. Credit risk associated with our investments is not material because our investments are diversified across several types of securities with high credit ratings, which reduces the amount of credit exposure to any one investment.</w:t>
      </w:r>
    </w:p>
    <w:p>
      <w:pPr>
        <w:spacing w:after="0" w:line="211"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Based on our results of operations for the fiscal year ended September 27, 2024, a hypothetical reduction in the interest rates on our cash, cash equivalents, and other investments to zero would result in an immaterial reduction of interest income with a de minimis impact on income before taxes.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do not believe that investment or interest rate risks currently pose material exposures to our business or results of operations.</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Exchange Rate Risk</w:t>
      </w:r>
    </w:p>
    <w:p>
      <w:pPr>
        <w:spacing w:after="0" w:line="11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Substantially all sales to customers and arrangements with third-party manufacturers provide for pricing and payment in United States dollars, thereby reducing the impact of foreign exchange rate fluctuations on our results. A percentage of our international operational expenses are denominated in foreign currencies, and exchange rate volatility could positively or negatively impact those operating costs. For the fiscal years ended September 27, 2024, September 29, 2023, and September 30, 2022, we had foreign exchange losses of $5.2 million, foreign exchange gains of $1.7 million, and foreign exchange losses of $1.4 million, respectively. Increases in the value of the United States dollar relative to other currencies could make our products more expensive, which could negatively impact our ability to compete. Conversely, decreases in the value of the United States dollar relative to other currencies could result in our suppliers raising their prices to continue doing business with us. Given the relatively small number of customers and arrangements with third-party manufacturers denominated in foreign currencies, we do not believe that foreign exchange volatility has a material impact on our current business or results of operations. However, fluctuations in currency exchange rates could have a greater effect on our business or results of operations in the future to the extent our expenses increasingly become denominated in foreign currencies.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84455</wp:posOffset>
            </wp:positionV>
            <wp:extent cx="716153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We may enter into foreign currency forward and options contracts with financial institutions to protect against foreign exchange risks associated with certain existing assets and liabilities, certain firmly committed transactions, forecasted future cash flows, and net investments in foreign subsidiaries. However, we may choose not to hedge certain foreign exchange exposures for a variety of reasons, including, but not limited to, accounting considerations and the prohibitive economic cost of hedging particular exposures. As of September 27, 2024, we had not entered into any outstanding foreign currency forward or options contracts with financial institutions.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84455</wp:posOffset>
            </wp:positionV>
            <wp:extent cx="716153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consolidated financial statements of the Company are included herewith:</w:t>
      </w:r>
    </w:p>
    <w:p>
      <w:pPr>
        <w:spacing w:after="0" w:line="130"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640" w:type="dxa"/>
            <w:vAlign w:val="bottom"/>
          </w:tcPr>
          <w:p>
            <w:pPr>
              <w:jc w:val="right"/>
              <w:ind w:right="352"/>
              <w:spacing w:after="0"/>
              <w:rPr>
                <w:sz w:val="20"/>
                <w:szCs w:val="20"/>
                <w:color w:val="auto"/>
              </w:rPr>
            </w:pPr>
            <w:r>
              <w:rPr>
                <w:rFonts w:ascii="Times New Roman" w:cs="Times New Roman" w:eastAsia="Times New Roman" w:hAnsi="Times New Roman"/>
                <w:sz w:val="18"/>
                <w:szCs w:val="18"/>
                <w:color w:val="auto"/>
                <w:w w:val="85"/>
              </w:rPr>
              <w:t>(1)</w:t>
            </w:r>
          </w:p>
        </w:tc>
        <w:tc>
          <w:tcPr>
            <w:tcW w:w="41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6"/>
              </w:rPr>
              <w:t>Report of Independent Registered Public Accounting Firm</w:t>
            </w:r>
          </w:p>
        </w:tc>
        <w:tc>
          <w:tcPr>
            <w:tcW w:w="3680" w:type="dxa"/>
            <w:vAlign w:val="bottom"/>
            <w:gridSpan w:val="6"/>
          </w:tcPr>
          <w:p>
            <w:pPr>
              <w:spacing w:after="0"/>
              <w:rPr>
                <w:sz w:val="17"/>
                <w:szCs w:val="17"/>
                <w:color w:val="auto"/>
              </w:rPr>
            </w:pPr>
          </w:p>
        </w:tc>
        <w:tc>
          <w:tcPr>
            <w:tcW w:w="2300" w:type="dxa"/>
            <w:vAlign w:val="bottom"/>
            <w:gridSpan w:val="4"/>
          </w:tcPr>
          <w:p>
            <w:pPr>
              <w:ind w:left="940"/>
              <w:spacing w:after="0"/>
              <w:rPr>
                <w:sz w:val="20"/>
                <w:szCs w:val="20"/>
                <w:color w:val="auto"/>
              </w:rPr>
            </w:pP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color w:val="0000FF"/>
              </w:rPr>
              <w:t>38</w:t>
            </w:r>
          </w:p>
        </w:tc>
      </w:tr>
      <w:tr>
        <w:trPr>
          <w:trHeight w:val="20"/>
        </w:trPr>
        <w:tc>
          <w:tcPr>
            <w:tcW w:w="640" w:type="dxa"/>
            <w:vAlign w:val="bottom"/>
          </w:tcPr>
          <w:p>
            <w:pPr>
              <w:spacing w:after="0" w:line="20" w:lineRule="exact"/>
              <w:rPr>
                <w:sz w:val="1"/>
                <w:szCs w:val="1"/>
                <w:color w:val="auto"/>
              </w:rPr>
            </w:pPr>
          </w:p>
        </w:tc>
        <w:tc>
          <w:tcPr>
            <w:tcW w:w="306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6"/>
        </w:trPr>
        <w:tc>
          <w:tcPr>
            <w:tcW w:w="640" w:type="dxa"/>
            <w:vAlign w:val="bottom"/>
          </w:tcPr>
          <w:p>
            <w:pPr>
              <w:jc w:val="right"/>
              <w:ind w:right="352"/>
              <w:spacing w:after="0"/>
              <w:rPr>
                <w:sz w:val="20"/>
                <w:szCs w:val="20"/>
                <w:color w:val="auto"/>
              </w:rPr>
            </w:pPr>
            <w:r>
              <w:rPr>
                <w:rFonts w:ascii="Times New Roman" w:cs="Times New Roman" w:eastAsia="Times New Roman" w:hAnsi="Times New Roman"/>
                <w:sz w:val="18"/>
                <w:szCs w:val="18"/>
                <w:color w:val="auto"/>
                <w:w w:val="85"/>
              </w:rPr>
              <w:t>(2)</w:t>
            </w:r>
          </w:p>
        </w:tc>
        <w:tc>
          <w:tcPr>
            <w:tcW w:w="778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Consolidated Statements of Operations for the three years ended September 27, 2024</w:t>
            </w:r>
          </w:p>
        </w:tc>
        <w:tc>
          <w:tcPr>
            <w:tcW w:w="2300" w:type="dxa"/>
            <w:vAlign w:val="bottom"/>
            <w:gridSpan w:val="4"/>
          </w:tcPr>
          <w:p>
            <w:pPr>
              <w:ind w:left="940"/>
              <w:spacing w:after="0"/>
              <w:rPr>
                <w:sz w:val="20"/>
                <w:szCs w:val="20"/>
                <w:color w:val="auto"/>
              </w:rPr>
            </w:pP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color w:val="0000FF"/>
              </w:rPr>
              <w:t>40</w:t>
            </w:r>
          </w:p>
        </w:tc>
      </w:tr>
      <w:tr>
        <w:trPr>
          <w:trHeight w:val="20"/>
        </w:trPr>
        <w:tc>
          <w:tcPr>
            <w:tcW w:w="640" w:type="dxa"/>
            <w:vAlign w:val="bottom"/>
          </w:tcPr>
          <w:p>
            <w:pPr>
              <w:spacing w:after="0" w:line="20" w:lineRule="exact"/>
              <w:rPr>
                <w:sz w:val="1"/>
                <w:szCs w:val="1"/>
                <w:color w:val="auto"/>
              </w:rPr>
            </w:pPr>
          </w:p>
        </w:tc>
        <w:tc>
          <w:tcPr>
            <w:tcW w:w="306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6"/>
        </w:trPr>
        <w:tc>
          <w:tcPr>
            <w:tcW w:w="640" w:type="dxa"/>
            <w:vAlign w:val="bottom"/>
          </w:tcPr>
          <w:p>
            <w:pPr>
              <w:jc w:val="right"/>
              <w:ind w:right="352"/>
              <w:spacing w:after="0"/>
              <w:rPr>
                <w:sz w:val="20"/>
                <w:szCs w:val="20"/>
                <w:color w:val="auto"/>
              </w:rPr>
            </w:pPr>
            <w:r>
              <w:rPr>
                <w:rFonts w:ascii="Times New Roman" w:cs="Times New Roman" w:eastAsia="Times New Roman" w:hAnsi="Times New Roman"/>
                <w:sz w:val="18"/>
                <w:szCs w:val="18"/>
                <w:color w:val="auto"/>
                <w:w w:val="85"/>
              </w:rPr>
              <w:t>(3)</w:t>
            </w:r>
          </w:p>
        </w:tc>
        <w:tc>
          <w:tcPr>
            <w:tcW w:w="778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Consolidated Statements of Comprehensive Income for the three years ended September 27, 2024</w:t>
            </w:r>
          </w:p>
        </w:tc>
        <w:tc>
          <w:tcPr>
            <w:tcW w:w="2300" w:type="dxa"/>
            <w:vAlign w:val="bottom"/>
            <w:gridSpan w:val="4"/>
          </w:tcPr>
          <w:p>
            <w:pPr>
              <w:ind w:left="940"/>
              <w:spacing w:after="0"/>
              <w:rPr>
                <w:sz w:val="20"/>
                <w:szCs w:val="20"/>
                <w:color w:val="auto"/>
              </w:rPr>
            </w:pP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color w:val="0000FF"/>
              </w:rPr>
              <w:t>41</w:t>
            </w:r>
          </w:p>
        </w:tc>
      </w:tr>
      <w:tr>
        <w:trPr>
          <w:trHeight w:val="20"/>
        </w:trPr>
        <w:tc>
          <w:tcPr>
            <w:tcW w:w="640" w:type="dxa"/>
            <w:vAlign w:val="bottom"/>
          </w:tcPr>
          <w:p>
            <w:pPr>
              <w:spacing w:after="0" w:line="20" w:lineRule="exact"/>
              <w:rPr>
                <w:sz w:val="1"/>
                <w:szCs w:val="1"/>
                <w:color w:val="auto"/>
              </w:rPr>
            </w:pPr>
          </w:p>
        </w:tc>
        <w:tc>
          <w:tcPr>
            <w:tcW w:w="306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6"/>
        </w:trPr>
        <w:tc>
          <w:tcPr>
            <w:tcW w:w="640" w:type="dxa"/>
            <w:vAlign w:val="bottom"/>
          </w:tcPr>
          <w:p>
            <w:pPr>
              <w:jc w:val="right"/>
              <w:ind w:right="352"/>
              <w:spacing w:after="0"/>
              <w:rPr>
                <w:sz w:val="20"/>
                <w:szCs w:val="20"/>
                <w:color w:val="auto"/>
              </w:rPr>
            </w:pPr>
            <w:r>
              <w:rPr>
                <w:rFonts w:ascii="Times New Roman" w:cs="Times New Roman" w:eastAsia="Times New Roman" w:hAnsi="Times New Roman"/>
                <w:sz w:val="18"/>
                <w:szCs w:val="18"/>
                <w:color w:val="auto"/>
                <w:w w:val="85"/>
              </w:rPr>
              <w:t>(4)</w:t>
            </w:r>
          </w:p>
        </w:tc>
        <w:tc>
          <w:tcPr>
            <w:tcW w:w="684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Consolidated Balance Sheets at September 27, 2024, and September 29, 2023</w:t>
            </w:r>
          </w:p>
        </w:tc>
        <w:tc>
          <w:tcPr>
            <w:tcW w:w="940" w:type="dxa"/>
            <w:vAlign w:val="bottom"/>
          </w:tcPr>
          <w:p>
            <w:pPr>
              <w:spacing w:after="0"/>
              <w:rPr>
                <w:sz w:val="22"/>
                <w:szCs w:val="22"/>
                <w:color w:val="auto"/>
              </w:rPr>
            </w:pPr>
          </w:p>
        </w:tc>
        <w:tc>
          <w:tcPr>
            <w:tcW w:w="2300" w:type="dxa"/>
            <w:vAlign w:val="bottom"/>
            <w:gridSpan w:val="4"/>
          </w:tcPr>
          <w:p>
            <w:pPr>
              <w:ind w:left="940"/>
              <w:spacing w:after="0"/>
              <w:rPr>
                <w:sz w:val="20"/>
                <w:szCs w:val="20"/>
                <w:color w:val="auto"/>
              </w:rPr>
            </w:pP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color w:val="0000FF"/>
              </w:rPr>
              <w:t>42</w:t>
            </w:r>
          </w:p>
        </w:tc>
      </w:tr>
      <w:tr>
        <w:trPr>
          <w:trHeight w:val="20"/>
        </w:trPr>
        <w:tc>
          <w:tcPr>
            <w:tcW w:w="640" w:type="dxa"/>
            <w:vAlign w:val="bottom"/>
          </w:tcPr>
          <w:p>
            <w:pPr>
              <w:spacing w:after="0" w:line="20" w:lineRule="exact"/>
              <w:rPr>
                <w:sz w:val="1"/>
                <w:szCs w:val="1"/>
                <w:color w:val="auto"/>
              </w:rPr>
            </w:pPr>
          </w:p>
        </w:tc>
        <w:tc>
          <w:tcPr>
            <w:tcW w:w="306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6"/>
        </w:trPr>
        <w:tc>
          <w:tcPr>
            <w:tcW w:w="640" w:type="dxa"/>
            <w:vAlign w:val="bottom"/>
          </w:tcPr>
          <w:p>
            <w:pPr>
              <w:jc w:val="right"/>
              <w:ind w:right="352"/>
              <w:spacing w:after="0"/>
              <w:rPr>
                <w:sz w:val="20"/>
                <w:szCs w:val="20"/>
                <w:color w:val="auto"/>
              </w:rPr>
            </w:pPr>
            <w:r>
              <w:rPr>
                <w:rFonts w:ascii="Times New Roman" w:cs="Times New Roman" w:eastAsia="Times New Roman" w:hAnsi="Times New Roman"/>
                <w:sz w:val="18"/>
                <w:szCs w:val="18"/>
                <w:color w:val="auto"/>
                <w:w w:val="85"/>
              </w:rPr>
              <w:t>(5)</w:t>
            </w:r>
          </w:p>
        </w:tc>
        <w:tc>
          <w:tcPr>
            <w:tcW w:w="778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Consolidated Statements of Cash Flows for the three years ended September 27, 2024</w:t>
            </w:r>
          </w:p>
        </w:tc>
        <w:tc>
          <w:tcPr>
            <w:tcW w:w="2300" w:type="dxa"/>
            <w:vAlign w:val="bottom"/>
            <w:gridSpan w:val="4"/>
          </w:tcPr>
          <w:p>
            <w:pPr>
              <w:ind w:left="940"/>
              <w:spacing w:after="0"/>
              <w:rPr>
                <w:sz w:val="20"/>
                <w:szCs w:val="20"/>
                <w:color w:val="auto"/>
              </w:rPr>
            </w:pP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color w:val="0000FF"/>
              </w:rPr>
              <w:t>43</w:t>
            </w:r>
          </w:p>
        </w:tc>
      </w:tr>
      <w:tr>
        <w:trPr>
          <w:trHeight w:val="20"/>
        </w:trPr>
        <w:tc>
          <w:tcPr>
            <w:tcW w:w="640" w:type="dxa"/>
            <w:vAlign w:val="bottom"/>
          </w:tcPr>
          <w:p>
            <w:pPr>
              <w:spacing w:after="0" w:line="20" w:lineRule="exact"/>
              <w:rPr>
                <w:sz w:val="1"/>
                <w:szCs w:val="1"/>
                <w:color w:val="auto"/>
              </w:rPr>
            </w:pPr>
          </w:p>
        </w:tc>
        <w:tc>
          <w:tcPr>
            <w:tcW w:w="3060" w:type="dxa"/>
            <w:vAlign w:val="bottom"/>
            <w:shd w:val="clear" w:color="auto" w:fill="0000FF"/>
          </w:tcPr>
          <w:p>
            <w:pPr>
              <w:spacing w:after="0" w:line="20" w:lineRule="exact"/>
              <w:rPr>
                <w:sz w:val="1"/>
                <w:szCs w:val="1"/>
                <w:color w:val="auto"/>
              </w:rPr>
            </w:pPr>
          </w:p>
        </w:tc>
        <w:tc>
          <w:tcPr>
            <w:tcW w:w="2940" w:type="dxa"/>
            <w:vAlign w:val="bottom"/>
            <w:gridSpan w:val="4"/>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6"/>
        </w:trPr>
        <w:tc>
          <w:tcPr>
            <w:tcW w:w="640" w:type="dxa"/>
            <w:vAlign w:val="bottom"/>
          </w:tcPr>
          <w:p>
            <w:pPr>
              <w:jc w:val="right"/>
              <w:ind w:right="352"/>
              <w:spacing w:after="0"/>
              <w:rPr>
                <w:sz w:val="20"/>
                <w:szCs w:val="20"/>
                <w:color w:val="auto"/>
              </w:rPr>
            </w:pPr>
            <w:r>
              <w:rPr>
                <w:rFonts w:ascii="Times New Roman" w:cs="Times New Roman" w:eastAsia="Times New Roman" w:hAnsi="Times New Roman"/>
                <w:sz w:val="18"/>
                <w:szCs w:val="18"/>
                <w:color w:val="auto"/>
                <w:w w:val="85"/>
              </w:rPr>
              <w:t>(6)</w:t>
            </w:r>
          </w:p>
        </w:tc>
        <w:tc>
          <w:tcPr>
            <w:tcW w:w="778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Consolidated Statements of Stockholders’ Equity for the three years ended September 27, 2024</w:t>
            </w:r>
          </w:p>
        </w:tc>
        <w:tc>
          <w:tcPr>
            <w:tcW w:w="2300" w:type="dxa"/>
            <w:vAlign w:val="bottom"/>
            <w:gridSpan w:val="4"/>
          </w:tcPr>
          <w:p>
            <w:pPr>
              <w:ind w:left="940"/>
              <w:spacing w:after="0"/>
              <w:rPr>
                <w:sz w:val="20"/>
                <w:szCs w:val="20"/>
                <w:color w:val="auto"/>
              </w:rPr>
            </w:pP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color w:val="0000FF"/>
              </w:rPr>
              <w:t>44</w:t>
            </w:r>
          </w:p>
        </w:tc>
      </w:tr>
      <w:tr>
        <w:trPr>
          <w:trHeight w:val="20"/>
        </w:trPr>
        <w:tc>
          <w:tcPr>
            <w:tcW w:w="640" w:type="dxa"/>
            <w:vAlign w:val="bottom"/>
          </w:tcPr>
          <w:p>
            <w:pPr>
              <w:spacing w:after="0" w:line="20" w:lineRule="exact"/>
              <w:rPr>
                <w:sz w:val="1"/>
                <w:szCs w:val="1"/>
                <w:color w:val="auto"/>
              </w:rPr>
            </w:pPr>
          </w:p>
        </w:tc>
        <w:tc>
          <w:tcPr>
            <w:tcW w:w="306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6"/>
        </w:trPr>
        <w:tc>
          <w:tcPr>
            <w:tcW w:w="640" w:type="dxa"/>
            <w:vAlign w:val="bottom"/>
          </w:tcPr>
          <w:p>
            <w:pPr>
              <w:jc w:val="right"/>
              <w:ind w:right="352"/>
              <w:spacing w:after="0"/>
              <w:rPr>
                <w:sz w:val="20"/>
                <w:szCs w:val="20"/>
                <w:color w:val="auto"/>
              </w:rPr>
            </w:pPr>
            <w:r>
              <w:rPr>
                <w:rFonts w:ascii="Times New Roman" w:cs="Times New Roman" w:eastAsia="Times New Roman" w:hAnsi="Times New Roman"/>
                <w:sz w:val="18"/>
                <w:szCs w:val="18"/>
                <w:color w:val="auto"/>
                <w:w w:val="85"/>
              </w:rPr>
              <w:t>(7)</w:t>
            </w:r>
          </w:p>
        </w:tc>
        <w:tc>
          <w:tcPr>
            <w:tcW w:w="3060" w:type="dxa"/>
            <w:vAlign w:val="bottom"/>
          </w:tcPr>
          <w:p>
            <w:pPr>
              <w:spacing w:after="0"/>
              <w:rPr>
                <w:sz w:val="20"/>
                <w:szCs w:val="20"/>
                <w:color w:val="auto"/>
              </w:rPr>
            </w:pPr>
            <w:r>
              <w:rPr>
                <w:rFonts w:ascii="Times New Roman" w:cs="Times New Roman" w:eastAsia="Times New Roman" w:hAnsi="Times New Roman"/>
                <w:sz w:val="18"/>
                <w:szCs w:val="18"/>
                <w:color w:val="0000FF"/>
                <w:w w:val="96"/>
              </w:rPr>
              <w:t>Notes to Consolidated Financial Statements</w:t>
            </w:r>
          </w:p>
        </w:tc>
        <w:tc>
          <w:tcPr>
            <w:tcW w:w="3600" w:type="dxa"/>
            <w:vAlign w:val="bottom"/>
            <w:gridSpan w:val="5"/>
          </w:tcPr>
          <w:p>
            <w:pPr>
              <w:spacing w:after="0"/>
              <w:rPr>
                <w:sz w:val="22"/>
                <w:szCs w:val="22"/>
                <w:color w:val="auto"/>
              </w:rPr>
            </w:pPr>
          </w:p>
        </w:tc>
        <w:tc>
          <w:tcPr>
            <w:tcW w:w="1120" w:type="dxa"/>
            <w:vAlign w:val="bottom"/>
            <w:gridSpan w:val="2"/>
          </w:tcPr>
          <w:p>
            <w:pPr>
              <w:spacing w:after="0"/>
              <w:rPr>
                <w:sz w:val="22"/>
                <w:szCs w:val="22"/>
                <w:color w:val="auto"/>
              </w:rPr>
            </w:pPr>
          </w:p>
        </w:tc>
        <w:tc>
          <w:tcPr>
            <w:tcW w:w="2300" w:type="dxa"/>
            <w:vAlign w:val="bottom"/>
            <w:gridSpan w:val="4"/>
          </w:tcPr>
          <w:p>
            <w:pPr>
              <w:ind w:left="940"/>
              <w:spacing w:after="0"/>
              <w:rPr>
                <w:sz w:val="20"/>
                <w:szCs w:val="20"/>
                <w:color w:val="auto"/>
              </w:rPr>
            </w:pPr>
            <w:r>
              <w:rPr>
                <w:rFonts w:ascii="Times New Roman" w:cs="Times New Roman" w:eastAsia="Times New Roman" w:hAnsi="Times New Roman"/>
                <w:sz w:val="18"/>
                <w:szCs w:val="18"/>
                <w:color w:val="auto"/>
                <w:w w:val="95"/>
              </w:rPr>
              <w:t xml:space="preserve">Page </w:t>
            </w:r>
            <w:r>
              <w:rPr>
                <w:rFonts w:ascii="Times New Roman" w:cs="Times New Roman" w:eastAsia="Times New Roman" w:hAnsi="Times New Roman"/>
                <w:sz w:val="18"/>
                <w:szCs w:val="18"/>
                <w:color w:val="0000FF"/>
                <w:w w:val="95"/>
              </w:rPr>
              <w:t>45</w:t>
            </w:r>
            <w:r>
              <w:rPr>
                <w:rFonts w:ascii="Times New Roman" w:cs="Times New Roman" w:eastAsia="Times New Roman" w:hAnsi="Times New Roman"/>
                <w:sz w:val="18"/>
                <w:szCs w:val="18"/>
                <w:color w:val="auto"/>
                <w:w w:val="95"/>
              </w:rPr>
              <w:t xml:space="preserve"> through </w:t>
            </w:r>
            <w:r>
              <w:rPr>
                <w:rFonts w:ascii="Times New Roman" w:cs="Times New Roman" w:eastAsia="Times New Roman" w:hAnsi="Times New Roman"/>
                <w:sz w:val="18"/>
                <w:szCs w:val="18"/>
                <w:color w:val="0000FF"/>
                <w:w w:val="95"/>
              </w:rPr>
              <w:t>63</w:t>
            </w:r>
          </w:p>
        </w:tc>
      </w:tr>
      <w:tr>
        <w:trPr>
          <w:trHeight w:val="20"/>
        </w:trPr>
        <w:tc>
          <w:tcPr>
            <w:tcW w:w="640" w:type="dxa"/>
            <w:vAlign w:val="bottom"/>
          </w:tcPr>
          <w:p>
            <w:pPr>
              <w:spacing w:after="0" w:line="20" w:lineRule="exact"/>
              <w:rPr>
                <w:sz w:val="1"/>
                <w:szCs w:val="1"/>
                <w:color w:val="auto"/>
              </w:rPr>
            </w:pPr>
          </w:p>
        </w:tc>
        <w:tc>
          <w:tcPr>
            <w:tcW w:w="3060" w:type="dxa"/>
            <w:vAlign w:val="bottom"/>
            <w:shd w:val="clear" w:color="auto" w:fill="0000FF"/>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84455</wp:posOffset>
            </wp:positionV>
            <wp:extent cx="716153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0780"/>
          </w:cols>
          <w:pgMar w:left="320" w:top="125" w:right="79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Board of Directors</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Skyworks Solutions, Inc.:</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Opinions on the Consolidated Financial Statements and Internal Control Over Financial Reporting</w:t>
      </w:r>
    </w:p>
    <w:p>
      <w:pPr>
        <w:spacing w:after="0" w:line="95" w:lineRule="exact"/>
        <w:rPr>
          <w:sz w:val="20"/>
          <w:szCs w:val="20"/>
          <w:color w:val="auto"/>
        </w:rPr>
      </w:pPr>
    </w:p>
    <w:p>
      <w:pPr>
        <w:ind w:right="400"/>
        <w:spacing w:after="0" w:line="248" w:lineRule="auto"/>
        <w:rPr>
          <w:sz w:val="20"/>
          <w:szCs w:val="20"/>
          <w:color w:val="auto"/>
        </w:rPr>
      </w:pPr>
      <w:r>
        <w:rPr>
          <w:rFonts w:ascii="Arial" w:cs="Arial" w:eastAsia="Arial" w:hAnsi="Arial"/>
          <w:sz w:val="18"/>
          <w:szCs w:val="18"/>
          <w:color w:val="auto"/>
        </w:rPr>
        <w:t xml:space="preserve">We have audited the accompanying consolidated balance sheets of Skyworks Solutions, Inc. and subsidiaries (the Company) as of September 27, 2024 and September 29, 2023, the related consolidated statements of operations, comprehensive income, cash flows, and stockholders’ equity for each of the years in the three-year period ended September 27, 2024, and the related notes (collectively, the consolidated financial statements). We also have audited the Company’s internal control over financial reporting as of September 27, 2024,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w:t>
      </w:r>
    </w:p>
    <w:p>
      <w:pPr>
        <w:spacing w:after="0" w:line="148"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 xml:space="preserve">In our opinion, the consolidated financial statements referred to above present fairly, in all material respects, the financial position of the Company as of September 27, 2024 and September 29, 2023, and the results of its operations and its cash flows for each of the years in the three-year period ended September 27, 2024, in conformity with U.S. generally accepted accounting principles. Also in our opinion, the Company maintained, in all material respects, effective internal control over financial reporting as of September 27, 2024 based on criteria established in </w:t>
      </w:r>
      <w:r>
        <w:rPr>
          <w:rFonts w:ascii="Arial" w:cs="Arial" w:eastAsia="Arial" w:hAnsi="Arial"/>
          <w:sz w:val="16"/>
          <w:szCs w:val="16"/>
          <w:i w:val="1"/>
          <w:iCs w:val="1"/>
          <w:color w:val="auto"/>
        </w:rPr>
        <w:t xml:space="preserve">Internal Control – Integrated Framework (2013) </w:t>
      </w:r>
      <w:r>
        <w:rPr>
          <w:rFonts w:ascii="Arial" w:cs="Arial" w:eastAsia="Arial" w:hAnsi="Arial"/>
          <w:sz w:val="16"/>
          <w:szCs w:val="16"/>
          <w:color w:val="auto"/>
        </w:rPr>
        <w:t>issued by the Committee of Sponsoring Organizations of the Treadway Commission.</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for Opinions</w:t>
      </w:r>
    </w:p>
    <w:p>
      <w:pPr>
        <w:spacing w:after="0" w:line="95" w:lineRule="exact"/>
        <w:rPr>
          <w:sz w:val="20"/>
          <w:szCs w:val="20"/>
          <w:color w:val="auto"/>
        </w:rPr>
      </w:pPr>
    </w:p>
    <w:p>
      <w:pPr>
        <w:ind w:right="20"/>
        <w:spacing w:after="0" w:line="248" w:lineRule="auto"/>
        <w:rPr>
          <w:sz w:val="20"/>
          <w:szCs w:val="20"/>
          <w:color w:val="auto"/>
        </w:rPr>
      </w:pPr>
      <w:r>
        <w:rPr>
          <w:rFonts w:ascii="Arial" w:cs="Arial" w:eastAsia="Arial" w:hAnsi="Arial"/>
          <w:sz w:val="18"/>
          <w:szCs w:val="18"/>
          <w:color w:val="auto"/>
        </w:rPr>
        <w:t xml:space="preserve">The Company’s management is responsible for these consolidated financial statements, for maintaining effective internal control over financial reporting, and for its assessment of the effectiveness of internal control over financial reporting, included in the accompanying </w:t>
      </w:r>
      <w:r>
        <w:rPr>
          <w:rFonts w:ascii="Arial" w:cs="Arial" w:eastAsia="Arial" w:hAnsi="Arial"/>
          <w:sz w:val="18"/>
          <w:szCs w:val="18"/>
          <w:i w:val="1"/>
          <w:iCs w:val="1"/>
          <w:color w:val="auto"/>
        </w:rPr>
        <w:t>Management’s</w:t>
      </w:r>
      <w:r>
        <w:rPr>
          <w:rFonts w:ascii="Arial" w:cs="Arial" w:eastAsia="Arial" w:hAnsi="Arial"/>
          <w:sz w:val="18"/>
          <w:szCs w:val="18"/>
          <w:color w:val="auto"/>
        </w:rPr>
        <w:t xml:space="preserve"> </w:t>
      </w:r>
      <w:r>
        <w:rPr>
          <w:rFonts w:ascii="Arial" w:cs="Arial" w:eastAsia="Arial" w:hAnsi="Arial"/>
          <w:sz w:val="18"/>
          <w:szCs w:val="18"/>
          <w:i w:val="1"/>
          <w:iCs w:val="1"/>
          <w:color w:val="auto"/>
        </w:rPr>
        <w:t>Annual Report on Internal Control Over Financial Reporting</w:t>
      </w:r>
      <w:r>
        <w:rPr>
          <w:rFonts w:ascii="Arial" w:cs="Arial" w:eastAsia="Arial" w:hAnsi="Arial"/>
          <w:sz w:val="18"/>
          <w:szCs w:val="18"/>
          <w:color w:val="auto"/>
        </w:rPr>
        <w:t>. Our responsibility is to express an opinion on the Company’s consolidated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statements and an opinion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44" w:lineRule="exact"/>
        <w:rPr>
          <w:sz w:val="20"/>
          <w:szCs w:val="20"/>
          <w:color w:val="auto"/>
        </w:rPr>
      </w:pPr>
    </w:p>
    <w:p>
      <w:pPr>
        <w:jc w:val="both"/>
        <w:ind w:right="40"/>
        <w:spacing w:after="0" w:line="257"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49"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Definition and Limitations of Internal Control Over Financial Reporting</w:t>
      </w:r>
    </w:p>
    <w:p>
      <w:pPr>
        <w:spacing w:after="0" w:line="95" w:lineRule="exact"/>
        <w:rPr>
          <w:sz w:val="20"/>
          <w:szCs w:val="20"/>
          <w:color w:val="auto"/>
        </w:rPr>
      </w:pPr>
    </w:p>
    <w:p>
      <w:pPr>
        <w:ind w:right="140"/>
        <w:spacing w:after="0" w:line="248"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84455</wp:posOffset>
            </wp:positionV>
            <wp:extent cx="716153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ind w:right="300"/>
        <w:spacing w:after="0" w:line="270" w:lineRule="auto"/>
        <w:rPr>
          <w:sz w:val="20"/>
          <w:szCs w:val="20"/>
          <w:color w:val="auto"/>
        </w:rPr>
      </w:pPr>
      <w:r>
        <w:rPr>
          <w:rFonts w:ascii="Arial" w:cs="Arial" w:eastAsia="Arial" w:hAnsi="Arial"/>
          <w:sz w:val="18"/>
          <w:szCs w:val="18"/>
          <w:color w:val="auto"/>
        </w:rPr>
        <w:t>assurance regarding prevention or timely detection of unauthorized acquisition, use, or disposition of the company’s assets that could have a material effect on the financial statements.</w:t>
      </w:r>
    </w:p>
    <w:p>
      <w:pPr>
        <w:spacing w:after="0" w:line="125"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Critical Audit Matter</w:t>
      </w:r>
    </w:p>
    <w:p>
      <w:pPr>
        <w:spacing w:after="0" w:line="82"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34"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Application of tax laws and regulations</w:t>
      </w:r>
    </w:p>
    <w:p>
      <w:pPr>
        <w:spacing w:after="0" w:line="174" w:lineRule="exact"/>
        <w:rPr>
          <w:sz w:val="20"/>
          <w:szCs w:val="20"/>
          <w:color w:val="auto"/>
        </w:rPr>
      </w:pPr>
    </w:p>
    <w:p>
      <w:pPr>
        <w:ind w:left="320" w:right="80"/>
        <w:spacing w:after="0" w:line="250" w:lineRule="auto"/>
        <w:rPr>
          <w:sz w:val="20"/>
          <w:szCs w:val="20"/>
          <w:color w:val="auto"/>
        </w:rPr>
      </w:pPr>
      <w:r>
        <w:rPr>
          <w:rFonts w:ascii="Arial" w:cs="Arial" w:eastAsia="Arial" w:hAnsi="Arial"/>
          <w:sz w:val="18"/>
          <w:szCs w:val="18"/>
          <w:color w:val="auto"/>
        </w:rPr>
        <w:t>As discussed in Note 2 and Note 8 to the consolidated financial statements, the Company recorded an income tax provision of $40.4 million for the year ended September 27, 2024, which is comprised of current and deferred taxes on domestic and foreign income. The application of tax laws and regulations to calculate tax liabilities is subject to legal and factual interpretation, judgment, and uncertainty in a multitude of jurisdictions. Tax laws and regulations themselves are subject to change as a result of changes in fiscal policy, changes in legislation, the evolution of regulations, and court rulings.</w:t>
      </w:r>
    </w:p>
    <w:p>
      <w:pPr>
        <w:spacing w:after="0" w:line="156" w:lineRule="exact"/>
        <w:rPr>
          <w:sz w:val="20"/>
          <w:szCs w:val="20"/>
          <w:color w:val="auto"/>
        </w:rPr>
      </w:pPr>
    </w:p>
    <w:p>
      <w:pPr>
        <w:jc w:val="both"/>
        <w:ind w:left="320"/>
        <w:spacing w:after="0" w:line="257" w:lineRule="auto"/>
        <w:rPr>
          <w:sz w:val="20"/>
          <w:szCs w:val="20"/>
          <w:color w:val="auto"/>
        </w:rPr>
      </w:pPr>
      <w:r>
        <w:rPr>
          <w:rFonts w:ascii="Arial" w:cs="Arial" w:eastAsia="Arial" w:hAnsi="Arial"/>
          <w:sz w:val="18"/>
          <w:szCs w:val="18"/>
          <w:color w:val="auto"/>
        </w:rPr>
        <w:t>We identified the evaluation of the application of tax laws and regulations in certain jurisdictions as a critical audit matter. Challenging auditor judgment and the involvement of tax professionals with specialized skills and knowledge were required due to the Company’s application of the tax laws and regulations within the manually prepared income tax provision.</w:t>
      </w:r>
    </w:p>
    <w:p>
      <w:pPr>
        <w:spacing w:after="0" w:line="136" w:lineRule="exact"/>
        <w:rPr>
          <w:sz w:val="20"/>
          <w:szCs w:val="20"/>
          <w:color w:val="auto"/>
        </w:rPr>
      </w:pPr>
    </w:p>
    <w:p>
      <w:pPr>
        <w:ind w:left="320"/>
        <w:spacing w:after="0" w:line="250" w:lineRule="auto"/>
        <w:rPr>
          <w:sz w:val="20"/>
          <w:szCs w:val="20"/>
          <w:color w:val="auto"/>
        </w:rPr>
      </w:pPr>
      <w:r>
        <w:rPr>
          <w:rFonts w:ascii="Arial" w:cs="Arial" w:eastAsia="Arial" w:hAnsi="Arial"/>
          <w:sz w:val="18"/>
          <w:szCs w:val="18"/>
          <w:color w:val="auto"/>
        </w:rPr>
        <w:t>The following are the primary procedures we performed to address this critical audit matter. We evaluated the design and tested the operating effectiveness of certain internal controls over the Company’s income tax process, including controls relating to the application of the tax laws and regulations. We involved tax professionals with specialized skills and knowledge, who assisted in evaluating the Company’s application of the tax laws and regulations in certain jurisdictions, including the resulting calculations, within the manually prepared income tax provision.</w:t>
      </w:r>
    </w:p>
    <w:p>
      <w:pPr>
        <w:spacing w:after="0" w:line="13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9"/>
          <w:szCs w:val="19"/>
          <w:color w:val="auto"/>
        </w:rPr>
        <w:t>/s/ KPMG LLP</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2002.</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Irvine, California</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November 15, 2024</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84455</wp:posOffset>
            </wp:positionV>
            <wp:extent cx="716153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80"/>
          </w:cols>
          <w:pgMar w:left="320" w:top="126" w:right="39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SKYWORKS SOLUTIONS, INC.</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millions, except per share amounts)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57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Fiscal Years Ended</w:t>
            </w: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5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0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September 27, 2024</w:t>
            </w:r>
          </w:p>
        </w:tc>
        <w:tc>
          <w:tcPr>
            <w:tcW w:w="180" w:type="dxa"/>
            <w:vAlign w:val="bottom"/>
          </w:tcPr>
          <w:p>
            <w:pPr>
              <w:spacing w:after="0"/>
              <w:rPr>
                <w:sz w:val="17"/>
                <w:szCs w:val="17"/>
                <w:color w:val="auto"/>
              </w:rPr>
            </w:pPr>
          </w:p>
        </w:tc>
        <w:tc>
          <w:tcPr>
            <w:tcW w:w="170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September 29, 2023</w:t>
            </w:r>
          </w:p>
        </w:tc>
        <w:tc>
          <w:tcPr>
            <w:tcW w:w="160" w:type="dxa"/>
            <w:vAlign w:val="bottom"/>
          </w:tcPr>
          <w:p>
            <w:pPr>
              <w:spacing w:after="0"/>
              <w:rPr>
                <w:sz w:val="17"/>
                <w:szCs w:val="17"/>
                <w:color w:val="auto"/>
              </w:rPr>
            </w:pPr>
          </w:p>
        </w:tc>
        <w:tc>
          <w:tcPr>
            <w:tcW w:w="1600" w:type="dxa"/>
            <w:vAlign w:val="bottom"/>
          </w:tcPr>
          <w:p>
            <w:pPr>
              <w:jc w:val="right"/>
              <w:ind w:right="133"/>
              <w:spacing w:after="0"/>
              <w:rPr>
                <w:sz w:val="20"/>
                <w:szCs w:val="20"/>
                <w:color w:val="auto"/>
              </w:rPr>
            </w:pPr>
            <w:r>
              <w:rPr>
                <w:rFonts w:ascii="Times New Roman" w:cs="Times New Roman" w:eastAsia="Times New Roman" w:hAnsi="Times New Roman"/>
                <w:sz w:val="16"/>
                <w:szCs w:val="16"/>
                <w:b w:val="1"/>
                <w:bCs w:val="1"/>
                <w:color w:val="auto"/>
              </w:rPr>
              <w:t>September 30, 2022</w:t>
            </w:r>
          </w:p>
        </w:tc>
        <w:tc>
          <w:tcPr>
            <w:tcW w:w="0" w:type="dxa"/>
            <w:vAlign w:val="bottom"/>
          </w:tcPr>
          <w:p>
            <w:pPr>
              <w:spacing w:after="0"/>
              <w:rPr>
                <w:sz w:val="1"/>
                <w:szCs w:val="1"/>
                <w:color w:val="auto"/>
              </w:rPr>
            </w:pPr>
          </w:p>
        </w:tc>
      </w:tr>
      <w:tr>
        <w:trPr>
          <w:trHeight w:val="217"/>
        </w:trPr>
        <w:tc>
          <w:tcPr>
            <w:tcW w:w="5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4,178.0</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4,772.4</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5,485.5</w:t>
            </w:r>
          </w:p>
        </w:tc>
        <w:tc>
          <w:tcPr>
            <w:tcW w:w="0" w:type="dxa"/>
            <w:vAlign w:val="bottom"/>
          </w:tcPr>
          <w:p>
            <w:pPr>
              <w:spacing w:after="0"/>
              <w:rPr>
                <w:sz w:val="1"/>
                <w:szCs w:val="1"/>
                <w:color w:val="auto"/>
              </w:rPr>
            </w:pPr>
          </w:p>
        </w:tc>
      </w:tr>
      <w:tr>
        <w:trPr>
          <w:trHeight w:val="223"/>
        </w:trPr>
        <w:tc>
          <w:tcPr>
            <w:tcW w:w="5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16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2,457.2</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2,665.1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2,881.2</w:t>
            </w: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6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1,720.8</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2,107.3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2,604.3</w:t>
            </w:r>
          </w:p>
        </w:tc>
        <w:tc>
          <w:tcPr>
            <w:tcW w:w="0" w:type="dxa"/>
            <w:vAlign w:val="bottom"/>
          </w:tcPr>
          <w:p>
            <w:pPr>
              <w:spacing w:after="0"/>
              <w:rPr>
                <w:sz w:val="1"/>
                <w:szCs w:val="1"/>
                <w:color w:val="auto"/>
              </w:rPr>
            </w:pPr>
          </w:p>
        </w:tc>
      </w:tr>
      <w:tr>
        <w:trPr>
          <w:trHeight w:val="223"/>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6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631.7</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617.9</w:t>
            </w:r>
          </w:p>
        </w:tc>
        <w:tc>
          <w:tcPr>
            <w:tcW w:w="0" w:type="dxa"/>
            <w:vAlign w:val="bottom"/>
          </w:tcPr>
          <w:p>
            <w:pPr>
              <w:spacing w:after="0"/>
              <w:rPr>
                <w:sz w:val="1"/>
                <w:szCs w:val="1"/>
                <w:color w:val="auto"/>
              </w:rPr>
            </w:pPr>
          </w:p>
        </w:tc>
      </w:tr>
      <w:tr>
        <w:trPr>
          <w:trHeight w:val="223"/>
        </w:trPr>
        <w:tc>
          <w:tcPr>
            <w:tcW w:w="57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300.8</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329.8</w:t>
            </w:r>
          </w:p>
        </w:tc>
        <w:tc>
          <w:tcPr>
            <w:tcW w:w="0" w:type="dxa"/>
            <w:vAlign w:val="bottom"/>
          </w:tcPr>
          <w:p>
            <w:pPr>
              <w:spacing w:after="0"/>
              <w:rPr>
                <w:sz w:val="1"/>
                <w:szCs w:val="1"/>
                <w:color w:val="auto"/>
              </w:rPr>
            </w:pPr>
          </w:p>
        </w:tc>
      </w:tr>
      <w:tr>
        <w:trPr>
          <w:trHeight w:val="223"/>
        </w:trPr>
        <w:tc>
          <w:tcPr>
            <w:tcW w:w="5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98.9</w:t>
            </w:r>
          </w:p>
        </w:tc>
        <w:tc>
          <w:tcPr>
            <w:tcW w:w="0" w:type="dxa"/>
            <w:vAlign w:val="bottom"/>
          </w:tcPr>
          <w:p>
            <w:pPr>
              <w:spacing w:after="0"/>
              <w:rPr>
                <w:sz w:val="1"/>
                <w:szCs w:val="1"/>
                <w:color w:val="auto"/>
              </w:rPr>
            </w:pPr>
          </w:p>
        </w:tc>
      </w:tr>
      <w:tr>
        <w:trPr>
          <w:trHeight w:val="223"/>
        </w:trPr>
        <w:tc>
          <w:tcPr>
            <w:tcW w:w="57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Impairment, restructuring, and other charges</w:t>
            </w:r>
          </w:p>
        </w:tc>
        <w:tc>
          <w:tcPr>
            <w:tcW w:w="16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6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1,083.4</w:t>
            </w: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982.3</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1,077.3</w:t>
            </w:r>
          </w:p>
        </w:tc>
        <w:tc>
          <w:tcPr>
            <w:tcW w:w="0" w:type="dxa"/>
            <w:vAlign w:val="bottom"/>
          </w:tcPr>
          <w:p>
            <w:pPr>
              <w:spacing w:after="0"/>
              <w:rPr>
                <w:sz w:val="1"/>
                <w:szCs w:val="1"/>
                <w:color w:val="auto"/>
              </w:rPr>
            </w:pPr>
          </w:p>
        </w:tc>
      </w:tr>
      <w:tr>
        <w:trPr>
          <w:trHeight w:val="216"/>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1,125.0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1,527.0</w:t>
            </w:r>
          </w:p>
        </w:tc>
        <w:tc>
          <w:tcPr>
            <w:tcW w:w="0" w:type="dxa"/>
            <w:vAlign w:val="bottom"/>
          </w:tcPr>
          <w:p>
            <w:pPr>
              <w:spacing w:after="0"/>
              <w:rPr>
                <w:sz w:val="1"/>
                <w:szCs w:val="1"/>
                <w:color w:val="auto"/>
              </w:rPr>
            </w:pPr>
          </w:p>
        </w:tc>
      </w:tr>
      <w:tr>
        <w:trPr>
          <w:trHeight w:val="223"/>
        </w:trPr>
        <w:tc>
          <w:tcPr>
            <w:tcW w:w="57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Interest expense</w:t>
            </w: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w:t>
            </w:r>
          </w:p>
        </w:tc>
        <w:tc>
          <w:tcPr>
            <w:tcW w:w="0" w:type="dxa"/>
            <w:vAlign w:val="bottom"/>
          </w:tcPr>
          <w:p>
            <w:pPr>
              <w:spacing w:after="0"/>
              <w:rPr>
                <w:sz w:val="1"/>
                <w:szCs w:val="1"/>
                <w:color w:val="auto"/>
              </w:rPr>
            </w:pPr>
          </w:p>
        </w:tc>
      </w:tr>
      <w:tr>
        <w:trPr>
          <w:trHeight w:val="223"/>
        </w:trPr>
        <w:tc>
          <w:tcPr>
            <w:tcW w:w="57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6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6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636.4</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1,078.8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1,476.6</w:t>
            </w:r>
          </w:p>
        </w:tc>
        <w:tc>
          <w:tcPr>
            <w:tcW w:w="0" w:type="dxa"/>
            <w:vAlign w:val="bottom"/>
          </w:tcPr>
          <w:p>
            <w:pPr>
              <w:spacing w:after="0"/>
              <w:rPr>
                <w:sz w:val="1"/>
                <w:szCs w:val="1"/>
                <w:color w:val="auto"/>
              </w:rPr>
            </w:pPr>
          </w:p>
        </w:tc>
      </w:tr>
      <w:tr>
        <w:trPr>
          <w:trHeight w:val="223"/>
        </w:trPr>
        <w:tc>
          <w:tcPr>
            <w:tcW w:w="5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6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201.4</w:t>
            </w:r>
          </w:p>
        </w:tc>
        <w:tc>
          <w:tcPr>
            <w:tcW w:w="0" w:type="dxa"/>
            <w:vAlign w:val="bottom"/>
          </w:tcPr>
          <w:p>
            <w:pPr>
              <w:spacing w:after="0"/>
              <w:rPr>
                <w:sz w:val="1"/>
                <w:szCs w:val="1"/>
                <w:color w:val="auto"/>
              </w:rPr>
            </w:pPr>
          </w:p>
        </w:tc>
      </w:tr>
      <w:tr>
        <w:trPr>
          <w:trHeight w:val="241"/>
        </w:trPr>
        <w:tc>
          <w:tcPr>
            <w:tcW w:w="5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596.0</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982.8</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1,275.2</w:t>
            </w:r>
          </w:p>
        </w:tc>
        <w:tc>
          <w:tcPr>
            <w:tcW w:w="0" w:type="dxa"/>
            <w:vAlign w:val="bottom"/>
          </w:tcPr>
          <w:p>
            <w:pPr>
              <w:spacing w:after="0"/>
              <w:rPr>
                <w:sz w:val="1"/>
                <w:szCs w:val="1"/>
                <w:color w:val="auto"/>
              </w:rPr>
            </w:pPr>
          </w:p>
        </w:tc>
      </w:tr>
      <w:tr>
        <w:trPr>
          <w:trHeight w:val="20"/>
        </w:trPr>
        <w:tc>
          <w:tcPr>
            <w:tcW w:w="57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Earnings per share:</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57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8"/>
        </w:trPr>
        <w:tc>
          <w:tcPr>
            <w:tcW w:w="57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w:t>
            </w:r>
          </w:p>
        </w:tc>
        <w:tc>
          <w:tcPr>
            <w:tcW w:w="0" w:type="dxa"/>
            <w:vAlign w:val="bottom"/>
          </w:tcPr>
          <w:p>
            <w:pPr>
              <w:spacing w:after="0"/>
              <w:rPr>
                <w:sz w:val="1"/>
                <w:szCs w:val="1"/>
                <w:color w:val="auto"/>
              </w:rPr>
            </w:pP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740" w:type="dxa"/>
            <w:vAlign w:val="bottom"/>
          </w:tcPr>
          <w:p>
            <w:pPr>
              <w:ind w:left="220"/>
              <w:spacing w:after="0" w:line="195" w:lineRule="exact"/>
              <w:rPr>
                <w:sz w:val="20"/>
                <w:szCs w:val="20"/>
                <w:color w:val="auto"/>
              </w:rPr>
            </w:pPr>
            <w:r>
              <w:rPr>
                <w:rFonts w:ascii="Times New Roman" w:cs="Times New Roman" w:eastAsia="Times New Roman" w:hAnsi="Times New Roman"/>
                <w:sz w:val="18"/>
                <w:szCs w:val="18"/>
                <w:color w:val="auto"/>
              </w:rPr>
              <w:t>Diluted</w:t>
            </w:r>
          </w:p>
        </w:tc>
        <w:tc>
          <w:tcPr>
            <w:tcW w:w="160" w:type="dxa"/>
            <w:vAlign w:val="bottom"/>
            <w:tcBorders>
              <w:bottom w:val="single" w:sz="8" w:color="auto"/>
            </w:tcBorders>
          </w:tcPr>
          <w:p>
            <w:pPr>
              <w:jc w:val="right"/>
              <w:spacing w:after="0" w:line="195" w:lineRule="exact"/>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tcPr>
          <w:p>
            <w:pPr>
              <w:jc w:val="right"/>
              <w:spacing w:after="0" w:line="195" w:lineRule="exact"/>
              <w:rPr>
                <w:sz w:val="20"/>
                <w:szCs w:val="20"/>
                <w:color w:val="auto"/>
              </w:rPr>
            </w:pPr>
            <w:r>
              <w:rPr>
                <w:rFonts w:ascii="Times New Roman" w:cs="Times New Roman" w:eastAsia="Times New Roman" w:hAnsi="Times New Roman"/>
                <w:sz w:val="18"/>
                <w:szCs w:val="18"/>
                <w:color w:val="auto"/>
              </w:rPr>
              <w:t>3.69</w:t>
            </w:r>
          </w:p>
        </w:tc>
        <w:tc>
          <w:tcPr>
            <w:tcW w:w="80" w:type="dxa"/>
            <w:vAlign w:val="bottom"/>
          </w:tcPr>
          <w:p>
            <w:pPr>
              <w:spacing w:after="0"/>
              <w:rPr>
                <w:sz w:val="17"/>
                <w:szCs w:val="17"/>
                <w:color w:val="auto"/>
              </w:rPr>
            </w:pPr>
          </w:p>
        </w:tc>
        <w:tc>
          <w:tcPr>
            <w:tcW w:w="180" w:type="dxa"/>
            <w:vAlign w:val="bottom"/>
            <w:tcBorders>
              <w:bottom w:val="single" w:sz="8" w:color="auto"/>
            </w:tcBorders>
          </w:tcPr>
          <w:p>
            <w:pPr>
              <w:jc w:val="right"/>
              <w:spacing w:after="0" w:line="195" w:lineRule="exact"/>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auto"/>
            </w:tcBorders>
          </w:tcPr>
          <w:p>
            <w:pPr>
              <w:jc w:val="right"/>
              <w:spacing w:after="0" w:line="195" w:lineRule="exact"/>
              <w:rPr>
                <w:sz w:val="20"/>
                <w:szCs w:val="20"/>
                <w:color w:val="auto"/>
              </w:rPr>
            </w:pPr>
            <w:r>
              <w:rPr>
                <w:rFonts w:ascii="Times New Roman" w:cs="Times New Roman" w:eastAsia="Times New Roman" w:hAnsi="Times New Roman"/>
                <w:sz w:val="18"/>
                <w:szCs w:val="18"/>
                <w:color w:val="auto"/>
              </w:rPr>
              <w:t>6.13</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line="195" w:lineRule="exact"/>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tcPr>
          <w:p>
            <w:pPr>
              <w:jc w:val="right"/>
              <w:spacing w:after="0" w:line="195" w:lineRule="exact"/>
              <w:rPr>
                <w:sz w:val="20"/>
                <w:szCs w:val="20"/>
                <w:color w:val="auto"/>
              </w:rPr>
            </w:pPr>
            <w:r>
              <w:rPr>
                <w:rFonts w:ascii="Times New Roman" w:cs="Times New Roman" w:eastAsia="Times New Roman" w:hAnsi="Times New Roman"/>
                <w:sz w:val="18"/>
                <w:szCs w:val="18"/>
                <w:color w:val="auto"/>
              </w:rPr>
              <w:t>7.81</w:t>
            </w:r>
          </w:p>
        </w:tc>
        <w:tc>
          <w:tcPr>
            <w:tcW w:w="0" w:type="dxa"/>
            <w:vAlign w:val="bottom"/>
          </w:tcPr>
          <w:p>
            <w:pPr>
              <w:spacing w:after="0"/>
              <w:rPr>
                <w:sz w:val="1"/>
                <w:szCs w:val="1"/>
                <w:color w:val="auto"/>
              </w:rPr>
            </w:pPr>
          </w:p>
        </w:tc>
      </w:tr>
      <w:tr>
        <w:trPr>
          <w:trHeight w:val="20"/>
        </w:trPr>
        <w:tc>
          <w:tcPr>
            <w:tcW w:w="57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574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Weighted average shares:</w:t>
            </w:r>
          </w:p>
        </w:tc>
        <w:tc>
          <w:tcPr>
            <w:tcW w:w="160" w:type="dxa"/>
            <w:vAlign w:val="bottom"/>
            <w:shd w:val="clear" w:color="auto" w:fill="CCEEFF"/>
          </w:tcPr>
          <w:p>
            <w:pPr>
              <w:spacing w:after="0"/>
              <w:rPr>
                <w:sz w:val="16"/>
                <w:szCs w:val="16"/>
                <w:color w:val="auto"/>
              </w:rPr>
            </w:pPr>
          </w:p>
        </w:tc>
        <w:tc>
          <w:tcPr>
            <w:tcW w:w="1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57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Basic</w:t>
            </w: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162.4</w:t>
            </w:r>
          </w:p>
        </w:tc>
        <w:tc>
          <w:tcPr>
            <w:tcW w:w="0" w:type="dxa"/>
            <w:vAlign w:val="bottom"/>
          </w:tcPr>
          <w:p>
            <w:pPr>
              <w:spacing w:after="0"/>
              <w:rPr>
                <w:sz w:val="1"/>
                <w:szCs w:val="1"/>
                <w:color w:val="auto"/>
              </w:rPr>
            </w:pPr>
          </w:p>
        </w:tc>
      </w:tr>
      <w:tr>
        <w:trPr>
          <w:trHeight w:val="223"/>
        </w:trPr>
        <w:tc>
          <w:tcPr>
            <w:tcW w:w="5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Diluted</w:t>
            </w: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161.5</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163.3</w:t>
            </w:r>
          </w:p>
        </w:tc>
        <w:tc>
          <w:tcPr>
            <w:tcW w:w="0" w:type="dxa"/>
            <w:vAlign w:val="bottom"/>
          </w:tcPr>
          <w:p>
            <w:pPr>
              <w:spacing w:after="0"/>
              <w:rPr>
                <w:sz w:val="1"/>
                <w:szCs w:val="1"/>
                <w:color w:val="auto"/>
              </w:rPr>
            </w:pPr>
          </w:p>
        </w:tc>
      </w:tr>
    </w:tbl>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84455</wp:posOffset>
            </wp:positionV>
            <wp:extent cx="716153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SKYWORKS SOLUTIONS, INC.</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millions)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57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Fiscal Years Ended</w:t>
            </w: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spacing w:after="0"/>
              <w:rPr>
                <w:sz w:val="18"/>
                <w:szCs w:val="18"/>
                <w:color w:val="auto"/>
              </w:rPr>
            </w:pPr>
          </w:p>
        </w:tc>
      </w:tr>
      <w:tr>
        <w:trPr>
          <w:trHeight w:val="205"/>
        </w:trPr>
        <w:tc>
          <w:tcPr>
            <w:tcW w:w="5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0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September 27, 2024</w:t>
            </w:r>
          </w:p>
        </w:tc>
        <w:tc>
          <w:tcPr>
            <w:tcW w:w="180" w:type="dxa"/>
            <w:vAlign w:val="bottom"/>
          </w:tcPr>
          <w:p>
            <w:pPr>
              <w:spacing w:after="0"/>
              <w:rPr>
                <w:sz w:val="17"/>
                <w:szCs w:val="17"/>
                <w:color w:val="auto"/>
              </w:rPr>
            </w:pPr>
          </w:p>
        </w:tc>
        <w:tc>
          <w:tcPr>
            <w:tcW w:w="170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September 29, 2023</w:t>
            </w:r>
          </w:p>
        </w:tc>
        <w:tc>
          <w:tcPr>
            <w:tcW w:w="160" w:type="dxa"/>
            <w:vAlign w:val="bottom"/>
          </w:tcPr>
          <w:p>
            <w:pPr>
              <w:spacing w:after="0"/>
              <w:rPr>
                <w:sz w:val="17"/>
                <w:szCs w:val="17"/>
                <w:color w:val="auto"/>
              </w:rPr>
            </w:pPr>
          </w:p>
        </w:tc>
        <w:tc>
          <w:tcPr>
            <w:tcW w:w="1600" w:type="dxa"/>
            <w:vAlign w:val="bottom"/>
          </w:tcPr>
          <w:p>
            <w:pPr>
              <w:jc w:val="right"/>
              <w:ind w:right="134"/>
              <w:spacing w:after="0"/>
              <w:rPr>
                <w:sz w:val="20"/>
                <w:szCs w:val="20"/>
                <w:color w:val="auto"/>
              </w:rPr>
            </w:pPr>
            <w:r>
              <w:rPr>
                <w:rFonts w:ascii="Times New Roman" w:cs="Times New Roman" w:eastAsia="Times New Roman" w:hAnsi="Times New Roman"/>
                <w:sz w:val="16"/>
                <w:szCs w:val="16"/>
                <w:b w:val="1"/>
                <w:bCs w:val="1"/>
                <w:color w:val="auto"/>
              </w:rPr>
              <w:t>September 30, 2022</w:t>
            </w:r>
          </w:p>
        </w:tc>
      </w:tr>
      <w:tr>
        <w:trPr>
          <w:trHeight w:val="217"/>
        </w:trPr>
        <w:tc>
          <w:tcPr>
            <w:tcW w:w="5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596.0</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982.8</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1,275.2</w:t>
            </w:r>
          </w:p>
        </w:tc>
      </w:tr>
      <w:tr>
        <w:trPr>
          <w:trHeight w:val="223"/>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16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223"/>
        </w:trPr>
        <w:tc>
          <w:tcPr>
            <w:tcW w:w="57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Fair value of investments</w:t>
            </w: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23"/>
        </w:trPr>
        <w:tc>
          <w:tcPr>
            <w:tcW w:w="57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Pension adjustments</w:t>
            </w:r>
          </w:p>
        </w:tc>
        <w:tc>
          <w:tcPr>
            <w:tcW w:w="16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41"/>
        </w:trPr>
        <w:tc>
          <w:tcPr>
            <w:tcW w:w="5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596.0</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982.0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1,278.3</w:t>
            </w: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84455</wp:posOffset>
            </wp:positionV>
            <wp:extent cx="716153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SKYWORKS SOLUTIONS, INC.</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millions, except per share amounts)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76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As of</w:t>
            </w:r>
          </w:p>
        </w:tc>
        <w:tc>
          <w:tcPr>
            <w:tcW w:w="1600" w:type="dxa"/>
            <w:vAlign w:val="bottom"/>
            <w:tcBorders>
              <w:bottom w:val="single" w:sz="8" w:color="auto"/>
            </w:tcBorders>
          </w:tcPr>
          <w:p>
            <w:pPr>
              <w:spacing w:after="0"/>
              <w:rPr>
                <w:sz w:val="18"/>
                <w:szCs w:val="18"/>
                <w:color w:val="auto"/>
              </w:rPr>
            </w:pPr>
          </w:p>
        </w:tc>
      </w:tr>
      <w:tr>
        <w:trPr>
          <w:trHeight w:val="205"/>
        </w:trPr>
        <w:tc>
          <w:tcPr>
            <w:tcW w:w="7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0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September 27, 2024</w:t>
            </w:r>
          </w:p>
        </w:tc>
        <w:tc>
          <w:tcPr>
            <w:tcW w:w="160" w:type="dxa"/>
            <w:vAlign w:val="bottom"/>
          </w:tcPr>
          <w:p>
            <w:pPr>
              <w:spacing w:after="0"/>
              <w:rPr>
                <w:sz w:val="17"/>
                <w:szCs w:val="17"/>
                <w:color w:val="auto"/>
              </w:rPr>
            </w:pPr>
          </w:p>
        </w:tc>
        <w:tc>
          <w:tcPr>
            <w:tcW w:w="1600" w:type="dxa"/>
            <w:vAlign w:val="bottom"/>
          </w:tcPr>
          <w:p>
            <w:pPr>
              <w:jc w:val="right"/>
              <w:ind w:right="133"/>
              <w:spacing w:after="0"/>
              <w:rPr>
                <w:sz w:val="20"/>
                <w:szCs w:val="20"/>
                <w:color w:val="auto"/>
              </w:rPr>
            </w:pPr>
            <w:r>
              <w:rPr>
                <w:rFonts w:ascii="Times New Roman" w:cs="Times New Roman" w:eastAsia="Times New Roman" w:hAnsi="Times New Roman"/>
                <w:sz w:val="16"/>
                <w:szCs w:val="16"/>
                <w:b w:val="1"/>
                <w:bCs w:val="1"/>
                <w:color w:val="auto"/>
              </w:rPr>
              <w:t>September 29, 2023</w:t>
            </w:r>
          </w:p>
        </w:tc>
      </w:tr>
      <w:tr>
        <w:trPr>
          <w:trHeight w:val="204"/>
        </w:trPr>
        <w:tc>
          <w:tcPr>
            <w:tcW w:w="7600" w:type="dxa"/>
            <w:vAlign w:val="bottom"/>
            <w:tcBorders>
              <w:top w:val="single" w:sz="8" w:color="CCEEFF"/>
            </w:tcBorders>
            <w:shd w:val="clear" w:color="auto" w:fill="CCEEFF"/>
          </w:tcPr>
          <w:p>
            <w:pPr>
              <w:ind w:left="20"/>
              <w:spacing w:after="0" w:line="204" w:lineRule="exact"/>
              <w:rPr>
                <w:sz w:val="20"/>
                <w:szCs w:val="20"/>
                <w:color w:val="auto"/>
              </w:rPr>
            </w:pPr>
            <w:r>
              <w:rPr>
                <w:rFonts w:ascii="Times New Roman" w:cs="Times New Roman" w:eastAsia="Times New Roman" w:hAnsi="Times New Roman"/>
                <w:sz w:val="18"/>
                <w:szCs w:val="18"/>
                <w:b w:val="1"/>
                <w:bCs w:val="1"/>
                <w:color w:val="auto"/>
              </w:rPr>
              <w:t>ASSETS</w:t>
            </w:r>
          </w:p>
        </w:tc>
        <w:tc>
          <w:tcPr>
            <w:tcW w:w="180" w:type="dxa"/>
            <w:vAlign w:val="bottom"/>
            <w:tcBorders>
              <w:top w:val="single" w:sz="8" w:color="auto"/>
            </w:tcBorders>
            <w:shd w:val="clear" w:color="auto" w:fill="CCEEFF"/>
          </w:tcPr>
          <w:p>
            <w:pPr>
              <w:spacing w:after="0"/>
              <w:rPr>
                <w:sz w:val="17"/>
                <w:szCs w:val="17"/>
                <w:color w:val="auto"/>
              </w:rPr>
            </w:pPr>
          </w:p>
        </w:tc>
        <w:tc>
          <w:tcPr>
            <w:tcW w:w="16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600" w:type="dxa"/>
            <w:vAlign w:val="bottom"/>
            <w:tcBorders>
              <w:top w:val="single" w:sz="8" w:color="auto"/>
            </w:tcBorders>
            <w:shd w:val="clear" w:color="auto" w:fill="CCEEFF"/>
          </w:tcPr>
          <w:p>
            <w:pPr>
              <w:spacing w:after="0"/>
              <w:rPr>
                <w:sz w:val="17"/>
                <w:szCs w:val="17"/>
                <w:color w:val="auto"/>
              </w:rPr>
            </w:pPr>
          </w:p>
        </w:tc>
      </w:tr>
      <w:tr>
        <w:trPr>
          <w:trHeight w:val="223"/>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1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223"/>
        </w:trPr>
        <w:tc>
          <w:tcPr>
            <w:tcW w:w="7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1,368.6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718.8</w:t>
            </w:r>
          </w:p>
        </w:tc>
      </w:tr>
      <w:tr>
        <w:trPr>
          <w:trHeight w:val="223"/>
        </w:trPr>
        <w:tc>
          <w:tcPr>
            <w:tcW w:w="7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Marketable securities</w:t>
            </w: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r>
      <w:tr>
        <w:trPr>
          <w:trHeight w:val="223"/>
        </w:trPr>
        <w:tc>
          <w:tcPr>
            <w:tcW w:w="7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Receivables, net of allowances of $0.9 and $0.8, respectively</w:t>
            </w: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864.3</w:t>
            </w:r>
          </w:p>
        </w:tc>
      </w:tr>
      <w:tr>
        <w:trPr>
          <w:trHeight w:val="223"/>
        </w:trPr>
        <w:tc>
          <w:tcPr>
            <w:tcW w:w="7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Inventory</w:t>
            </w: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784.8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1,119.7</w:t>
            </w:r>
          </w:p>
        </w:tc>
      </w:tr>
      <w:tr>
        <w:trPr>
          <w:trHeight w:val="223"/>
        </w:trPr>
        <w:tc>
          <w:tcPr>
            <w:tcW w:w="7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current assets</w:t>
            </w:r>
          </w:p>
        </w:tc>
        <w:tc>
          <w:tcPr>
            <w:tcW w:w="18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484.7</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461.1</w:t>
            </w:r>
          </w:p>
        </w:tc>
      </w:tr>
      <w:tr>
        <w:trPr>
          <w:trHeight w:val="216"/>
        </w:trPr>
        <w:tc>
          <w:tcPr>
            <w:tcW w:w="76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 current assets</w:t>
            </w:r>
          </w:p>
        </w:tc>
        <w:tc>
          <w:tcPr>
            <w:tcW w:w="1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3,341.0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3,179.5</w:t>
            </w:r>
          </w:p>
        </w:tc>
      </w:tr>
      <w:tr>
        <w:trPr>
          <w:trHeight w:val="223"/>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1,280.3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1,390.1</w:t>
            </w:r>
          </w:p>
        </w:tc>
      </w:tr>
      <w:tr>
        <w:trPr>
          <w:trHeight w:val="223"/>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205.4</w:t>
            </w:r>
          </w:p>
        </w:tc>
      </w:tr>
      <w:tr>
        <w:trPr>
          <w:trHeight w:val="223"/>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2,176.7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2,176.7</w:t>
            </w:r>
          </w:p>
        </w:tc>
      </w:tr>
      <w:tr>
        <w:trPr>
          <w:trHeight w:val="223"/>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1,222.1</w:t>
            </w:r>
          </w:p>
        </w:tc>
      </w:tr>
      <w:tr>
        <w:trPr>
          <w:trHeight w:val="223"/>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assets, net</w:t>
            </w: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192.3</w:t>
            </w:r>
          </w:p>
        </w:tc>
      </w:tr>
      <w:tr>
        <w:trPr>
          <w:trHeight w:val="223"/>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Marketable securities</w:t>
            </w: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23"/>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long-term assets</w:t>
            </w:r>
          </w:p>
        </w:tc>
        <w:tc>
          <w:tcPr>
            <w:tcW w:w="18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w:t>
            </w:r>
          </w:p>
        </w:tc>
      </w:tr>
      <w:tr>
        <w:trPr>
          <w:trHeight w:val="216"/>
        </w:trPr>
        <w:tc>
          <w:tcPr>
            <w:tcW w:w="76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 assets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8,283.3</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8,426.7</w:t>
            </w:r>
          </w:p>
        </w:tc>
      </w:tr>
      <w:tr>
        <w:trPr>
          <w:trHeight w:val="20"/>
        </w:trPr>
        <w:tc>
          <w:tcPr>
            <w:tcW w:w="76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r>
        <w:trPr>
          <w:trHeight w:val="189"/>
        </w:trPr>
        <w:tc>
          <w:tcPr>
            <w:tcW w:w="760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80" w:type="dxa"/>
            <w:vAlign w:val="bottom"/>
            <w:shd w:val="clear" w:color="auto" w:fill="CCEEFF"/>
          </w:tcPr>
          <w:p>
            <w:pPr>
              <w:spacing w:after="0"/>
              <w:rPr>
                <w:sz w:val="16"/>
                <w:szCs w:val="16"/>
                <w:color w:val="auto"/>
              </w:rPr>
            </w:pPr>
          </w:p>
        </w:tc>
        <w:tc>
          <w:tcPr>
            <w:tcW w:w="1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0" w:type="dxa"/>
            <w:vAlign w:val="bottom"/>
            <w:shd w:val="clear" w:color="auto" w:fill="CCEEFF"/>
          </w:tcPr>
          <w:p>
            <w:pPr>
              <w:spacing w:after="0"/>
              <w:rPr>
                <w:sz w:val="16"/>
                <w:szCs w:val="16"/>
                <w:color w:val="auto"/>
              </w:rPr>
            </w:pPr>
          </w:p>
        </w:tc>
      </w:tr>
      <w:tr>
        <w:trPr>
          <w:trHeight w:val="223"/>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1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223"/>
        </w:trPr>
        <w:tc>
          <w:tcPr>
            <w:tcW w:w="7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Accounts payable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159.2</w:t>
            </w:r>
          </w:p>
        </w:tc>
      </w:tr>
      <w:tr>
        <w:trPr>
          <w:trHeight w:val="223"/>
        </w:trPr>
        <w:tc>
          <w:tcPr>
            <w:tcW w:w="7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Accrued compensation and benefits</w:t>
            </w: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94.3</w:t>
            </w:r>
          </w:p>
        </w:tc>
      </w:tr>
      <w:tr>
        <w:trPr>
          <w:trHeight w:val="223"/>
        </w:trPr>
        <w:tc>
          <w:tcPr>
            <w:tcW w:w="7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18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299.4</w:t>
            </w:r>
          </w:p>
        </w:tc>
      </w:tr>
      <w:tr>
        <w:trPr>
          <w:trHeight w:val="223"/>
        </w:trPr>
        <w:tc>
          <w:tcPr>
            <w:tcW w:w="76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402.8</w:t>
            </w:r>
          </w:p>
        </w:tc>
      </w:tr>
      <w:tr>
        <w:trPr>
          <w:trHeight w:val="216"/>
        </w:trPr>
        <w:tc>
          <w:tcPr>
            <w:tcW w:w="76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8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955.7</w:t>
            </w:r>
          </w:p>
        </w:tc>
      </w:tr>
      <w:tr>
        <w:trPr>
          <w:trHeight w:val="223"/>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994.3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992.9</w:t>
            </w:r>
          </w:p>
        </w:tc>
      </w:tr>
      <w:tr>
        <w:trPr>
          <w:trHeight w:val="223"/>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tax liabilities</w:t>
            </w: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162.8</w:t>
            </w:r>
          </w:p>
        </w:tc>
      </w:tr>
      <w:tr>
        <w:trPr>
          <w:trHeight w:val="223"/>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operating lease liabilities</w:t>
            </w: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188.7</w:t>
            </w:r>
          </w:p>
        </w:tc>
      </w:tr>
      <w:tr>
        <w:trPr>
          <w:trHeight w:val="223"/>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8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w:t>
            </w:r>
          </w:p>
        </w:tc>
      </w:tr>
      <w:tr>
        <w:trPr>
          <w:trHeight w:val="216"/>
        </w:trPr>
        <w:tc>
          <w:tcPr>
            <w:tcW w:w="76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 liabilities</w:t>
            </w:r>
          </w:p>
        </w:tc>
        <w:tc>
          <w:tcPr>
            <w:tcW w:w="1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1,946.6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2,344.0</w:t>
            </w:r>
          </w:p>
        </w:tc>
      </w:tr>
      <w:tr>
        <w:trPr>
          <w:trHeight w:val="223"/>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11)</w:t>
            </w: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r>
      <w:tr>
        <w:trPr>
          <w:trHeight w:val="223"/>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1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223"/>
        </w:trPr>
        <w:tc>
          <w:tcPr>
            <w:tcW w:w="7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Preferred stock, no par value: 25.0 shares authorized, no shares issued</w:t>
            </w:r>
          </w:p>
        </w:tc>
        <w:tc>
          <w:tcPr>
            <w:tcW w:w="18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71"/>
        </w:trPr>
        <w:tc>
          <w:tcPr>
            <w:tcW w:w="7600" w:type="dxa"/>
            <w:vAlign w:val="bottom"/>
          </w:tcPr>
          <w:p>
            <w:pPr>
              <w:ind w:left="220"/>
              <w:spacing w:after="0" w:line="170" w:lineRule="exact"/>
              <w:rPr>
                <w:sz w:val="20"/>
                <w:szCs w:val="20"/>
                <w:color w:val="auto"/>
              </w:rPr>
            </w:pPr>
            <w:r>
              <w:rPr>
                <w:rFonts w:ascii="Times New Roman" w:cs="Times New Roman" w:eastAsia="Times New Roman" w:hAnsi="Times New Roman"/>
                <w:sz w:val="18"/>
                <w:szCs w:val="18"/>
                <w:color w:val="auto"/>
              </w:rPr>
              <w:t>Common stock, $0.25 par value: 525.0 shares authorized; 159.9 shares issued and outstanding at</w:t>
            </w:r>
          </w:p>
        </w:tc>
        <w:tc>
          <w:tcPr>
            <w:tcW w:w="1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36"/>
        </w:trPr>
        <w:tc>
          <w:tcPr>
            <w:tcW w:w="7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September 27, 2024, and 159.5 shares issued and outstanding at September 29, 2023</w:t>
            </w:r>
          </w:p>
        </w:tc>
        <w:tc>
          <w:tcPr>
            <w:tcW w:w="18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w:t>
            </w:r>
          </w:p>
        </w:tc>
      </w:tr>
      <w:tr>
        <w:trPr>
          <w:trHeight w:val="223"/>
        </w:trPr>
        <w:tc>
          <w:tcPr>
            <w:tcW w:w="7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172.4</w:t>
            </w:r>
          </w:p>
        </w:tc>
      </w:tr>
      <w:tr>
        <w:trPr>
          <w:trHeight w:val="223"/>
        </w:trPr>
        <w:tc>
          <w:tcPr>
            <w:tcW w:w="7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Retained earnings</w:t>
            </w: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6,032.9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5,876.0</w:t>
            </w:r>
          </w:p>
        </w:tc>
      </w:tr>
      <w:tr>
        <w:trPr>
          <w:trHeight w:val="223"/>
        </w:trPr>
        <w:tc>
          <w:tcPr>
            <w:tcW w:w="7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8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16"/>
        </w:trPr>
        <w:tc>
          <w:tcPr>
            <w:tcW w:w="760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6,336.7</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6,082.7</w:t>
            </w:r>
          </w:p>
        </w:tc>
      </w:tr>
      <w:tr>
        <w:trPr>
          <w:trHeight w:val="241"/>
        </w:trPr>
        <w:tc>
          <w:tcPr>
            <w:tcW w:w="7600" w:type="dxa"/>
            <w:vAlign w:val="bottom"/>
            <w:tcBorders>
              <w:bottom w:val="single" w:sz="8" w:color="CCEEFF"/>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8,283.3</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8,426.7</w:t>
            </w: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84455</wp:posOffset>
            </wp:positionV>
            <wp:extent cx="716153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SKYWORKS SOLUTIONS, INC.</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millions)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57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Fiscal Years Ended</w:t>
            </w: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spacing w:after="0"/>
              <w:rPr>
                <w:sz w:val="18"/>
                <w:szCs w:val="18"/>
                <w:color w:val="auto"/>
              </w:rPr>
            </w:pPr>
          </w:p>
        </w:tc>
      </w:tr>
      <w:tr>
        <w:trPr>
          <w:trHeight w:val="205"/>
        </w:trPr>
        <w:tc>
          <w:tcPr>
            <w:tcW w:w="5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0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September 27, 2024</w:t>
            </w:r>
          </w:p>
        </w:tc>
        <w:tc>
          <w:tcPr>
            <w:tcW w:w="160" w:type="dxa"/>
            <w:vAlign w:val="bottom"/>
          </w:tcPr>
          <w:p>
            <w:pPr>
              <w:spacing w:after="0"/>
              <w:rPr>
                <w:sz w:val="17"/>
                <w:szCs w:val="17"/>
                <w:color w:val="auto"/>
              </w:rPr>
            </w:pPr>
          </w:p>
        </w:tc>
        <w:tc>
          <w:tcPr>
            <w:tcW w:w="172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September 29, 2023</w:t>
            </w:r>
          </w:p>
        </w:tc>
        <w:tc>
          <w:tcPr>
            <w:tcW w:w="160" w:type="dxa"/>
            <w:vAlign w:val="bottom"/>
          </w:tcPr>
          <w:p>
            <w:pPr>
              <w:spacing w:after="0"/>
              <w:rPr>
                <w:sz w:val="17"/>
                <w:szCs w:val="17"/>
                <w:color w:val="auto"/>
              </w:rPr>
            </w:pPr>
          </w:p>
        </w:tc>
        <w:tc>
          <w:tcPr>
            <w:tcW w:w="1600" w:type="dxa"/>
            <w:vAlign w:val="bottom"/>
          </w:tcPr>
          <w:p>
            <w:pPr>
              <w:jc w:val="right"/>
              <w:ind w:right="141"/>
              <w:spacing w:after="0"/>
              <w:rPr>
                <w:sz w:val="20"/>
                <w:szCs w:val="20"/>
                <w:color w:val="auto"/>
              </w:rPr>
            </w:pPr>
            <w:r>
              <w:rPr>
                <w:rFonts w:ascii="Times New Roman" w:cs="Times New Roman" w:eastAsia="Times New Roman" w:hAnsi="Times New Roman"/>
                <w:sz w:val="16"/>
                <w:szCs w:val="16"/>
                <w:b w:val="1"/>
                <w:bCs w:val="1"/>
                <w:color w:val="auto"/>
              </w:rPr>
              <w:t>September 30, 2022</w:t>
            </w:r>
          </w:p>
        </w:tc>
      </w:tr>
      <w:tr>
        <w:trPr>
          <w:trHeight w:val="191"/>
        </w:trPr>
        <w:tc>
          <w:tcPr>
            <w:tcW w:w="5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160" w:type="dxa"/>
            <w:vAlign w:val="bottom"/>
            <w:tcBorders>
              <w:top w:val="single" w:sz="8" w:color="auto"/>
            </w:tcBorders>
            <w:shd w:val="clear" w:color="auto" w:fill="CCEEFF"/>
          </w:tcPr>
          <w:p>
            <w:pPr>
              <w:spacing w:after="0"/>
              <w:rPr>
                <w:sz w:val="16"/>
                <w:szCs w:val="16"/>
                <w:color w:val="auto"/>
              </w:rPr>
            </w:pPr>
          </w:p>
        </w:tc>
        <w:tc>
          <w:tcPr>
            <w:tcW w:w="16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6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600" w:type="dxa"/>
            <w:vAlign w:val="bottom"/>
            <w:tcBorders>
              <w:top w:val="single" w:sz="8" w:color="auto"/>
            </w:tcBorders>
            <w:shd w:val="clear" w:color="auto" w:fill="CCEEFF"/>
          </w:tcPr>
          <w:p>
            <w:pPr>
              <w:spacing w:after="0"/>
              <w:rPr>
                <w:sz w:val="16"/>
                <w:szCs w:val="16"/>
                <w:color w:val="auto"/>
              </w:rPr>
            </w:pPr>
          </w:p>
        </w:tc>
      </w:tr>
      <w:tr>
        <w:trPr>
          <w:trHeight w:val="208"/>
        </w:trPr>
        <w:tc>
          <w:tcPr>
            <w:tcW w:w="5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596.0</w:t>
            </w:r>
          </w:p>
        </w:tc>
        <w:tc>
          <w:tcPr>
            <w:tcW w:w="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982.8</w:t>
            </w:r>
          </w:p>
        </w:tc>
        <w:tc>
          <w:tcPr>
            <w:tcW w:w="100" w:type="dxa"/>
            <w:vAlign w:val="bottom"/>
          </w:tcPr>
          <w:p>
            <w:pPr>
              <w:spacing w:after="0"/>
              <w:rPr>
                <w:sz w:val="18"/>
                <w:szCs w:val="18"/>
                <w:color w:val="auto"/>
              </w:rPr>
            </w:pPr>
          </w:p>
        </w:tc>
        <w:tc>
          <w:tcPr>
            <w:tcW w:w="1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1,275.2</w:t>
            </w:r>
          </w:p>
        </w:tc>
      </w:tr>
      <w:tr>
        <w:trPr>
          <w:trHeight w:val="212"/>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operating activities:</w:t>
            </w:r>
          </w:p>
        </w:tc>
        <w:tc>
          <w:tcPr>
            <w:tcW w:w="16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r>
      <w:tr>
        <w:trPr>
          <w:trHeight w:val="208"/>
        </w:trPr>
        <w:tc>
          <w:tcPr>
            <w:tcW w:w="574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Share-based compensation</w:t>
            </w:r>
          </w:p>
        </w:tc>
        <w:tc>
          <w:tcPr>
            <w:tcW w:w="160" w:type="dxa"/>
            <w:vAlign w:val="bottom"/>
          </w:tcPr>
          <w:p>
            <w:pPr>
              <w:spacing w:after="0"/>
              <w:rPr>
                <w:sz w:val="18"/>
                <w:szCs w:val="18"/>
                <w:color w:val="auto"/>
              </w:rPr>
            </w:pPr>
          </w:p>
        </w:tc>
        <w:tc>
          <w:tcPr>
            <w:tcW w:w="16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180.3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195.2</w:t>
            </w:r>
          </w:p>
        </w:tc>
      </w:tr>
      <w:tr>
        <w:trPr>
          <w:trHeight w:val="212"/>
        </w:trPr>
        <w:tc>
          <w:tcPr>
            <w:tcW w:w="57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Depreciation</w:t>
            </w:r>
          </w:p>
        </w:tc>
        <w:tc>
          <w:tcPr>
            <w:tcW w:w="160" w:type="dxa"/>
            <w:vAlign w:val="bottom"/>
            <w:shd w:val="clear" w:color="auto" w:fill="CCEEFF"/>
          </w:tcPr>
          <w:p>
            <w:pPr>
              <w:spacing w:after="0"/>
              <w:rPr>
                <w:sz w:val="18"/>
                <w:szCs w:val="18"/>
                <w:color w:val="auto"/>
              </w:rPr>
            </w:pPr>
          </w:p>
        </w:tc>
        <w:tc>
          <w:tcPr>
            <w:tcW w:w="16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264.8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387.8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394.4</w:t>
            </w:r>
          </w:p>
        </w:tc>
      </w:tr>
      <w:tr>
        <w:trPr>
          <w:trHeight w:val="208"/>
        </w:trPr>
        <w:tc>
          <w:tcPr>
            <w:tcW w:w="574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Amortization of intangible assets, including inventory step-up</w:t>
            </w:r>
          </w:p>
        </w:tc>
        <w:tc>
          <w:tcPr>
            <w:tcW w:w="160" w:type="dxa"/>
            <w:vAlign w:val="bottom"/>
          </w:tcPr>
          <w:p>
            <w:pPr>
              <w:spacing w:after="0"/>
              <w:rPr>
                <w:sz w:val="18"/>
                <w:szCs w:val="18"/>
                <w:color w:val="auto"/>
              </w:rPr>
            </w:pPr>
          </w:p>
        </w:tc>
        <w:tc>
          <w:tcPr>
            <w:tcW w:w="16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186.5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295.7</w:t>
            </w:r>
          </w:p>
        </w:tc>
      </w:tr>
      <w:tr>
        <w:trPr>
          <w:trHeight w:val="212"/>
        </w:trPr>
        <w:tc>
          <w:tcPr>
            <w:tcW w:w="57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Deferred income taxes</w:t>
            </w:r>
          </w:p>
        </w:tc>
        <w:tc>
          <w:tcPr>
            <w:tcW w:w="16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68.4</w:t>
            </w:r>
          </w:p>
        </w:tc>
      </w:tr>
      <w:tr>
        <w:trPr>
          <w:trHeight w:val="208"/>
        </w:trPr>
        <w:tc>
          <w:tcPr>
            <w:tcW w:w="574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Asset impairment charges</w:t>
            </w:r>
          </w:p>
        </w:tc>
        <w:tc>
          <w:tcPr>
            <w:tcW w:w="160" w:type="dxa"/>
            <w:vAlign w:val="bottom"/>
          </w:tcPr>
          <w:p>
            <w:pPr>
              <w:spacing w:after="0"/>
              <w:rPr>
                <w:sz w:val="18"/>
                <w:szCs w:val="18"/>
                <w:color w:val="auto"/>
              </w:rPr>
            </w:pPr>
          </w:p>
        </w:tc>
        <w:tc>
          <w:tcPr>
            <w:tcW w:w="16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147.9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w:t>
            </w:r>
          </w:p>
        </w:tc>
      </w:tr>
      <w:tr>
        <w:trPr>
          <w:trHeight w:val="212"/>
        </w:trPr>
        <w:tc>
          <w:tcPr>
            <w:tcW w:w="57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Amortization of debt discount and issuance costs</w:t>
            </w:r>
          </w:p>
        </w:tc>
        <w:tc>
          <w:tcPr>
            <w:tcW w:w="160" w:type="dxa"/>
            <w:vAlign w:val="bottom"/>
            <w:shd w:val="clear" w:color="auto" w:fill="CCEEFF"/>
          </w:tcPr>
          <w:p>
            <w:pPr>
              <w:spacing w:after="0"/>
              <w:rPr>
                <w:sz w:val="18"/>
                <w:szCs w:val="18"/>
                <w:color w:val="auto"/>
              </w:rPr>
            </w:pPr>
          </w:p>
        </w:tc>
        <w:tc>
          <w:tcPr>
            <w:tcW w:w="16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r>
      <w:tr>
        <w:trPr>
          <w:trHeight w:val="208"/>
        </w:trPr>
        <w:tc>
          <w:tcPr>
            <w:tcW w:w="574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Other, net</w:t>
            </w: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r>
      <w:tr>
        <w:trPr>
          <w:trHeight w:val="212"/>
        </w:trPr>
        <w:tc>
          <w:tcPr>
            <w:tcW w:w="5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Changes in assets and liabilities:</w:t>
            </w:r>
          </w:p>
        </w:tc>
        <w:tc>
          <w:tcPr>
            <w:tcW w:w="16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r>
      <w:tr>
        <w:trPr>
          <w:trHeight w:val="208"/>
        </w:trPr>
        <w:tc>
          <w:tcPr>
            <w:tcW w:w="574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Receivables, net</w:t>
            </w:r>
          </w:p>
        </w:tc>
        <w:tc>
          <w:tcPr>
            <w:tcW w:w="160" w:type="dxa"/>
            <w:vAlign w:val="bottom"/>
          </w:tcPr>
          <w:p>
            <w:pPr>
              <w:spacing w:after="0"/>
              <w:rPr>
                <w:sz w:val="18"/>
                <w:szCs w:val="18"/>
                <w:color w:val="auto"/>
              </w:rPr>
            </w:pPr>
          </w:p>
        </w:tc>
        <w:tc>
          <w:tcPr>
            <w:tcW w:w="16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355.4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229.8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(337.8)</w:t>
            </w:r>
          </w:p>
        </w:tc>
      </w:tr>
      <w:tr>
        <w:trPr>
          <w:trHeight w:val="212"/>
        </w:trPr>
        <w:tc>
          <w:tcPr>
            <w:tcW w:w="57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Inventory</w:t>
            </w:r>
          </w:p>
        </w:tc>
        <w:tc>
          <w:tcPr>
            <w:tcW w:w="160" w:type="dxa"/>
            <w:vAlign w:val="bottom"/>
            <w:shd w:val="clear" w:color="auto" w:fill="CCEEFF"/>
          </w:tcPr>
          <w:p>
            <w:pPr>
              <w:spacing w:after="0"/>
              <w:rPr>
                <w:sz w:val="18"/>
                <w:szCs w:val="18"/>
                <w:color w:val="auto"/>
              </w:rPr>
            </w:pPr>
          </w:p>
        </w:tc>
        <w:tc>
          <w:tcPr>
            <w:tcW w:w="16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330.4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(337.3)</w:t>
            </w:r>
          </w:p>
        </w:tc>
      </w:tr>
      <w:tr>
        <w:trPr>
          <w:trHeight w:val="208"/>
        </w:trPr>
        <w:tc>
          <w:tcPr>
            <w:tcW w:w="574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Accounts payable</w:t>
            </w:r>
          </w:p>
        </w:tc>
        <w:tc>
          <w:tcPr>
            <w:tcW w:w="160" w:type="dxa"/>
            <w:vAlign w:val="bottom"/>
          </w:tcPr>
          <w:p>
            <w:pPr>
              <w:spacing w:after="0"/>
              <w:rPr>
                <w:sz w:val="18"/>
                <w:szCs w:val="18"/>
                <w:color w:val="auto"/>
              </w:rPr>
            </w:pPr>
          </w:p>
        </w:tc>
        <w:tc>
          <w:tcPr>
            <w:tcW w:w="16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10.4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31.3</w:t>
            </w:r>
          </w:p>
        </w:tc>
      </w:tr>
      <w:tr>
        <w:trPr>
          <w:trHeight w:val="212"/>
        </w:trPr>
        <w:tc>
          <w:tcPr>
            <w:tcW w:w="57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Other current and long-term assets and liabilities</w:t>
            </w:r>
          </w:p>
        </w:tc>
        <w:tc>
          <w:tcPr>
            <w:tcW w:w="16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(132.3)</w:t>
            </w: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(72.5)</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(183.7)</w:t>
            </w:r>
          </w:p>
        </w:tc>
      </w:tr>
      <w:tr>
        <w:trPr>
          <w:trHeight w:val="201"/>
        </w:trPr>
        <w:tc>
          <w:tcPr>
            <w:tcW w:w="5740" w:type="dxa"/>
            <w:vAlign w:val="bottom"/>
            <w:tcBorders>
              <w:bottom w:val="single" w:sz="8" w:color="CCEEFF"/>
            </w:tcBorders>
          </w:tcPr>
          <w:p>
            <w:pPr>
              <w:ind w:left="620"/>
              <w:spacing w:after="0"/>
              <w:rPr>
                <w:sz w:val="20"/>
                <w:szCs w:val="20"/>
                <w:color w:val="auto"/>
              </w:rPr>
            </w:pPr>
            <w:r>
              <w:rPr>
                <w:rFonts w:ascii="Times New Roman" w:cs="Times New Roman" w:eastAsia="Times New Roman" w:hAnsi="Times New Roman"/>
                <w:sz w:val="16"/>
                <w:szCs w:val="16"/>
                <w:b w:val="1"/>
                <w:bCs w:val="1"/>
                <w:color w:val="auto"/>
              </w:rPr>
              <w:t>Net cash provided by operating activities</w:t>
            </w:r>
          </w:p>
        </w:tc>
        <w:tc>
          <w:tcPr>
            <w:tcW w:w="16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1,824.7</w:t>
            </w: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1,856.4</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1,424.6</w:t>
            </w:r>
          </w:p>
        </w:tc>
      </w:tr>
      <w:tr>
        <w:trPr>
          <w:trHeight w:val="192"/>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160" w:type="dxa"/>
            <w:vAlign w:val="bottom"/>
            <w:shd w:val="clear" w:color="auto" w:fill="CCEEFF"/>
          </w:tcPr>
          <w:p>
            <w:pPr>
              <w:spacing w:after="0"/>
              <w:rPr>
                <w:sz w:val="16"/>
                <w:szCs w:val="16"/>
                <w:color w:val="auto"/>
              </w:rPr>
            </w:pPr>
          </w:p>
        </w:tc>
        <w:tc>
          <w:tcPr>
            <w:tcW w:w="1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0" w:type="dxa"/>
            <w:vAlign w:val="bottom"/>
            <w:shd w:val="clear" w:color="auto" w:fill="CCEEFF"/>
          </w:tcPr>
          <w:p>
            <w:pPr>
              <w:spacing w:after="0"/>
              <w:rPr>
                <w:sz w:val="16"/>
                <w:szCs w:val="16"/>
                <w:color w:val="auto"/>
              </w:rPr>
            </w:pPr>
          </w:p>
        </w:tc>
      </w:tr>
      <w:tr>
        <w:trPr>
          <w:trHeight w:val="208"/>
        </w:trPr>
        <w:tc>
          <w:tcPr>
            <w:tcW w:w="574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Capital expenditures</w:t>
            </w: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(489.4)</w:t>
            </w:r>
          </w:p>
        </w:tc>
      </w:tr>
      <w:tr>
        <w:trPr>
          <w:trHeight w:val="212"/>
        </w:trPr>
        <w:tc>
          <w:tcPr>
            <w:tcW w:w="57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Purchased intangibles</w:t>
            </w:r>
          </w:p>
        </w:tc>
        <w:tc>
          <w:tcPr>
            <w:tcW w:w="16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w:t>
            </w:r>
          </w:p>
        </w:tc>
      </w:tr>
      <w:tr>
        <w:trPr>
          <w:trHeight w:val="208"/>
        </w:trPr>
        <w:tc>
          <w:tcPr>
            <w:tcW w:w="574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Purchases of marketable securities</w:t>
            </w: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(270.9)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(288.8)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(97.2)</w:t>
            </w:r>
          </w:p>
        </w:tc>
      </w:tr>
      <w:tr>
        <w:trPr>
          <w:trHeight w:val="212"/>
        </w:trPr>
        <w:tc>
          <w:tcPr>
            <w:tcW w:w="57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Sales and maturities of marketable securities</w:t>
            </w:r>
          </w:p>
        </w:tc>
        <w:tc>
          <w:tcPr>
            <w:tcW w:w="160" w:type="dxa"/>
            <w:vAlign w:val="bottom"/>
            <w:shd w:val="clear" w:color="auto" w:fill="CCEEFF"/>
          </w:tcPr>
          <w:p>
            <w:pPr>
              <w:spacing w:after="0"/>
              <w:rPr>
                <w:sz w:val="18"/>
                <w:szCs w:val="18"/>
                <w:color w:val="auto"/>
              </w:rPr>
            </w:pPr>
          </w:p>
        </w:tc>
        <w:tc>
          <w:tcPr>
            <w:tcW w:w="16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86.5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294.0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220.3</w:t>
            </w:r>
          </w:p>
        </w:tc>
      </w:tr>
      <w:tr>
        <w:trPr>
          <w:trHeight w:val="208"/>
        </w:trPr>
        <w:tc>
          <w:tcPr>
            <w:tcW w:w="5740" w:type="dxa"/>
            <w:vAlign w:val="bottom"/>
            <w:tcBorders>
              <w:bottom w:val="single" w:sz="8" w:color="CCEEFF"/>
            </w:tcBorders>
          </w:tcPr>
          <w:p>
            <w:pPr>
              <w:ind w:left="420"/>
              <w:spacing w:after="0"/>
              <w:rPr>
                <w:sz w:val="20"/>
                <w:szCs w:val="20"/>
                <w:color w:val="auto"/>
              </w:rPr>
            </w:pPr>
            <w:r>
              <w:rPr>
                <w:rFonts w:ascii="Times New Roman" w:cs="Times New Roman" w:eastAsia="Times New Roman" w:hAnsi="Times New Roman"/>
                <w:sz w:val="16"/>
                <w:szCs w:val="16"/>
                <w:color w:val="auto"/>
              </w:rPr>
              <w:t>Other</w:t>
            </w:r>
          </w:p>
        </w:tc>
        <w:tc>
          <w:tcPr>
            <w:tcW w:w="16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11.6</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w:t>
            </w:r>
          </w:p>
        </w:tc>
      </w:tr>
      <w:tr>
        <w:trPr>
          <w:trHeight w:val="205"/>
        </w:trPr>
        <w:tc>
          <w:tcPr>
            <w:tcW w:w="574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6"/>
                <w:szCs w:val="16"/>
                <w:b w:val="1"/>
                <w:bCs w:val="1"/>
                <w:color w:val="auto"/>
              </w:rPr>
              <w:t>Net cash used in investing activities</w:t>
            </w:r>
          </w:p>
        </w:tc>
        <w:tc>
          <w:tcPr>
            <w:tcW w:w="160" w:type="dxa"/>
            <w:vAlign w:val="bottom"/>
            <w:tcBorders>
              <w:bottom w:val="single" w:sz="8" w:color="auto"/>
            </w:tcBorders>
            <w:shd w:val="clear" w:color="auto" w:fill="CCEEFF"/>
          </w:tcPr>
          <w:p>
            <w:pPr>
              <w:spacing w:after="0"/>
              <w:rPr>
                <w:sz w:val="17"/>
                <w:szCs w:val="17"/>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(355.9)</w:t>
            </w:r>
          </w:p>
        </w:tc>
        <w:tc>
          <w:tcPr>
            <w:tcW w:w="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(224.4)</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(378.9)</w:t>
            </w:r>
          </w:p>
        </w:tc>
      </w:tr>
      <w:tr>
        <w:trPr>
          <w:trHeight w:val="189"/>
        </w:trPr>
        <w:tc>
          <w:tcPr>
            <w:tcW w:w="57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16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0" w:type="dxa"/>
            <w:vAlign w:val="bottom"/>
          </w:tcPr>
          <w:p>
            <w:pPr>
              <w:spacing w:after="0"/>
              <w:rPr>
                <w:sz w:val="16"/>
                <w:szCs w:val="16"/>
                <w:color w:val="auto"/>
              </w:rPr>
            </w:pPr>
          </w:p>
        </w:tc>
      </w:tr>
      <w:tr>
        <w:trPr>
          <w:trHeight w:val="211"/>
        </w:trPr>
        <w:tc>
          <w:tcPr>
            <w:tcW w:w="57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010000"/>
              </w:rPr>
              <w:t>Repurchase of common stock - payroll tax withholdings on equity awards</w:t>
            </w:r>
          </w:p>
        </w:tc>
        <w:tc>
          <w:tcPr>
            <w:tcW w:w="16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(88.5)</w:t>
            </w:r>
          </w:p>
        </w:tc>
      </w:tr>
      <w:tr>
        <w:trPr>
          <w:trHeight w:val="208"/>
        </w:trPr>
        <w:tc>
          <w:tcPr>
            <w:tcW w:w="5740" w:type="dxa"/>
            <w:vAlign w:val="bottom"/>
          </w:tcPr>
          <w:p>
            <w:pPr>
              <w:ind w:left="440"/>
              <w:spacing w:after="0"/>
              <w:rPr>
                <w:sz w:val="20"/>
                <w:szCs w:val="20"/>
                <w:color w:val="auto"/>
              </w:rPr>
            </w:pPr>
            <w:r>
              <w:rPr>
                <w:rFonts w:ascii="Times New Roman" w:cs="Times New Roman" w:eastAsia="Times New Roman" w:hAnsi="Times New Roman"/>
                <w:sz w:val="16"/>
                <w:szCs w:val="16"/>
                <w:color w:val="010000"/>
              </w:rPr>
              <w:t>Repurchase of common stock - stock repurchase program</w:t>
            </w: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(886.8)</w:t>
            </w:r>
          </w:p>
        </w:tc>
      </w:tr>
      <w:tr>
        <w:trPr>
          <w:trHeight w:val="212"/>
        </w:trPr>
        <w:tc>
          <w:tcPr>
            <w:tcW w:w="57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010000"/>
              </w:rPr>
              <w:t>Dividends paid</w:t>
            </w:r>
          </w:p>
        </w:tc>
        <w:tc>
          <w:tcPr>
            <w:tcW w:w="16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(439.1)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(405.2)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(373.1)</w:t>
            </w:r>
          </w:p>
        </w:tc>
      </w:tr>
      <w:tr>
        <w:trPr>
          <w:trHeight w:val="208"/>
        </w:trPr>
        <w:tc>
          <w:tcPr>
            <w:tcW w:w="5740" w:type="dxa"/>
            <w:vAlign w:val="bottom"/>
          </w:tcPr>
          <w:p>
            <w:pPr>
              <w:ind w:left="440"/>
              <w:spacing w:after="0"/>
              <w:rPr>
                <w:sz w:val="20"/>
                <w:szCs w:val="20"/>
                <w:color w:val="auto"/>
              </w:rPr>
            </w:pPr>
            <w:r>
              <w:rPr>
                <w:rFonts w:ascii="Times New Roman" w:cs="Times New Roman" w:eastAsia="Times New Roman" w:hAnsi="Times New Roman"/>
                <w:sz w:val="16"/>
                <w:szCs w:val="16"/>
                <w:color w:val="010000"/>
              </w:rPr>
              <w:t>Net proceeds from exercise of stock options</w:t>
            </w:r>
          </w:p>
        </w:tc>
        <w:tc>
          <w:tcPr>
            <w:tcW w:w="160" w:type="dxa"/>
            <w:vAlign w:val="bottom"/>
          </w:tcPr>
          <w:p>
            <w:pPr>
              <w:spacing w:after="0"/>
              <w:rPr>
                <w:sz w:val="18"/>
                <w:szCs w:val="18"/>
                <w:color w:val="auto"/>
              </w:rPr>
            </w:pPr>
          </w:p>
        </w:tc>
        <w:tc>
          <w:tcPr>
            <w:tcW w:w="16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w:t>
            </w:r>
          </w:p>
        </w:tc>
      </w:tr>
      <w:tr>
        <w:trPr>
          <w:trHeight w:val="212"/>
        </w:trPr>
        <w:tc>
          <w:tcPr>
            <w:tcW w:w="57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010000"/>
              </w:rPr>
              <w:t>Proceeds from employee stock purchase plan</w:t>
            </w:r>
          </w:p>
        </w:tc>
        <w:tc>
          <w:tcPr>
            <w:tcW w:w="160" w:type="dxa"/>
            <w:vAlign w:val="bottom"/>
            <w:shd w:val="clear" w:color="auto" w:fill="CCEEFF"/>
          </w:tcPr>
          <w:p>
            <w:pPr>
              <w:spacing w:after="0"/>
              <w:rPr>
                <w:sz w:val="18"/>
                <w:szCs w:val="18"/>
                <w:color w:val="auto"/>
              </w:rPr>
            </w:pPr>
          </w:p>
        </w:tc>
        <w:tc>
          <w:tcPr>
            <w:tcW w:w="16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32.6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29.4</w:t>
            </w:r>
          </w:p>
        </w:tc>
      </w:tr>
      <w:tr>
        <w:trPr>
          <w:trHeight w:val="208"/>
        </w:trPr>
        <w:tc>
          <w:tcPr>
            <w:tcW w:w="574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6"/>
                <w:szCs w:val="16"/>
                <w:color w:val="010000"/>
              </w:rPr>
              <w:t>Payments of debt</w:t>
            </w:r>
          </w:p>
        </w:tc>
        <w:tc>
          <w:tcPr>
            <w:tcW w:w="16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(300.0)</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(900.0)</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(50.0)</w:t>
            </w:r>
          </w:p>
        </w:tc>
      </w:tr>
      <w:tr>
        <w:trPr>
          <w:trHeight w:val="205"/>
        </w:trPr>
        <w:tc>
          <w:tcPr>
            <w:tcW w:w="57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b w:val="1"/>
                <w:bCs w:val="1"/>
                <w:color w:val="auto"/>
              </w:rPr>
              <w:t>Net cash used in financing activities</w:t>
            </w:r>
          </w:p>
        </w:tc>
        <w:tc>
          <w:tcPr>
            <w:tcW w:w="160" w:type="dxa"/>
            <w:vAlign w:val="bottom"/>
            <w:tcBorders>
              <w:bottom w:val="single" w:sz="8" w:color="auto"/>
            </w:tcBorders>
            <w:shd w:val="clear" w:color="auto" w:fill="CCEEFF"/>
          </w:tcPr>
          <w:p>
            <w:pPr>
              <w:spacing w:after="0"/>
              <w:rPr>
                <w:sz w:val="17"/>
                <w:szCs w:val="17"/>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(819.0)</w:t>
            </w:r>
          </w:p>
        </w:tc>
        <w:tc>
          <w:tcPr>
            <w:tcW w:w="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(1,479.2)</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(1,362.6)</w:t>
            </w:r>
          </w:p>
        </w:tc>
      </w:tr>
      <w:tr>
        <w:trPr>
          <w:trHeight w:val="201"/>
        </w:trPr>
        <w:tc>
          <w:tcPr>
            <w:tcW w:w="5740" w:type="dxa"/>
            <w:vAlign w:val="bottom"/>
          </w:tcPr>
          <w:p>
            <w:pPr>
              <w:ind w:left="440"/>
              <w:spacing w:after="0"/>
              <w:rPr>
                <w:sz w:val="20"/>
                <w:szCs w:val="20"/>
                <w:color w:val="auto"/>
              </w:rPr>
            </w:pPr>
            <w:r>
              <w:rPr>
                <w:rFonts w:ascii="Times New Roman" w:cs="Times New Roman" w:eastAsia="Times New Roman" w:hAnsi="Times New Roman"/>
                <w:sz w:val="16"/>
                <w:szCs w:val="16"/>
                <w:color w:val="010000"/>
              </w:rPr>
              <w:t>Net increase (decrease) in cash and cash equivalents</w:t>
            </w:r>
          </w:p>
        </w:tc>
        <w:tc>
          <w:tcPr>
            <w:tcW w:w="160" w:type="dxa"/>
            <w:vAlign w:val="bottom"/>
          </w:tcPr>
          <w:p>
            <w:pPr>
              <w:spacing w:after="0"/>
              <w:rPr>
                <w:sz w:val="17"/>
                <w:szCs w:val="17"/>
                <w:color w:val="auto"/>
              </w:rPr>
            </w:pPr>
          </w:p>
        </w:tc>
        <w:tc>
          <w:tcPr>
            <w:tcW w:w="16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649.8</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152.8</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(316.9)</w:t>
            </w:r>
          </w:p>
        </w:tc>
      </w:tr>
      <w:tr>
        <w:trPr>
          <w:trHeight w:val="210"/>
        </w:trPr>
        <w:tc>
          <w:tcPr>
            <w:tcW w:w="57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010000"/>
              </w:rPr>
              <w:t>Cash and cash equivalents at beginning of period</w:t>
            </w:r>
          </w:p>
        </w:tc>
        <w:tc>
          <w:tcPr>
            <w:tcW w:w="16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718.8</w:t>
            </w: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566.0</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882.9</w:t>
            </w:r>
          </w:p>
        </w:tc>
      </w:tr>
      <w:tr>
        <w:trPr>
          <w:trHeight w:val="205"/>
        </w:trPr>
        <w:tc>
          <w:tcPr>
            <w:tcW w:w="5740" w:type="dxa"/>
            <w:vAlign w:val="bottom"/>
          </w:tcPr>
          <w:p>
            <w:pPr>
              <w:ind w:left="440"/>
              <w:spacing w:after="0"/>
              <w:rPr>
                <w:sz w:val="20"/>
                <w:szCs w:val="20"/>
                <w:color w:val="auto"/>
              </w:rPr>
            </w:pPr>
            <w:r>
              <w:rPr>
                <w:rFonts w:ascii="Times New Roman" w:cs="Times New Roman" w:eastAsia="Times New Roman" w:hAnsi="Times New Roman"/>
                <w:sz w:val="16"/>
                <w:szCs w:val="16"/>
                <w:color w:val="010000"/>
              </w:rPr>
              <w:t>Cash and cash equivalents at end of period</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1,368.6</w:t>
            </w:r>
          </w:p>
        </w:tc>
        <w:tc>
          <w:tcPr>
            <w:tcW w:w="8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718.8</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566.0</w:t>
            </w:r>
          </w:p>
        </w:tc>
      </w:tr>
      <w:tr>
        <w:trPr>
          <w:trHeight w:val="20"/>
        </w:trPr>
        <w:tc>
          <w:tcPr>
            <w:tcW w:w="57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r>
        <w:trPr>
          <w:trHeight w:val="176"/>
        </w:trPr>
        <w:tc>
          <w:tcPr>
            <w:tcW w:w="57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6"/>
                <w:szCs w:val="16"/>
                <w:b w:val="1"/>
                <w:bCs w:val="1"/>
                <w:color w:val="auto"/>
              </w:rPr>
              <w:t>Supplemental cash flow disclosures:</w:t>
            </w:r>
          </w:p>
        </w:tc>
        <w:tc>
          <w:tcPr>
            <w:tcW w:w="16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r>
      <w:tr>
        <w:trPr>
          <w:trHeight w:val="208"/>
        </w:trPr>
        <w:tc>
          <w:tcPr>
            <w:tcW w:w="5740" w:type="dxa"/>
            <w:vAlign w:val="bottom"/>
          </w:tcPr>
          <w:p>
            <w:pPr>
              <w:ind w:left="440"/>
              <w:spacing w:after="0"/>
              <w:rPr>
                <w:sz w:val="20"/>
                <w:szCs w:val="20"/>
                <w:color w:val="auto"/>
              </w:rPr>
            </w:pPr>
            <w:r>
              <w:rPr>
                <w:rFonts w:ascii="Times New Roman" w:cs="Times New Roman" w:eastAsia="Times New Roman" w:hAnsi="Times New Roman"/>
                <w:sz w:val="16"/>
                <w:szCs w:val="16"/>
                <w:color w:val="010000"/>
              </w:rPr>
              <w:t>Income taxes paid</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181.2</w:t>
            </w:r>
          </w:p>
        </w:tc>
        <w:tc>
          <w:tcPr>
            <w:tcW w:w="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228.9</w:t>
            </w:r>
          </w:p>
        </w:tc>
        <w:tc>
          <w:tcPr>
            <w:tcW w:w="100" w:type="dxa"/>
            <w:vAlign w:val="bottom"/>
          </w:tcPr>
          <w:p>
            <w:pPr>
              <w:spacing w:after="0"/>
              <w:rPr>
                <w:sz w:val="18"/>
                <w:szCs w:val="18"/>
                <w:color w:val="auto"/>
              </w:rPr>
            </w:pPr>
          </w:p>
        </w:tc>
        <w:tc>
          <w:tcPr>
            <w:tcW w:w="1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230.0</w:t>
            </w:r>
          </w:p>
        </w:tc>
      </w:tr>
      <w:tr>
        <w:trPr>
          <w:trHeight w:val="212"/>
        </w:trPr>
        <w:tc>
          <w:tcPr>
            <w:tcW w:w="57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010000"/>
              </w:rPr>
              <w:t>Interest paid</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28.3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44.4</w:t>
            </w:r>
          </w:p>
        </w:tc>
      </w:tr>
      <w:tr>
        <w:trPr>
          <w:trHeight w:val="208"/>
        </w:trPr>
        <w:tc>
          <w:tcPr>
            <w:tcW w:w="5740" w:type="dxa"/>
            <w:vAlign w:val="bottom"/>
          </w:tcPr>
          <w:p>
            <w:pPr>
              <w:ind w:left="440"/>
              <w:spacing w:after="0"/>
              <w:rPr>
                <w:sz w:val="20"/>
                <w:szCs w:val="20"/>
                <w:color w:val="auto"/>
              </w:rPr>
            </w:pPr>
            <w:r>
              <w:rPr>
                <w:rFonts w:ascii="Times New Roman" w:cs="Times New Roman" w:eastAsia="Times New Roman" w:hAnsi="Times New Roman"/>
                <w:sz w:val="16"/>
                <w:szCs w:val="16"/>
                <w:color w:val="010000"/>
              </w:rPr>
              <w:t>Incentives paid in common stock</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1.2</w:t>
            </w:r>
          </w:p>
        </w:tc>
        <w:tc>
          <w:tcPr>
            <w:tcW w:w="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w:t>
            </w:r>
          </w:p>
        </w:tc>
        <w:tc>
          <w:tcPr>
            <w:tcW w:w="100" w:type="dxa"/>
            <w:vAlign w:val="bottom"/>
          </w:tcPr>
          <w:p>
            <w:pPr>
              <w:spacing w:after="0"/>
              <w:rPr>
                <w:sz w:val="18"/>
                <w:szCs w:val="18"/>
                <w:color w:val="auto"/>
              </w:rPr>
            </w:pPr>
          </w:p>
        </w:tc>
        <w:tc>
          <w:tcPr>
            <w:tcW w:w="1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32.2</w:t>
            </w:r>
          </w:p>
        </w:tc>
      </w:tr>
      <w:tr>
        <w:trPr>
          <w:trHeight w:val="212"/>
        </w:trPr>
        <w:tc>
          <w:tcPr>
            <w:tcW w:w="57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010000"/>
              </w:rPr>
              <w:t>Non-cash investing in capital expenditures, accrued but not paid</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34.7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43.2</w:t>
            </w:r>
          </w:p>
        </w:tc>
      </w:tr>
    </w:tbl>
    <w:p>
      <w:pPr>
        <w:spacing w:after="0" w:line="310"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84455</wp:posOffset>
            </wp:positionV>
            <wp:extent cx="716153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SKYWORKS SOLUTIONS, INC.</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millions)</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700" w:type="dxa"/>
            <w:vAlign w:val="bottom"/>
          </w:tcPr>
          <w:p>
            <w:pPr>
              <w:spacing w:after="0"/>
              <w:rPr>
                <w:sz w:val="14"/>
                <w:szCs w:val="14"/>
                <w:color w:val="auto"/>
              </w:rPr>
            </w:pPr>
          </w:p>
        </w:tc>
        <w:tc>
          <w:tcPr>
            <w:tcW w:w="1180" w:type="dxa"/>
            <w:vAlign w:val="bottom"/>
            <w:tcBorders>
              <w:top w:val="single" w:sz="8" w:color="auto"/>
            </w:tcBorders>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Shares of</w:t>
            </w:r>
          </w:p>
        </w:tc>
        <w:tc>
          <w:tcPr>
            <w:tcW w:w="12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gridSpan w:val="2"/>
            <w:vMerge w:val="restart"/>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6"/>
              </w:rPr>
              <w:t>Par value of</w:t>
            </w:r>
          </w:p>
        </w:tc>
        <w:tc>
          <w:tcPr>
            <w:tcW w:w="14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gridSpan w:val="2"/>
            <w:vMerge w:val="restart"/>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8"/>
              </w:rPr>
              <w:t>Additional</w:t>
            </w:r>
          </w:p>
        </w:tc>
        <w:tc>
          <w:tcPr>
            <w:tcW w:w="16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gridSpan w:val="2"/>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Retained</w:t>
            </w:r>
          </w:p>
        </w:tc>
        <w:tc>
          <w:tcPr>
            <w:tcW w:w="1520" w:type="dxa"/>
            <w:vAlign w:val="bottom"/>
            <w:tcBorders>
              <w:top w:val="single" w:sz="8" w:color="auto"/>
            </w:tcBorders>
            <w:gridSpan w:val="3"/>
          </w:tcPr>
          <w:p>
            <w:pPr>
              <w:jc w:val="center"/>
              <w:ind w:right="80"/>
              <w:spacing w:after="0" w:line="171" w:lineRule="exact"/>
              <w:rPr>
                <w:sz w:val="20"/>
                <w:szCs w:val="20"/>
                <w:color w:val="auto"/>
              </w:rPr>
            </w:pPr>
            <w:r>
              <w:rPr>
                <w:rFonts w:ascii="Times New Roman" w:cs="Times New Roman" w:eastAsia="Times New Roman" w:hAnsi="Times New Roman"/>
                <w:sz w:val="16"/>
                <w:szCs w:val="16"/>
                <w:b w:val="1"/>
                <w:bCs w:val="1"/>
                <w:color w:val="auto"/>
                <w:w w:val="97"/>
              </w:rPr>
              <w:t>Accumulated other</w:t>
            </w:r>
          </w:p>
        </w:tc>
        <w:tc>
          <w:tcPr>
            <w:tcW w:w="16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jc w:val="center"/>
              <w:ind w:right="61"/>
              <w:spacing w:after="0" w:line="171" w:lineRule="exact"/>
              <w:rPr>
                <w:sz w:val="20"/>
                <w:szCs w:val="20"/>
                <w:color w:val="auto"/>
              </w:rPr>
            </w:pPr>
            <w:r>
              <w:rPr>
                <w:rFonts w:ascii="Times New Roman" w:cs="Times New Roman" w:eastAsia="Times New Roman" w:hAnsi="Times New Roman"/>
                <w:sz w:val="16"/>
                <w:szCs w:val="16"/>
                <w:b w:val="1"/>
                <w:bCs w:val="1"/>
                <w:color w:val="auto"/>
                <w:w w:val="93"/>
              </w:rPr>
              <w:t>Total</w:t>
            </w:r>
          </w:p>
        </w:tc>
        <w:tc>
          <w:tcPr>
            <w:tcW w:w="0" w:type="dxa"/>
            <w:vAlign w:val="bottom"/>
          </w:tcPr>
          <w:p>
            <w:pPr>
              <w:spacing w:after="0"/>
              <w:rPr>
                <w:sz w:val="1"/>
                <w:szCs w:val="1"/>
                <w:color w:val="auto"/>
              </w:rPr>
            </w:pPr>
          </w:p>
        </w:tc>
      </w:tr>
      <w:tr>
        <w:trPr>
          <w:trHeight w:val="158"/>
        </w:trPr>
        <w:tc>
          <w:tcPr>
            <w:tcW w:w="3700" w:type="dxa"/>
            <w:vAlign w:val="bottom"/>
          </w:tcPr>
          <w:p>
            <w:pPr>
              <w:spacing w:after="0"/>
              <w:rPr>
                <w:sz w:val="13"/>
                <w:szCs w:val="13"/>
                <w:color w:val="auto"/>
              </w:rPr>
            </w:pPr>
          </w:p>
        </w:tc>
        <w:tc>
          <w:tcPr>
            <w:tcW w:w="118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1360" w:type="dxa"/>
            <w:vAlign w:val="bottom"/>
            <w:gridSpan w:val="2"/>
          </w:tcPr>
          <w:p>
            <w:pPr>
              <w:jc w:val="center"/>
              <w:ind w:right="240"/>
              <w:spacing w:after="0" w:line="158" w:lineRule="exact"/>
              <w:rPr>
                <w:sz w:val="20"/>
                <w:szCs w:val="20"/>
                <w:color w:val="auto"/>
              </w:rPr>
            </w:pPr>
            <w:r>
              <w:rPr>
                <w:rFonts w:ascii="Times New Roman" w:cs="Times New Roman" w:eastAsia="Times New Roman" w:hAnsi="Times New Roman"/>
                <w:sz w:val="16"/>
                <w:szCs w:val="16"/>
                <w:b w:val="1"/>
                <w:bCs w:val="1"/>
                <w:color w:val="auto"/>
                <w:w w:val="97"/>
              </w:rPr>
              <w:t>comprehensive</w:t>
            </w:r>
          </w:p>
        </w:tc>
        <w:tc>
          <w:tcPr>
            <w:tcW w:w="160" w:type="dxa"/>
            <w:vAlign w:val="bottom"/>
          </w:tcPr>
          <w:p>
            <w:pPr>
              <w:spacing w:after="0"/>
              <w:rPr>
                <w:sz w:val="13"/>
                <w:szCs w:val="13"/>
                <w:color w:val="auto"/>
              </w:rPr>
            </w:pPr>
          </w:p>
        </w:tc>
        <w:tc>
          <w:tcPr>
            <w:tcW w:w="1120" w:type="dxa"/>
            <w:vAlign w:val="bottom"/>
          </w:tcPr>
          <w:p>
            <w:pPr>
              <w:jc w:val="center"/>
              <w:ind w:right="61"/>
              <w:spacing w:after="0" w:line="157" w:lineRule="exact"/>
              <w:rPr>
                <w:sz w:val="20"/>
                <w:szCs w:val="20"/>
                <w:color w:val="auto"/>
              </w:rPr>
            </w:pPr>
            <w:r>
              <w:rPr>
                <w:rFonts w:ascii="Times New Roman" w:cs="Times New Roman" w:eastAsia="Times New Roman" w:hAnsi="Times New Roman"/>
                <w:sz w:val="16"/>
                <w:szCs w:val="16"/>
                <w:b w:val="1"/>
                <w:bCs w:val="1"/>
                <w:color w:val="auto"/>
                <w:w w:val="99"/>
              </w:rPr>
              <w:t>stockholders</w:t>
            </w:r>
            <w:r>
              <w:rPr>
                <w:rFonts w:ascii="Arial" w:cs="Arial" w:eastAsia="Arial" w:hAnsi="Arial"/>
                <w:sz w:val="16"/>
                <w:szCs w:val="16"/>
                <w:b w:val="1"/>
                <w:bCs w:val="1"/>
                <w:color w:val="auto"/>
                <w:w w:val="99"/>
              </w:rPr>
              <w:t>’</w:t>
            </w:r>
          </w:p>
        </w:tc>
        <w:tc>
          <w:tcPr>
            <w:tcW w:w="0" w:type="dxa"/>
            <w:vAlign w:val="bottom"/>
          </w:tcPr>
          <w:p>
            <w:pPr>
              <w:spacing w:after="0"/>
              <w:rPr>
                <w:sz w:val="1"/>
                <w:szCs w:val="1"/>
                <w:color w:val="auto"/>
              </w:rPr>
            </w:pPr>
          </w:p>
        </w:tc>
      </w:tr>
      <w:tr>
        <w:trPr>
          <w:trHeight w:val="209"/>
        </w:trPr>
        <w:tc>
          <w:tcPr>
            <w:tcW w:w="3700" w:type="dxa"/>
            <w:vAlign w:val="bottom"/>
          </w:tcPr>
          <w:p>
            <w:pPr>
              <w:spacing w:after="0"/>
              <w:rPr>
                <w:sz w:val="18"/>
                <w:szCs w:val="18"/>
                <w:color w:val="auto"/>
              </w:rPr>
            </w:pPr>
          </w:p>
        </w:tc>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7"/>
              </w:rPr>
              <w:t>common stock</w:t>
            </w:r>
          </w:p>
        </w:tc>
        <w:tc>
          <w:tcPr>
            <w:tcW w:w="118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7"/>
              </w:rPr>
              <w:t>common stock</w:t>
            </w:r>
          </w:p>
        </w:tc>
        <w:tc>
          <w:tcPr>
            <w:tcW w:w="120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paid-in capital</w:t>
            </w:r>
          </w:p>
        </w:tc>
        <w:tc>
          <w:tcPr>
            <w:tcW w:w="160" w:type="dxa"/>
            <w:vAlign w:val="bottom"/>
          </w:tcPr>
          <w:p>
            <w:pPr>
              <w:spacing w:after="0"/>
              <w:rPr>
                <w:sz w:val="18"/>
                <w:szCs w:val="18"/>
                <w:color w:val="auto"/>
              </w:rPr>
            </w:pPr>
          </w:p>
        </w:tc>
        <w:tc>
          <w:tcPr>
            <w:tcW w:w="102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160" w:type="dxa"/>
            <w:vAlign w:val="bottom"/>
          </w:tcPr>
          <w:p>
            <w:pPr>
              <w:spacing w:after="0"/>
              <w:rPr>
                <w:sz w:val="18"/>
                <w:szCs w:val="18"/>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income (loss)</w:t>
            </w:r>
          </w:p>
        </w:tc>
        <w:tc>
          <w:tcPr>
            <w:tcW w:w="160" w:type="dxa"/>
            <w:vAlign w:val="bottom"/>
          </w:tcPr>
          <w:p>
            <w:pPr>
              <w:spacing w:after="0"/>
              <w:rPr>
                <w:sz w:val="18"/>
                <w:szCs w:val="18"/>
                <w:color w:val="auto"/>
              </w:rPr>
            </w:pPr>
          </w:p>
        </w:tc>
        <w:tc>
          <w:tcPr>
            <w:tcW w:w="1120" w:type="dxa"/>
            <w:vAlign w:val="bottom"/>
          </w:tcPr>
          <w:p>
            <w:pPr>
              <w:jc w:val="center"/>
              <w:ind w:right="61"/>
              <w:spacing w:after="0"/>
              <w:rPr>
                <w:sz w:val="20"/>
                <w:szCs w:val="20"/>
                <w:color w:val="auto"/>
              </w:rPr>
            </w:pPr>
            <w:r>
              <w:rPr>
                <w:rFonts w:ascii="Times New Roman" w:cs="Times New Roman" w:eastAsia="Times New Roman" w:hAnsi="Times New Roman"/>
                <w:sz w:val="16"/>
                <w:szCs w:val="16"/>
                <w:b w:val="1"/>
                <w:bCs w:val="1"/>
                <w:color w:val="auto"/>
                <w:w w:val="98"/>
              </w:rPr>
              <w:t>equity</w:t>
            </w:r>
          </w:p>
        </w:tc>
        <w:tc>
          <w:tcPr>
            <w:tcW w:w="0" w:type="dxa"/>
            <w:vAlign w:val="bottom"/>
          </w:tcPr>
          <w:p>
            <w:pPr>
              <w:spacing w:after="0"/>
              <w:rPr>
                <w:sz w:val="1"/>
                <w:szCs w:val="1"/>
                <w:color w:val="auto"/>
              </w:rPr>
            </w:pPr>
          </w:p>
        </w:tc>
      </w:tr>
      <w:tr>
        <w:trPr>
          <w:trHeight w:val="204"/>
        </w:trPr>
        <w:tc>
          <w:tcPr>
            <w:tcW w:w="3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October 1, 2021</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165.3</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41.3</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77.9</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5,185.8</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5,297.1</w:t>
            </w:r>
          </w:p>
        </w:tc>
        <w:tc>
          <w:tcPr>
            <w:tcW w:w="0" w:type="dxa"/>
            <w:vAlign w:val="bottom"/>
          </w:tcPr>
          <w:p>
            <w:pPr>
              <w:spacing w:after="0"/>
              <w:rPr>
                <w:sz w:val="1"/>
                <w:szCs w:val="1"/>
                <w:color w:val="auto"/>
              </w:rPr>
            </w:pPr>
          </w:p>
        </w:tc>
      </w:tr>
      <w:tr>
        <w:trPr>
          <w:trHeight w:val="208"/>
        </w:trPr>
        <w:tc>
          <w:tcPr>
            <w:tcW w:w="37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income</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1,275.2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1,275.2</w:t>
            </w:r>
          </w:p>
        </w:tc>
        <w:tc>
          <w:tcPr>
            <w:tcW w:w="0" w:type="dxa"/>
            <w:vAlign w:val="bottom"/>
          </w:tcPr>
          <w:p>
            <w:pPr>
              <w:spacing w:after="0"/>
              <w:rPr>
                <w:sz w:val="1"/>
                <w:szCs w:val="1"/>
                <w:color w:val="auto"/>
              </w:rPr>
            </w:pPr>
          </w:p>
        </w:tc>
      </w:tr>
      <w:tr>
        <w:trPr>
          <w:trHeight w:val="159"/>
        </w:trPr>
        <w:tc>
          <w:tcPr>
            <w:tcW w:w="3700" w:type="dxa"/>
            <w:vAlign w:val="bottom"/>
            <w:shd w:val="clear" w:color="auto" w:fill="CCEEFF"/>
          </w:tcPr>
          <w:p>
            <w:pPr>
              <w:ind w:left="140"/>
              <w:spacing w:after="0" w:line="159" w:lineRule="exact"/>
              <w:rPr>
                <w:sz w:val="20"/>
                <w:szCs w:val="20"/>
                <w:color w:val="auto"/>
              </w:rPr>
            </w:pPr>
            <w:r>
              <w:rPr>
                <w:rFonts w:ascii="Times New Roman" w:cs="Times New Roman" w:eastAsia="Times New Roman" w:hAnsi="Times New Roman"/>
                <w:sz w:val="16"/>
                <w:szCs w:val="16"/>
                <w:color w:val="auto"/>
              </w:rPr>
              <w:t>Exercise and settlement of share-based awards, net of</w:t>
            </w: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3"/>
                <w:szCs w:val="13"/>
                <w:color w:val="auto"/>
              </w:rPr>
            </w:pPr>
          </w:p>
        </w:tc>
        <w:tc>
          <w:tcPr>
            <w:tcW w:w="13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3"/>
                <w:szCs w:val="13"/>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w:t>
            </w:r>
          </w:p>
        </w:tc>
        <w:tc>
          <w:tcPr>
            <w:tcW w:w="0" w:type="dxa"/>
            <w:vAlign w:val="bottom"/>
          </w:tcPr>
          <w:p>
            <w:pPr>
              <w:spacing w:after="0"/>
              <w:rPr>
                <w:sz w:val="1"/>
                <w:szCs w:val="1"/>
                <w:color w:val="auto"/>
              </w:rPr>
            </w:pPr>
          </w:p>
        </w:tc>
      </w:tr>
      <w:tr>
        <w:trPr>
          <w:trHeight w:val="210"/>
        </w:trPr>
        <w:tc>
          <w:tcPr>
            <w:tcW w:w="3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shares withheld for taxes</w:t>
            </w:r>
          </w:p>
        </w:tc>
        <w:tc>
          <w:tcPr>
            <w:tcW w:w="10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7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Share-based compensation expense</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173.9</w:t>
            </w:r>
          </w:p>
        </w:tc>
        <w:tc>
          <w:tcPr>
            <w:tcW w:w="0" w:type="dxa"/>
            <w:vAlign w:val="bottom"/>
          </w:tcPr>
          <w:p>
            <w:pPr>
              <w:spacing w:after="0"/>
              <w:rPr>
                <w:sz w:val="1"/>
                <w:szCs w:val="1"/>
                <w:color w:val="auto"/>
              </w:rPr>
            </w:pPr>
          </w:p>
        </w:tc>
      </w:tr>
      <w:tr>
        <w:trPr>
          <w:trHeight w:val="212"/>
        </w:trPr>
        <w:tc>
          <w:tcPr>
            <w:tcW w:w="3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Repurchase of common stock</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(666.0)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(886.8)</w:t>
            </w:r>
          </w:p>
        </w:tc>
        <w:tc>
          <w:tcPr>
            <w:tcW w:w="0" w:type="dxa"/>
            <w:vAlign w:val="bottom"/>
          </w:tcPr>
          <w:p>
            <w:pPr>
              <w:spacing w:after="0"/>
              <w:rPr>
                <w:sz w:val="1"/>
                <w:szCs w:val="1"/>
                <w:color w:val="auto"/>
              </w:rPr>
            </w:pPr>
          </w:p>
        </w:tc>
      </w:tr>
      <w:tr>
        <w:trPr>
          <w:trHeight w:val="208"/>
        </w:trPr>
        <w:tc>
          <w:tcPr>
            <w:tcW w:w="37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Dividends declared</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(373.1)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(373.1)</w:t>
            </w:r>
          </w:p>
        </w:tc>
        <w:tc>
          <w:tcPr>
            <w:tcW w:w="0" w:type="dxa"/>
            <w:vAlign w:val="bottom"/>
          </w:tcPr>
          <w:p>
            <w:pPr>
              <w:spacing w:after="0"/>
              <w:rPr>
                <w:sz w:val="1"/>
                <w:szCs w:val="1"/>
                <w:color w:val="auto"/>
              </w:rPr>
            </w:pPr>
          </w:p>
        </w:tc>
      </w:tr>
      <w:tr>
        <w:trPr>
          <w:trHeight w:val="210"/>
        </w:trPr>
        <w:tc>
          <w:tcPr>
            <w:tcW w:w="3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0" w:type="dxa"/>
            <w:vAlign w:val="bottom"/>
          </w:tcPr>
          <w:p>
            <w:pPr>
              <w:spacing w:after="0"/>
              <w:rPr>
                <w:sz w:val="1"/>
                <w:szCs w:val="1"/>
                <w:color w:val="auto"/>
              </w:rPr>
            </w:pPr>
          </w:p>
        </w:tc>
      </w:tr>
      <w:tr>
        <w:trPr>
          <w:trHeight w:val="205"/>
        </w:trPr>
        <w:tc>
          <w:tcPr>
            <w:tcW w:w="3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at September 30, 2022</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160.2</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40.0</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11.9</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5,421.9</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8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5,469.0</w:t>
            </w:r>
          </w:p>
        </w:tc>
        <w:tc>
          <w:tcPr>
            <w:tcW w:w="0" w:type="dxa"/>
            <w:vAlign w:val="bottom"/>
          </w:tcPr>
          <w:p>
            <w:pPr>
              <w:spacing w:after="0"/>
              <w:rPr>
                <w:sz w:val="1"/>
                <w:szCs w:val="1"/>
                <w:color w:val="auto"/>
              </w:rPr>
            </w:pPr>
          </w:p>
        </w:tc>
      </w:tr>
      <w:tr>
        <w:trPr>
          <w:trHeight w:val="20"/>
        </w:trPr>
        <w:tc>
          <w:tcPr>
            <w:tcW w:w="370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income</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982.8</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982.8</w:t>
            </w:r>
          </w:p>
        </w:tc>
        <w:tc>
          <w:tcPr>
            <w:tcW w:w="0" w:type="dxa"/>
            <w:vAlign w:val="bottom"/>
          </w:tcPr>
          <w:p>
            <w:pPr>
              <w:spacing w:after="0"/>
              <w:rPr>
                <w:sz w:val="1"/>
                <w:szCs w:val="1"/>
                <w:color w:val="auto"/>
              </w:rPr>
            </w:pPr>
          </w:p>
        </w:tc>
      </w:tr>
      <w:tr>
        <w:trPr>
          <w:trHeight w:val="158"/>
        </w:trPr>
        <w:tc>
          <w:tcPr>
            <w:tcW w:w="3700" w:type="dxa"/>
            <w:vAlign w:val="bottom"/>
          </w:tcPr>
          <w:p>
            <w:pPr>
              <w:ind w:left="140"/>
              <w:spacing w:after="0" w:line="158" w:lineRule="exact"/>
              <w:rPr>
                <w:sz w:val="20"/>
                <w:szCs w:val="20"/>
                <w:color w:val="auto"/>
              </w:rPr>
            </w:pPr>
            <w:r>
              <w:rPr>
                <w:rFonts w:ascii="Times New Roman" w:cs="Times New Roman" w:eastAsia="Times New Roman" w:hAnsi="Times New Roman"/>
                <w:sz w:val="16"/>
                <w:szCs w:val="16"/>
                <w:color w:val="auto"/>
              </w:rPr>
              <w:t>Exercise and settlement of share-based awards, net of</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20.4</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3"/>
                <w:szCs w:val="13"/>
                <w:color w:val="auto"/>
              </w:rPr>
            </w:pPr>
          </w:p>
        </w:tc>
        <w:tc>
          <w:tcPr>
            <w:tcW w:w="13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3"/>
                <w:szCs w:val="13"/>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20.7</w:t>
            </w:r>
          </w:p>
        </w:tc>
        <w:tc>
          <w:tcPr>
            <w:tcW w:w="0" w:type="dxa"/>
            <w:vAlign w:val="bottom"/>
          </w:tcPr>
          <w:p>
            <w:pPr>
              <w:spacing w:after="0"/>
              <w:rPr>
                <w:sz w:val="1"/>
                <w:szCs w:val="1"/>
                <w:color w:val="auto"/>
              </w:rPr>
            </w:pPr>
          </w:p>
        </w:tc>
      </w:tr>
      <w:tr>
        <w:trPr>
          <w:trHeight w:val="208"/>
        </w:trPr>
        <w:tc>
          <w:tcPr>
            <w:tcW w:w="37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shares withheld for taxes</w:t>
            </w:r>
          </w:p>
        </w:tc>
        <w:tc>
          <w:tcPr>
            <w:tcW w:w="10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Share-based compensation expense</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191.5</w:t>
            </w:r>
          </w:p>
        </w:tc>
        <w:tc>
          <w:tcPr>
            <w:tcW w:w="0" w:type="dxa"/>
            <w:vAlign w:val="bottom"/>
          </w:tcPr>
          <w:p>
            <w:pPr>
              <w:spacing w:after="0"/>
              <w:rPr>
                <w:sz w:val="1"/>
                <w:szCs w:val="1"/>
                <w:color w:val="auto"/>
              </w:rPr>
            </w:pPr>
          </w:p>
        </w:tc>
      </w:tr>
      <w:tr>
        <w:trPr>
          <w:trHeight w:val="208"/>
        </w:trPr>
        <w:tc>
          <w:tcPr>
            <w:tcW w:w="37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Repurchase of common stock</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(175.3)</w:t>
            </w:r>
          </w:p>
        </w:tc>
        <w:tc>
          <w:tcPr>
            <w:tcW w:w="0" w:type="dxa"/>
            <w:vAlign w:val="bottom"/>
          </w:tcPr>
          <w:p>
            <w:pPr>
              <w:spacing w:after="0"/>
              <w:rPr>
                <w:sz w:val="1"/>
                <w:szCs w:val="1"/>
                <w:color w:val="auto"/>
              </w:rPr>
            </w:pPr>
          </w:p>
        </w:tc>
      </w:tr>
      <w:tr>
        <w:trPr>
          <w:trHeight w:val="212"/>
        </w:trPr>
        <w:tc>
          <w:tcPr>
            <w:tcW w:w="3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Dividends declared</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(405.2)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(405.2)</w:t>
            </w:r>
          </w:p>
        </w:tc>
        <w:tc>
          <w:tcPr>
            <w:tcW w:w="0" w:type="dxa"/>
            <w:vAlign w:val="bottom"/>
          </w:tcPr>
          <w:p>
            <w:pPr>
              <w:spacing w:after="0"/>
              <w:rPr>
                <w:sz w:val="1"/>
                <w:szCs w:val="1"/>
                <w:color w:val="auto"/>
              </w:rPr>
            </w:pPr>
          </w:p>
        </w:tc>
      </w:tr>
      <w:tr>
        <w:trPr>
          <w:trHeight w:val="208"/>
        </w:trPr>
        <w:tc>
          <w:tcPr>
            <w:tcW w:w="37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 comprehensive loss</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0" w:type="dxa"/>
            <w:vAlign w:val="bottom"/>
          </w:tcPr>
          <w:p>
            <w:pPr>
              <w:spacing w:after="0"/>
              <w:rPr>
                <w:sz w:val="1"/>
                <w:szCs w:val="1"/>
                <w:color w:val="auto"/>
              </w:rPr>
            </w:pPr>
          </w:p>
        </w:tc>
      </w:tr>
      <w:tr>
        <w:trPr>
          <w:trHeight w:val="230"/>
        </w:trPr>
        <w:tc>
          <w:tcPr>
            <w:tcW w:w="37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September 29, 2023</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5,876.0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6,082.7</w:t>
            </w:r>
          </w:p>
        </w:tc>
        <w:tc>
          <w:tcPr>
            <w:tcW w:w="0" w:type="dxa"/>
            <w:vAlign w:val="bottom"/>
          </w:tcPr>
          <w:p>
            <w:pPr>
              <w:spacing w:after="0"/>
              <w:rPr>
                <w:sz w:val="1"/>
                <w:szCs w:val="1"/>
                <w:color w:val="auto"/>
              </w:rPr>
            </w:pPr>
          </w:p>
        </w:tc>
      </w:tr>
      <w:tr>
        <w:trPr>
          <w:trHeight w:val="20"/>
        </w:trPr>
        <w:tc>
          <w:tcPr>
            <w:tcW w:w="3700" w:type="dxa"/>
            <w:vAlign w:val="bottom"/>
            <w:tcBorders>
              <w:top w:val="single" w:sz="8" w:color="CCEEFF"/>
            </w:tcBorders>
            <w:vMerge w:val="restart"/>
          </w:tcPr>
          <w:p>
            <w:pPr>
              <w:ind w:left="140"/>
              <w:spacing w:after="0"/>
              <w:rPr>
                <w:sz w:val="20"/>
                <w:szCs w:val="20"/>
                <w:color w:val="auto"/>
              </w:rPr>
            </w:pPr>
            <w:r>
              <w:rPr>
                <w:rFonts w:ascii="Times New Roman" w:cs="Times New Roman" w:eastAsia="Times New Roman" w:hAnsi="Times New Roman"/>
                <w:sz w:val="16"/>
                <w:szCs w:val="16"/>
                <w:color w:val="auto"/>
              </w:rPr>
              <w:t>Net income</w:t>
            </w:r>
          </w:p>
        </w:tc>
        <w:tc>
          <w:tcPr>
            <w:tcW w:w="118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3700" w:type="dxa"/>
            <w:vAlign w:val="bottom"/>
            <w:tcBorders>
              <w:top w:val="single" w:sz="8" w:color="CCEEFF"/>
            </w:tcBorders>
            <w:vMerge w:val="continue"/>
          </w:tcPr>
          <w:p>
            <w:pPr>
              <w:spacing w:after="0"/>
              <w:rPr>
                <w:sz w:val="15"/>
                <w:szCs w:val="15"/>
                <w:color w:val="auto"/>
              </w:rPr>
            </w:pPr>
          </w:p>
        </w:tc>
        <w:tc>
          <w:tcPr>
            <w:tcW w:w="1080" w:type="dxa"/>
            <w:vAlign w:val="bottom"/>
            <w:tcBorders>
              <w:top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5"/>
                <w:szCs w:val="15"/>
                <w:color w:val="auto"/>
              </w:rPr>
            </w:pPr>
          </w:p>
        </w:tc>
        <w:tc>
          <w:tcPr>
            <w:tcW w:w="120" w:type="dxa"/>
            <w:vAlign w:val="bottom"/>
            <w:tcBorders>
              <w:top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5"/>
                <w:szCs w:val="15"/>
                <w:color w:val="auto"/>
              </w:rPr>
            </w:pPr>
          </w:p>
        </w:tc>
        <w:tc>
          <w:tcPr>
            <w:tcW w:w="140" w:type="dxa"/>
            <w:vAlign w:val="bottom"/>
            <w:tcBorders>
              <w:top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5"/>
                <w:szCs w:val="15"/>
                <w:color w:val="auto"/>
              </w:rPr>
            </w:pPr>
          </w:p>
        </w:tc>
        <w:tc>
          <w:tcPr>
            <w:tcW w:w="160" w:type="dxa"/>
            <w:vAlign w:val="bottom"/>
            <w:tcBorders>
              <w:top w:val="single" w:sz="8" w:color="auto"/>
            </w:tcBorders>
          </w:tcPr>
          <w:p>
            <w:pPr>
              <w:jc w:val="right"/>
              <w:ind w:right="1"/>
              <w:spacing w:after="0" w:line="181" w:lineRule="exact"/>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top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color w:val="auto"/>
              </w:rPr>
              <w:t>596.0</w:t>
            </w:r>
          </w:p>
        </w:tc>
        <w:tc>
          <w:tcPr>
            <w:tcW w:w="100" w:type="dxa"/>
            <w:vAlign w:val="bottom"/>
          </w:tcPr>
          <w:p>
            <w:pPr>
              <w:spacing w:after="0"/>
              <w:rPr>
                <w:sz w:val="15"/>
                <w:szCs w:val="15"/>
                <w:color w:val="auto"/>
              </w:rPr>
            </w:pPr>
          </w:p>
        </w:tc>
        <w:tc>
          <w:tcPr>
            <w:tcW w:w="160" w:type="dxa"/>
            <w:vAlign w:val="bottom"/>
            <w:tcBorders>
              <w:top w:val="single" w:sz="8" w:color="auto"/>
            </w:tcBorders>
          </w:tcPr>
          <w:p>
            <w:pPr>
              <w:jc w:val="right"/>
              <w:ind w:right="1"/>
              <w:spacing w:after="0" w:line="181" w:lineRule="exact"/>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tcBorders>
              <w:top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5"/>
                <w:szCs w:val="15"/>
                <w:color w:val="auto"/>
              </w:rPr>
            </w:pPr>
          </w:p>
        </w:tc>
        <w:tc>
          <w:tcPr>
            <w:tcW w:w="160" w:type="dxa"/>
            <w:vAlign w:val="bottom"/>
            <w:tcBorders>
              <w:top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color w:val="auto"/>
              </w:rPr>
              <w:t>596.0</w:t>
            </w:r>
          </w:p>
        </w:tc>
        <w:tc>
          <w:tcPr>
            <w:tcW w:w="0" w:type="dxa"/>
            <w:vAlign w:val="bottom"/>
          </w:tcPr>
          <w:p>
            <w:pPr>
              <w:spacing w:after="0"/>
              <w:rPr>
                <w:sz w:val="1"/>
                <w:szCs w:val="1"/>
                <w:color w:val="auto"/>
              </w:rPr>
            </w:pPr>
          </w:p>
        </w:tc>
      </w:tr>
      <w:tr>
        <w:trPr>
          <w:trHeight w:val="159"/>
        </w:trPr>
        <w:tc>
          <w:tcPr>
            <w:tcW w:w="3700" w:type="dxa"/>
            <w:vAlign w:val="bottom"/>
            <w:shd w:val="clear" w:color="auto" w:fill="CCEEFF"/>
          </w:tcPr>
          <w:p>
            <w:pPr>
              <w:ind w:left="140"/>
              <w:spacing w:after="0" w:line="159" w:lineRule="exact"/>
              <w:rPr>
                <w:sz w:val="20"/>
                <w:szCs w:val="20"/>
                <w:color w:val="auto"/>
              </w:rPr>
            </w:pPr>
            <w:r>
              <w:rPr>
                <w:rFonts w:ascii="Times New Roman" w:cs="Times New Roman" w:eastAsia="Times New Roman" w:hAnsi="Times New Roman"/>
                <w:sz w:val="16"/>
                <w:szCs w:val="16"/>
                <w:color w:val="auto"/>
              </w:rPr>
              <w:t>Exercise and settlement of share-based awards, net of</w:t>
            </w: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3"/>
                <w:szCs w:val="13"/>
                <w:color w:val="auto"/>
              </w:rPr>
            </w:pPr>
          </w:p>
        </w:tc>
        <w:tc>
          <w:tcPr>
            <w:tcW w:w="13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3"/>
                <w:szCs w:val="13"/>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0" w:type="dxa"/>
            <w:vAlign w:val="bottom"/>
          </w:tcPr>
          <w:p>
            <w:pPr>
              <w:spacing w:after="0"/>
              <w:rPr>
                <w:sz w:val="1"/>
                <w:szCs w:val="1"/>
                <w:color w:val="auto"/>
              </w:rPr>
            </w:pPr>
          </w:p>
        </w:tc>
      </w:tr>
      <w:tr>
        <w:trPr>
          <w:trHeight w:val="210"/>
        </w:trPr>
        <w:tc>
          <w:tcPr>
            <w:tcW w:w="3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shares withheld for taxes</w:t>
            </w:r>
          </w:p>
        </w:tc>
        <w:tc>
          <w:tcPr>
            <w:tcW w:w="10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7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Share-based compensation expense</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175.8</w:t>
            </w:r>
          </w:p>
        </w:tc>
        <w:tc>
          <w:tcPr>
            <w:tcW w:w="0" w:type="dxa"/>
            <w:vAlign w:val="bottom"/>
          </w:tcPr>
          <w:p>
            <w:pPr>
              <w:spacing w:after="0"/>
              <w:rPr>
                <w:sz w:val="1"/>
                <w:szCs w:val="1"/>
                <w:color w:val="auto"/>
              </w:rPr>
            </w:pPr>
          </w:p>
        </w:tc>
      </w:tr>
      <w:tr>
        <w:trPr>
          <w:trHeight w:val="212"/>
        </w:trPr>
        <w:tc>
          <w:tcPr>
            <w:tcW w:w="3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Repurchase of common stock</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(77.4)</w:t>
            </w:r>
          </w:p>
        </w:tc>
        <w:tc>
          <w:tcPr>
            <w:tcW w:w="0" w:type="dxa"/>
            <w:vAlign w:val="bottom"/>
          </w:tcPr>
          <w:p>
            <w:pPr>
              <w:spacing w:after="0"/>
              <w:rPr>
                <w:sz w:val="1"/>
                <w:szCs w:val="1"/>
                <w:color w:val="auto"/>
              </w:rPr>
            </w:pPr>
          </w:p>
        </w:tc>
      </w:tr>
      <w:tr>
        <w:trPr>
          <w:trHeight w:val="208"/>
        </w:trPr>
        <w:tc>
          <w:tcPr>
            <w:tcW w:w="37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Dividends declared</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(439.1)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(439.1)</w:t>
            </w:r>
          </w:p>
        </w:tc>
        <w:tc>
          <w:tcPr>
            <w:tcW w:w="0" w:type="dxa"/>
            <w:vAlign w:val="bottom"/>
          </w:tcPr>
          <w:p>
            <w:pPr>
              <w:spacing w:after="0"/>
              <w:rPr>
                <w:sz w:val="1"/>
                <w:szCs w:val="1"/>
                <w:color w:val="auto"/>
              </w:rPr>
            </w:pPr>
          </w:p>
        </w:tc>
      </w:tr>
      <w:tr>
        <w:trPr>
          <w:trHeight w:val="230"/>
        </w:trPr>
        <w:tc>
          <w:tcPr>
            <w:tcW w:w="37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September 27, 2024</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6,032.9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6,336.7</w:t>
            </w:r>
          </w:p>
        </w:tc>
        <w:tc>
          <w:tcPr>
            <w:tcW w:w="0" w:type="dxa"/>
            <w:vAlign w:val="bottom"/>
          </w:tcPr>
          <w:p>
            <w:pPr>
              <w:spacing w:after="0"/>
              <w:rPr>
                <w:sz w:val="1"/>
                <w:szCs w:val="1"/>
                <w:color w:val="auto"/>
              </w:rPr>
            </w:pPr>
          </w:p>
        </w:tc>
      </w:tr>
      <w:tr>
        <w:trPr>
          <w:trHeight w:val="20"/>
        </w:trPr>
        <w:tc>
          <w:tcPr>
            <w:tcW w:w="37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84455</wp:posOffset>
            </wp:positionV>
            <wp:extent cx="716153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39" w:lineRule="exact"/>
        <w:rPr>
          <w:sz w:val="20"/>
          <w:szCs w:val="20"/>
          <w:color w:val="auto"/>
        </w:rPr>
      </w:pPr>
    </w:p>
    <w:p>
      <w:pPr>
        <w:ind w:left="360" w:hanging="355"/>
        <w:spacing w:after="0"/>
        <w:tabs>
          <w:tab w:leader="none" w:pos="36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DESCRIPTION OF BUSINESS</w:t>
      </w:r>
    </w:p>
    <w:p>
      <w:pPr>
        <w:spacing w:after="0" w:line="24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Skyworks Solutions, Inc., together with its consolidated subsidiaries (“Skyworks” or the “Company”), is a leading developer, manufacturer and provider of analog and mixed-signal semiconductor products and solutions for numerous applications, including aerospace, automotive, broadband, cellular infrastructure, connected home, defense, entertainment and gaming, industrial, medical, smartphone, tablet, and wearables.</w:t>
      </w:r>
    </w:p>
    <w:p>
      <w:pPr>
        <w:spacing w:after="0" w:line="205" w:lineRule="exact"/>
        <w:rPr>
          <w:sz w:val="20"/>
          <w:szCs w:val="20"/>
          <w:color w:val="auto"/>
        </w:rPr>
      </w:pPr>
    </w:p>
    <w:p>
      <w:pPr>
        <w:ind w:left="360" w:hanging="355"/>
        <w:spacing w:after="0"/>
        <w:tabs>
          <w:tab w:leader="none" w:pos="36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PRESENTATION AND SUMMARY OF SIGNIFICANT ACCOUNTING POLICIES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11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All Skyworks subsidiaries are included in the Company’s consolidated financial statements and all intercompany balances are eliminated in consolidation. Certain items in the fiscal years 2023 and 2022 financial statements, including certain account groupings in the tax reconciliation disclosure, deferred tax disclosure, and the Consolidated Statements of Stockholders’ Equity, have been reclassified to conform to the fiscal 2024 presentation.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Fiscal Year</w:t>
      </w:r>
    </w:p>
    <w:p>
      <w:pPr>
        <w:spacing w:after="0" w:line="11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The Company’s fiscal year ends on the Friday closest to September 30. The fiscal year ended on September 27, 2024 (“fiscal 2024”), the fiscal year ended on September 29, 2023 (“fiscal 2023”), and the fiscal year ended on September 30, 2022 (“fiscal 2022”), each consisted of 52 weeks.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12"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amounts of assets, liabilities, revenue, expenses, comprehensive income, and accumulated other comprehensive loss that are reported during the reporting period. The Company evaluates its estimates on an ongoing basis using historical experience and other factors, including the current economic environment. Judgment is required in determining the reserves for, and fair value of, items such as overall fair value assessments of assets and liabilities, particularly those classified as Level 2 or Level 3 in the fair value hierarchy, marketable securities, inventory, intangible assets associated with business combinations, share-based compensation, revenue reserves, loss contingencies, and income taxes. In addition, judgment is required in determining whether a potential indicator of impairment of long-lived assets, indefinite-lived intangible assets, and goodwill exists and in estimating future cash flows for any necessary impairment testing. Actual results could differ significantly from these estimates.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1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The Company invests excess cash in money market funds, U.S. Treasury and government securities, and corporate bonds and notes. The Company considers highly liquid investments as cash equivalents including money market funds and investments with maturities of 90 days or less when purchased.</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Investments</w:t>
      </w:r>
    </w:p>
    <w:p>
      <w:pPr>
        <w:spacing w:after="0" w:line="112"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The Company classifies its investment in marketable debt securities as “available-for-sale.” Available-for-sale securities are carried at fair value with unrealized holding gains or losses recorded in other comprehensive income, net of tax. Gains or losses are included in earnings in the period in which they are realized. The cost of securities sold is determined based on the specific identification method. The cost of available-for-sale debt securities is adjusted for premiums and discounts, with the amortization or accretion of such amounts included as a portion of interest. Available-for-sale debt securities with an original maturity date greater than three months and less than one year are classified as current investments. Available-for-sale debt securities with an original maturity date exceeding one year are classified as long-term.</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w:t>
      </w:r>
    </w:p>
    <w:p>
      <w:pPr>
        <w:spacing w:after="0" w:line="11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Fair value is defined as the exchange price that would be received for an asset or paid to transfer a liability (an exit price) in the principle or most advantageous market in an orderly transaction between market participants at the measurement date. Applicable accounting guidance provides a hierarchy for inputs used in measuring fair value that prioritize the use of</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84455</wp:posOffset>
            </wp:positionV>
            <wp:extent cx="7161530"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8"/>
          <w:szCs w:val="18"/>
          <w:color w:val="auto"/>
        </w:rPr>
        <w:t>observable inputs over the use of unobservable inputs, when such observable inputs are available. The three levels of inputs that may be used to measure fair value are as follows:</w:t>
      </w:r>
    </w:p>
    <w:p>
      <w:pPr>
        <w:spacing w:after="0" w:line="196" w:lineRule="exact"/>
        <w:rPr>
          <w:sz w:val="20"/>
          <w:szCs w:val="20"/>
          <w:color w:val="auto"/>
        </w:rPr>
      </w:pPr>
    </w:p>
    <w:p>
      <w:pPr>
        <w:ind w:left="780" w:hanging="460"/>
        <w:spacing w:after="0"/>
        <w:tabs>
          <w:tab w:leader="none" w:pos="7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Quoted prices in active markets for identical assets or liabilities.</w:t>
      </w:r>
    </w:p>
    <w:p>
      <w:pPr>
        <w:spacing w:after="0" w:line="55" w:lineRule="exact"/>
        <w:rPr>
          <w:rFonts w:ascii="Times New Roman" w:cs="Times New Roman" w:eastAsia="Times New Roman" w:hAnsi="Times New Roman"/>
          <w:sz w:val="18"/>
          <w:szCs w:val="18"/>
          <w:color w:val="auto"/>
        </w:rPr>
      </w:pPr>
    </w:p>
    <w:p>
      <w:pPr>
        <w:jc w:val="both"/>
        <w:ind w:left="800" w:hanging="480"/>
        <w:spacing w:after="0" w:line="255" w:lineRule="auto"/>
        <w:tabs>
          <w:tab w:leader="none" w:pos="79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Observable inputs other than Level 1 prices, such as quoted prices for similar assets or liabilities, quoted prices in markets with insufficient volume or infrequent transactions (less active markets), or model-driven valuations in which all significant inputs are observable or can be derived principally from, or corroborated with, observable market data.</w:t>
      </w:r>
    </w:p>
    <w:p>
      <w:pPr>
        <w:spacing w:after="0" w:line="22" w:lineRule="exact"/>
        <w:rPr>
          <w:rFonts w:ascii="Times New Roman" w:cs="Times New Roman" w:eastAsia="Times New Roman" w:hAnsi="Times New Roman"/>
          <w:sz w:val="18"/>
          <w:szCs w:val="18"/>
          <w:color w:val="auto"/>
        </w:rPr>
      </w:pPr>
    </w:p>
    <w:p>
      <w:pPr>
        <w:ind w:left="800" w:hanging="480"/>
        <w:spacing w:after="0" w:line="267" w:lineRule="auto"/>
        <w:tabs>
          <w:tab w:leader="none" w:pos="79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Fair value is derived from valuation techniques in which one or more significant inputs are unobservable, including assumptions and judgments made by the Company.</w:t>
      </w:r>
    </w:p>
    <w:p>
      <w:pPr>
        <w:spacing w:after="0" w:line="19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It is the Company’s policy to maximize the use of observable inputs and minimize the use of unobservable inputs when developing fair value measurements. When available, the Company uses quoted market prices to measure fair value. If market prices are not available, the Company is required to make judgments about assumptions market participants would use to estimate the fair value of a financial instrument.</w:t>
      </w:r>
    </w:p>
    <w:p>
      <w:pPr>
        <w:spacing w:after="0" w:line="20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measures certain assets and liabilities at fair value on a recurring basis in three levels, based on the market in which the assets and liabilities are traded and the reliability of the assumptions used to determine fair value. It recognizes transfers within the fair value hierarchy at the end of the fiscal quarter in which the change in circumstances that caused the transfer occurred.</w:t>
      </w:r>
    </w:p>
    <w:p>
      <w:pPr>
        <w:spacing w:after="0" w:line="20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The carrying value of cash and cash equivalents, accounts receivable, other current assets, accounts payable, and accrued liabilities approximates fair value due to the short-term maturities of these assets and liabilities.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Inventory</w:t>
      </w:r>
    </w:p>
    <w:p>
      <w:pPr>
        <w:spacing w:after="0" w:line="11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Inventory is stated at the lower of cost or net realizable value on a first-in, first-out basis. Reserves for excess and obsolete inventory are established on a quarterly basis and are based on a detailed analysis of aged material, salability of our inventory, market conditions, and product life cycles. Once reserves are established, write-downs of inventory are considered permanent adjustments to the cost basis of inventory.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Plant, and Equipment</w:t>
      </w:r>
    </w:p>
    <w:p>
      <w:pPr>
        <w:spacing w:after="0" w:line="11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Property, plant, and equipment are carried at cost less accumulated depreciation, with significant renewals and betterments being capitalized and retired equipment written off in the respective periods. Maintenance and repairs are expensed as incurred.</w:t>
      </w:r>
    </w:p>
    <w:p>
      <w:pPr>
        <w:spacing w:after="0" w:line="19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Depreciation is calculated using the straight-line method over the estimated useful lives, which range from five to forty years for buildings and improvements and from seven to ten years for machinery and equipment. Leasehold improvements are depreciated over the lesser of the economic life or the life of the associated lease.</w:t>
      </w:r>
    </w:p>
    <w:p>
      <w:pPr>
        <w:spacing w:after="0" w:line="20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During fiscal 2024, the Company changed its accounting estimate for the expected useful lives of certain machinery and equipment. The Company evaluated its current asset base and reassessed the estimated useful lives of certain machinery and equipment in connection with its recent usage of older equipment, including considering the technological and physical obsolescence of such machinery and equipment. Based on its ability to re-use equipment across generations of process technologies and historical usage trends, the Company determined that the expected useful lives for certain machinery and equipment should be increased by up to two years to reflect more closely the estimated economic lives of those assets. This change in estimate was applied prospectively effective during the first quarter of fiscal 2024 and resulted in a decrease in depreciation expense of $75.4 million during fiscal 2024. This benefit decreased cost of goods sold by $25.8 million and decreased research and development expenses by $9.8 million during fiscal 2024, and decreased ending inventory by $39.8 million as of September 27, 2024. As a result of this change in accounting estimate, net income increased by $35.6 million and diluted earnings per share increased by $0.22 during fiscal 2024.</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1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The Company determines if an arrangement is a lease at its inception. Right-of-use (“ROU”) assets and liabilities are recognized at the lease commencement date based on the present value of lease payments over the lease term. The Company uses its estimated incremental borrowing rate in determining the present value of lease payments considering the term of the lease, which is derived from information available at the lease commencement date. The lease term includes renewal options when it is reasonably certain that the option will be exercised and excludes termination options. To the extent that the Company’s agreements have variable lease payments, the Company includes variable lease payments that depend on an index</w:t>
      </w: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84455</wp:posOffset>
            </wp:positionV>
            <wp:extent cx="716153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a rate and excludes those that depend on facts or circumstances occurring after the commencement date, other than the passage of time.</w:t>
      </w:r>
    </w:p>
    <w:p>
      <w:pPr>
        <w:spacing w:after="0" w:line="23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Lease expense for these leases is recognized on a straight-line basis over the lease term. The Company has elected not to recognize ROU assets and lease liabilities that arise from short-term (12 months or less) leases for any class of underlying asset. Operating leases are included in operating lease ROU assets, other current liabilities, and long-term operating lease liabilities in the Company’s Consolidated Balance Sheets.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Valuation of Long-Lived Assets</w:t>
      </w:r>
    </w:p>
    <w:p>
      <w:pPr>
        <w:spacing w:after="0" w:line="11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Definite lived intangible assets are carried at cost less accumulated amortization. Amortization is calculated based on the pattern of benefit to be recognized from the underlying asset over its estimated useful life. Carrying values for long-lived assets and definite lived intangible assets are reviewed for possible impairment as circumstances warrant. Factors considered important that could result in an impairment review include significant underperformance relative to expected, historical or projected future operating results, significant changes in the manner of use of assets or the Company’s business strategy, or significant negative industry or economic trends. In addition, impairment reviews are conducted at the judgment of management whenever asset values are deemed to be unrecoverable relative to future undiscounted cash flows expected to be generated by that particular asset group. The determination of recoverability is based on an estimate of undiscounted cash flows expected to result from the use of an asset group and its eventual disposition. Such estimates require management to exercise judgment and make assumptions regarding factors such as future revenue streams, operating expenditures, cost allocation and asset utilization levels, all of which collectively impact future operating performance. The Company’s estimates of undiscounted cash flows may differ from actual cash flows due to, among other things, technological changes, economic conditions, changes to its business model, or changes in its operating performance. If the sum of the undiscounted cash flows is less than the carrying value of an asset group, the Company would recognize an impairment loss, measured as the amount by which the carrying value exceeds the fair value of the asset group.</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 and Indefinite-Lived Intangible Assets</w:t>
      </w:r>
    </w:p>
    <w:p>
      <w:pPr>
        <w:spacing w:after="0" w:line="112"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6"/>
          <w:szCs w:val="16"/>
          <w:color w:val="auto"/>
        </w:rPr>
        <w:t>Goodwill and indefinite-lived intangible assets are not amortized but are tested at least annually as of the first day of the fourth fiscal quarter for impairment or more frequently if indicators of impairment exist during the fiscal year. The Company assesses its conclusion regarding segments and reporting units in conjunction with its annual goodwill impairment test and has determined that it has one reporting unit for the purposes of allocating and testing goodwill.</w:t>
      </w:r>
    </w:p>
    <w:p>
      <w:pPr>
        <w:spacing w:after="0" w:line="17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The Company’s impairment analysis compares its fair value to its net book value to determine if there is an indicator of impairment. In the Company’s calculation of fair value, it considers the closing price of its common stock on the selected testing date, the number of shares of its common stock outstanding and other marketplace activity such as a related control premium. If the calculated fair value is determined to be less than the book value of the reporting unit, an impairment loss is recognized equal to that excess; however, the loss recognized should not exceed the total amount of goodwill allocated to that reporting unit.</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Combinations</w:t>
      </w:r>
    </w:p>
    <w:p>
      <w:pPr>
        <w:spacing w:after="0" w:line="11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The Company uses the acquisition method of accounting for business combinations and recognizes assets acquired and liabilities assumed at their fair values on the date acquired. Goodwill represents the excess of the purchase price over the fair value of the acquired identifiable net assets. The fair values of the assets and liabilities acquired are determined based upon the Company’s valuation using a combination of market, income, or cost approaches. The valuation involves making significant estimates and assumptions, which are based on detailed financial models including the projection of future cash flows, the weighted average cost of capital, and any cost savings that are expected to be derived in the future from the viewpoint of a market participant.</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12"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The Company derives its revenue primarily from the sale of semiconductor products under individual customer purchase orders, some of which have underlying master sales agreements that specify terms governing the product sales. In the absence of a sales agreement, the Company’s standard terms and conditions apply. Revenue is recognized when control of the promised goods or services is transferred to the Company’s customers, in an amount that reflects the consideration to which the Company expects to be entitled in exchange for those goods or services. The Company applies a five-step approach as defined in FASB ASC 606, Revenue from Contracts with Customers (Topic 606), in determining the amount and timing of revenue to be recognized: (1) identifying the contract with a customer; (2) identifying the performance obligations in the contract; (3) determining the transaction price; (4) allocating the transaction price to the performance obligations in the contract; and (5) recognizing revenue when the corresponding performance obligation is satisfied.</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84455</wp:posOffset>
            </wp:positionV>
            <wp:extent cx="7161530"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Each distinct promise to transfer products is considered to be an identified performance obligation for which revenue is recognized at a point in time upon transfer of control of the products to the customer. Transfer of control occurs upon shipment to the distributor or direct customer or when products are pulled from consignment inventory by the customer. Point in time recognition is determined as products manufactured under non-cancellable orders create an asset with an alternative use to the Company. Returns under the Company’s general assurance warranty of products have not been material, and warranty-related services are not considered a separate performance obligation.</w:t>
      </w:r>
    </w:p>
    <w:p>
      <w:pPr>
        <w:spacing w:after="0" w:line="213"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Pricing adjustments and estimates of returns are treated as variable consideration for purposes of determining the transaction price. Sales returns are generally accepted at the Company’s discretion or from distributors with stock rotation rights. Stock rotation allows distributors limited levels of returns and is based on the distributor’s prior purchases. Price protection represents price discounts granted to certain distributors and is based on negotiations on sales to end customers. Variable consideration is estimated using the expected value method considering all reasonably available information, including the Company’s historical experience and its current expectations, and is reflected in the transaction price when sales are recorded. The Company records net revenue excluding taxes on its sales to trade customers. The Company recognizes shipping fees, if any, received from customers in revenue and includes the related shipping and handling costs in cost of revenue.</w:t>
      </w:r>
    </w:p>
    <w:p>
      <w:pPr>
        <w:spacing w:after="0" w:line="21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Accounts receivable represents the Company’s unconditional right to receive consideration from its customer. Substantially all payments are collected within the Company’s standard terms, which do not include a significant financing component. To date, there have been no material impairment losses on accounts receivable. There were no material contract assets or contract liabilities recorded on the Consolidated Balance Sheet in any of the periods presented. All incremental customer contract acquisition costs are expensed as they are incurred as the amortization period of the asset that the Company otherwise would have recognized is one year or less in duration.</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Share-Based Compensation</w:t>
      </w:r>
    </w:p>
    <w:p>
      <w:pPr>
        <w:spacing w:after="0" w:line="112"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The Company recognizes compensation expense for all share-based payment awards made to employees and directors including non-qualified employee stock options, share awards and units, employee stock purchase plan, and other special share-based awards based on estimated fair values. The determination of fair value of restricted and certain performance stock awards and units is based on the value of the Company’s stock on the date of grant with performance awards and units adjusted for the actual outcome of the underlying performance condition. For more complex performance awards including units with market-based performance conditions the Company employs a Monte Carlo simulation valuation method to calculate the fair value of the awards based on the most likely outcome. Under the Monte Carlo simulation, a number of variables and assumptions are used including, but not limited to: the expected stock price volatility over the term of the award, a correlation coefficient, the risk-free rate, and dividend yield.</w:t>
      </w:r>
    </w:p>
    <w:p>
      <w:pPr>
        <w:spacing w:after="0" w:line="21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fair value of share-based payment awards is amortized over the requisite service period, which is defined as the period during which an employee is required to provide service in exchange for an award. The Company generally uses a straight-line attribution method for all grants that include only a service condition. Awards with both performance and service conditions are expensed over the service period for each separately vesting tranche.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Share-based compensation expense recognized during the period includes actual expense on vested awards and expense associated with unvested awards.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Forfeitures are recorded as incurred.</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Costs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Research and development costs are expensed as incurred.</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 Contingencies</w:t>
      </w:r>
    </w:p>
    <w:p>
      <w:pPr>
        <w:spacing w:after="0" w:line="112"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6"/>
          <w:szCs w:val="16"/>
          <w:color w:val="auto"/>
        </w:rPr>
        <w:t>The Company records its best estimates of a loss contingency when it is considered probable and the amount can be reasonably estimated. When a range of loss can be reasonably estimated with no best estimate in the range, the minimum estimated liability related to the claim is recorded. As additional information becomes available, the Company assesses the potential liability related to the potential pending loss contingency and revises its estimates. Material loss contingencies are disclosed if there is at least a reasonable possibility that a loss or an additional loss may have been incurred and include estimated legal costs.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Restructuring</w:t>
      </w:r>
    </w:p>
    <w:p>
      <w:pPr>
        <w:spacing w:after="0" w:line="11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A liability for post-employment benefits is recorded when payment is probable and the amount is reasonably estimable. Contract exit costs include contract termination fees and are recognized in the period in which the Company terminates the contract.</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84455</wp:posOffset>
            </wp:positionV>
            <wp:extent cx="7161530"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Currencies</w:t>
      </w:r>
    </w:p>
    <w:p>
      <w:pPr>
        <w:spacing w:after="0" w:line="11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The Company’s functional currency is the United States dollar. Gains and losses related to foreign currency transactions and conversion of foreign denominated cash balances are included in current results.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12"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The Company uses the asset and liability method of accounting for income taxes. Under the asset and liability method, deferred tax assets and liabilities are recognized for the estimated future tax consequences attributable to differences between the financial statement carrying amounts of existing assets and liabilities and their respective tax basis. This method also requires the recognition of future tax benefits such as net operating loss carry forwards, to the extent that realization of such benefits is more likely than not.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w:t>
      </w:r>
    </w:p>
    <w:p>
      <w:pPr>
        <w:spacing w:after="0" w:line="213"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The carrying value of the Company’s net deferred tax assets assumes the Company will be able to generate sufficient future taxable income in certain tax jurisdictions, based on estimates and assumptions. This assessment requires management to exercise judgment and make estimates with respect to its ability to generate revenues, gross profits, operating income, and taxable income in future periods. Amongst other factors, management must make assumptions regarding overall business and semiconductor industry conditions, operating efficiencies, the Company’s ability to develop products to its customers’ specifications, technological change, the competitive environment, and changes in regulatory requirements which may impact its ability to generate taxable income and, in turn, realize the value of its deferred tax assets. If these estimates and related assumptions change in the future, the Company may be required to record additional valuation allowances against its deferred tax assets resulting in additional income tax expense in its Consolidated Statement of Operations. Management evaluates the realizability of the deferred tax assets and assesses the adequacy of the valuation allowance quarterly. Likewise, in the event the Company were to determine that it would be able to realize its deferred tax assets in the future in excess of their net recorded amount, an adjustment to the deferred tax assets would increase income in the period such determination was made.</w:t>
      </w:r>
    </w:p>
    <w:p>
      <w:pPr>
        <w:spacing w:after="0" w:line="21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The calculation of the Company’s tax liabilities includes addressing uncertainties in the application of complex tax regulations and is based on the financial statement recognition and measurement of a tax position taken or expected to be taken in a tax return.</w:t>
      </w:r>
    </w:p>
    <w:p>
      <w:pPr>
        <w:spacing w:after="0" w:line="196"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The Company recognizes liabilities for anticipated tax audit issues in the United States and other tax jurisdictions based on its recognition threshold and measurement attribute of whether it is more likely than not that the positions the Company has taken in tax filings will be sustained upon tax audit, and the extent to which, additional taxes, interest, and/or penalties would be due. If payment of these amounts ultimately proves to be unnecessary, the reversal of the liabilities would result in tax benefits being recognized in the period in which it is determined the liabilities are no longer necessary. If the estimate of tax liabilities proves to be less than the ultimate assessment, a further charge to expense would result. The Company recognizes any interest or penalties, if incurred, on any unrecognized tax liabilities or benefits as a component of income tax expense.</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Earnings Per Share</w:t>
      </w:r>
    </w:p>
    <w:p>
      <w:pPr>
        <w:spacing w:after="0" w:line="11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Basic earnings per share are computed using the weighted average number of common shares outstanding during the period. Diluted earnings per share incorporates the potentially dilutive incremental shares issuable upon the assumed exercise of stock options, the assumed vesting of outstanding restricted stock units, and the assumed issuance of common stock under the stock purchase plan using the treasury share method. Shares issuable upon the vesting of performance stock awards are likewise included in the calculation of diluted earnings per share as of the date the conditions have been satisfied, assuming the end of the reporting period was the end of the contingency period.</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Repurchase</w:t>
      </w:r>
    </w:p>
    <w:p>
      <w:pPr>
        <w:spacing w:after="0" w:line="112"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6"/>
          <w:szCs w:val="16"/>
          <w:color w:val="auto"/>
        </w:rPr>
        <w:t>The Company accounts for stock repurchases in the Consolidated Balance Sheets by reducing common stock for the par value of the shares, reducing paid-in capital for the amount in excess of par to zero during the period in which the shares are repurchased, and recording the residual amount, if any, to retained earnings. Excise tax on stock repurchases is recorded as part of the cost basis of shares acquired in the Consolidated Statements of Stockholders’ Equity.</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Government Assistance</w:t>
      </w:r>
    </w:p>
    <w:p>
      <w:pPr>
        <w:spacing w:after="0" w:line="11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The Company receives government assistance for qualifying capital investments, research and development, and other activities as defined by the relevant government entities awarding the incentive. Incentives provided by government entities are</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84455</wp:posOffset>
            </wp:positionV>
            <wp:extent cx="7161530"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recognized when the Company has reasonable assurance that it will comply with the conditions of the incentive and the incentive will be received. The Company records capital-related incentives as a reduction to property, plant and equipment and recognizes a reduction to depreciation expense over the useful life of the corresponding asset. Incentives for specific operating activities are offset against the related expense in the period the expense is incurred.</w:t>
      </w:r>
    </w:p>
    <w:p>
      <w:pPr>
        <w:spacing w:after="0" w:line="20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In August 2022, the U.S. government enacted the CHIPS and Science Act, which provides funding for manufacturing grants and research investments and establishes a 25% investment tax credit for certain investments in U.S. semiconductor manufacturing that are placed in service after December 31, 2022.</w:t>
      </w:r>
    </w:p>
    <w:p>
      <w:pPr>
        <w:spacing w:after="0" w:line="19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As of September 27, 2024 and September 29, 2023, there were $6.2 million and $10.2 million, respectively, of receivables in other short-term assets with a corresponding reduction to the carrying amounts of the qualifying manufacturing assets. During fiscal 2024 and fiscal 2023, cost of goods sold benefited by $1.2 million and $0.2 million, respectively, from the investment tax credit, recognized as a reduction of depreciation expense. The Company recognized an immaterial benefit in the Consolidated Statements of Operations in fiscal 2024, fiscal 2023, and fiscal 2022 for grants related to operating activities.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w:t>
      </w:r>
    </w:p>
    <w:p>
      <w:pPr>
        <w:spacing w:after="0" w:line="11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In November 2023, the Financial Accounting Standards Board (“FASB”) issued Accounting Standards Update (“ASU”) 2023-07, “Segment Reporting (Topic 280): Improvements to Reportable Segment Disclosure” (“ASU 2023-07”). ASU 2023-07 requires disclosure of incremental segment information on an annual and interim basis. ASU 2023-07 is effective for fiscal years beginning after December 15, 2023, and interim periods within fiscal years beginning after December 15, 2024, on a retrospective basis. Early adoption is permitted. The Company is currently evaluating the impact of ASU 2023-07 on its consolidated financial statements and related disclosures.</w:t>
      </w:r>
    </w:p>
    <w:p>
      <w:pPr>
        <w:spacing w:after="0" w:line="21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In December 2023, the FASB issued ASU 2023-09, “Income Taxes (Topic 740): Improvements to Income Tax Disclosures” (“ASU 2023-09”). ASU 2023-09 includes amendments that further enhance income tax disclosures, primarily through standardization and disaggregation of rate reconciliation categories and income taxes paid by jurisdiction. ASU 2023-09 is effective for annual periods beginning after December 15, 2024, on either a prospective or retrospective basis, with early adoption permitted. The Company is currently evaluating the impact of ASU 2023-09 on its consolidated financial statements and related disclosures.</w:t>
      </w:r>
    </w:p>
    <w:p>
      <w:pPr>
        <w:spacing w:after="0" w:line="211" w:lineRule="exact"/>
        <w:rPr>
          <w:sz w:val="20"/>
          <w:szCs w:val="20"/>
          <w:color w:val="auto"/>
        </w:rPr>
      </w:pPr>
    </w:p>
    <w:p>
      <w:pPr>
        <w:ind w:left="360" w:hanging="355"/>
        <w:spacing w:after="0"/>
        <w:tabs>
          <w:tab w:leader="none" w:pos="36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MARKETABLE SECURITIES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portfolio of available-for-sale marketable securities consists of the following (in millions):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3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540" w:type="dxa"/>
            <w:vAlign w:val="bottom"/>
            <w:gridSpan w:val="5"/>
          </w:tcPr>
          <w:p>
            <w:pPr>
              <w:ind w:left="1360"/>
              <w:spacing w:after="0"/>
              <w:rPr>
                <w:sz w:val="20"/>
                <w:szCs w:val="20"/>
                <w:color w:val="auto"/>
              </w:rPr>
            </w:pPr>
            <w:r>
              <w:rPr>
                <w:rFonts w:ascii="Times New Roman" w:cs="Times New Roman" w:eastAsia="Times New Roman" w:hAnsi="Times New Roman"/>
                <w:sz w:val="16"/>
                <w:szCs w:val="16"/>
                <w:b w:val="1"/>
                <w:bCs w:val="1"/>
                <w:color w:val="auto"/>
              </w:rPr>
              <w:t>Current</w:t>
            </w:r>
          </w:p>
        </w:tc>
        <w:tc>
          <w:tcPr>
            <w:tcW w:w="180" w:type="dxa"/>
            <w:vAlign w:val="bottom"/>
          </w:tcPr>
          <w:p>
            <w:pPr>
              <w:spacing w:after="0"/>
              <w:rPr>
                <w:sz w:val="18"/>
                <w:szCs w:val="18"/>
                <w:color w:val="auto"/>
              </w:rPr>
            </w:pPr>
          </w:p>
        </w:tc>
        <w:tc>
          <w:tcPr>
            <w:tcW w:w="3460" w:type="dxa"/>
            <w:vAlign w:val="bottom"/>
            <w:gridSpan w:val="4"/>
          </w:tcPr>
          <w:p>
            <w:pPr>
              <w:jc w:val="right"/>
              <w:ind w:right="1334"/>
              <w:spacing w:after="0"/>
              <w:rPr>
                <w:sz w:val="20"/>
                <w:szCs w:val="20"/>
                <w:color w:val="auto"/>
              </w:rPr>
            </w:pPr>
            <w:r>
              <w:rPr>
                <w:rFonts w:ascii="Times New Roman" w:cs="Times New Roman" w:eastAsia="Times New Roman" w:hAnsi="Times New Roman"/>
                <w:sz w:val="16"/>
                <w:szCs w:val="16"/>
                <w:b w:val="1"/>
                <w:bCs w:val="1"/>
                <w:color w:val="auto"/>
              </w:rPr>
              <w:t>Noncurrent</w:t>
            </w:r>
          </w:p>
        </w:tc>
      </w:tr>
      <w:tr>
        <w:trPr>
          <w:trHeight w:val="205"/>
        </w:trPr>
        <w:tc>
          <w:tcPr>
            <w:tcW w:w="39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68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September 27, 2024</w:t>
            </w:r>
          </w:p>
        </w:tc>
        <w:tc>
          <w:tcPr>
            <w:tcW w:w="160" w:type="dxa"/>
            <w:vAlign w:val="bottom"/>
            <w:tcBorders>
              <w:top w:val="single" w:sz="8" w:color="auto"/>
            </w:tcBorders>
          </w:tcPr>
          <w:p>
            <w:pPr>
              <w:spacing w:after="0"/>
              <w:rPr>
                <w:sz w:val="17"/>
                <w:szCs w:val="17"/>
                <w:color w:val="auto"/>
              </w:rPr>
            </w:pPr>
          </w:p>
        </w:tc>
        <w:tc>
          <w:tcPr>
            <w:tcW w:w="1620" w:type="dxa"/>
            <w:vAlign w:val="bottom"/>
            <w:tcBorders>
              <w:top w:val="single" w:sz="8" w:color="auto"/>
            </w:tcBorders>
          </w:tcPr>
          <w:p>
            <w:pPr>
              <w:jc w:val="right"/>
              <w:ind w:right="154"/>
              <w:spacing w:after="0"/>
              <w:rPr>
                <w:sz w:val="20"/>
                <w:szCs w:val="20"/>
                <w:color w:val="auto"/>
              </w:rPr>
            </w:pPr>
            <w:r>
              <w:rPr>
                <w:rFonts w:ascii="Times New Roman" w:cs="Times New Roman" w:eastAsia="Times New Roman" w:hAnsi="Times New Roman"/>
                <w:sz w:val="16"/>
                <w:szCs w:val="16"/>
                <w:b w:val="1"/>
                <w:bCs w:val="1"/>
                <w:color w:val="auto"/>
              </w:rPr>
              <w:t>September 29, 2023</w:t>
            </w:r>
          </w:p>
        </w:tc>
        <w:tc>
          <w:tcPr>
            <w:tcW w:w="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70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September 27, 2024</w:t>
            </w:r>
          </w:p>
        </w:tc>
        <w:tc>
          <w:tcPr>
            <w:tcW w:w="160" w:type="dxa"/>
            <w:vAlign w:val="bottom"/>
            <w:tcBorders>
              <w:top w:val="single" w:sz="8" w:color="auto"/>
            </w:tcBorders>
          </w:tcPr>
          <w:p>
            <w:pPr>
              <w:spacing w:after="0"/>
              <w:rPr>
                <w:sz w:val="17"/>
                <w:szCs w:val="17"/>
                <w:color w:val="auto"/>
              </w:rPr>
            </w:pPr>
          </w:p>
        </w:tc>
        <w:tc>
          <w:tcPr>
            <w:tcW w:w="1600" w:type="dxa"/>
            <w:vAlign w:val="bottom"/>
            <w:tcBorders>
              <w:top w:val="single" w:sz="8" w:color="auto"/>
            </w:tcBorders>
          </w:tcPr>
          <w:p>
            <w:pPr>
              <w:jc w:val="right"/>
              <w:ind w:right="134"/>
              <w:spacing w:after="0"/>
              <w:rPr>
                <w:sz w:val="20"/>
                <w:szCs w:val="20"/>
                <w:color w:val="auto"/>
              </w:rPr>
            </w:pPr>
            <w:r>
              <w:rPr>
                <w:rFonts w:ascii="Times New Roman" w:cs="Times New Roman" w:eastAsia="Times New Roman" w:hAnsi="Times New Roman"/>
                <w:sz w:val="16"/>
                <w:szCs w:val="16"/>
                <w:b w:val="1"/>
                <w:bCs w:val="1"/>
                <w:color w:val="auto"/>
              </w:rPr>
              <w:t>September 29, 2023</w:t>
            </w:r>
          </w:p>
        </w:tc>
      </w:tr>
      <w:tr>
        <w:trPr>
          <w:trHeight w:val="217"/>
        </w:trPr>
        <w:tc>
          <w:tcPr>
            <w:tcW w:w="3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Treasury and government securities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23"/>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bonds and notes</w:t>
            </w: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Municipal bonds</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9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marketable securities</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194.1</w:t>
            </w: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0"/>
        </w:trPr>
        <w:tc>
          <w:tcPr>
            <w:tcW w:w="39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The contractual maturities of noncurrent available-for-sale marketable securities were within two years or less of issuance of the applicable securities. Neither gross unrealized gains and losses nor realized gains and losses were material as of September 27, 2024, or September 29, 2023.</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84455</wp:posOffset>
            </wp:positionV>
            <wp:extent cx="7161530"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58"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4.</w:t>
      </w:r>
      <w:r>
        <w:rPr>
          <w:sz w:val="20"/>
          <w:szCs w:val="20"/>
          <w:color w:val="auto"/>
        </w:rPr>
        <w:tab/>
      </w:r>
      <w:r>
        <w:rPr>
          <w:rFonts w:ascii="Times New Roman" w:cs="Times New Roman" w:eastAsia="Times New Roman" w:hAnsi="Times New Roman"/>
          <w:sz w:val="16"/>
          <w:szCs w:val="16"/>
          <w:b w:val="1"/>
          <w:bCs w:val="1"/>
          <w:color w:val="auto"/>
        </w:rPr>
        <w:t>FAIR VALUE</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Assets and Liabilities Measured and Recorded at Fair Value on a Recurring Basis</w:t>
      </w:r>
    </w:p>
    <w:p>
      <w:pPr>
        <w:spacing w:after="0" w:line="112"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8"/>
          <w:szCs w:val="18"/>
          <w:color w:val="auto"/>
        </w:rPr>
        <w:t>The Company measures certain assets and liabilities at fair value on a recurring basis such as its financial instruments. There have been no transfers between Level 1, 2, or 3 assets or liabilities during fiscal 2024.</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Assets and liabilities recorded at fair value on a recurring basis consisted of the following (in millions):</w:t>
      </w:r>
    </w:p>
    <w:p>
      <w:pPr>
        <w:spacing w:after="0" w:line="150" w:lineRule="exact"/>
        <w:rPr>
          <w:sz w:val="20"/>
          <w:szCs w:val="20"/>
          <w:color w:val="auto"/>
        </w:rPr>
      </w:pPr>
    </w:p>
    <w:p>
      <w:pPr>
        <w:ind w:left="7340"/>
        <w:spacing w:after="0"/>
        <w:rPr>
          <w:sz w:val="20"/>
          <w:szCs w:val="20"/>
          <w:color w:val="auto"/>
        </w:rPr>
      </w:pPr>
      <w:r>
        <w:rPr>
          <w:rFonts w:ascii="Times New Roman" w:cs="Times New Roman" w:eastAsia="Times New Roman" w:hAnsi="Times New Roman"/>
          <w:sz w:val="16"/>
          <w:szCs w:val="16"/>
          <w:b w:val="1"/>
          <w:bCs w:val="1"/>
          <w:color w:val="auto"/>
        </w:rPr>
        <w:t>As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2412365</wp:posOffset>
            </wp:positionH>
            <wp:positionV relativeFrom="paragraph">
              <wp:posOffset>18415</wp:posOffset>
            </wp:positionV>
            <wp:extent cx="472694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4726940" cy="825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p>
      <w:pPr>
        <w:spacing w:after="0" w:line="3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6"/>
          <w:szCs w:val="16"/>
          <w:b w:val="1"/>
          <w:bCs w:val="1"/>
          <w:color w:val="auto"/>
        </w:rPr>
        <w:t>September 27,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2412365</wp:posOffset>
            </wp:positionH>
            <wp:positionV relativeFrom="paragraph">
              <wp:posOffset>18415</wp:posOffset>
            </wp:positionV>
            <wp:extent cx="232600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326005" cy="8255"/>
                    </a:xfrm>
                    <a:prstGeom prst="rect">
                      <a:avLst/>
                    </a:prstGeom>
                    <a:noFill/>
                  </pic:spPr>
                </pic:pic>
              </a:graphicData>
            </a:graphic>
          </wp:anchor>
        </w:drawing>
      </w:r>
    </w:p>
    <w:p>
      <w:pPr>
        <w:spacing w:after="0" w:line="11" w:lineRule="exact"/>
        <w:rPr>
          <w:sz w:val="20"/>
          <w:szCs w:val="20"/>
          <w:color w:val="auto"/>
        </w:rPr>
      </w:pPr>
    </w:p>
    <w:p>
      <w:pPr>
        <w:jc w:val="right"/>
        <w:ind w:right="1140"/>
        <w:spacing w:after="0"/>
        <w:rPr>
          <w:sz w:val="20"/>
          <w:szCs w:val="20"/>
          <w:color w:val="auto"/>
        </w:rPr>
      </w:pPr>
      <w:r>
        <w:rPr>
          <w:rFonts w:ascii="Times New Roman" w:cs="Times New Roman" w:eastAsia="Times New Roman" w:hAnsi="Times New Roman"/>
          <w:sz w:val="14"/>
          <w:szCs w:val="14"/>
          <w:b w:val="1"/>
          <w:bCs w:val="1"/>
          <w:color w:val="auto"/>
        </w:rPr>
        <w:t>Fair Value Measurements</w:t>
      </w:r>
    </w:p>
    <w:p>
      <w:pPr>
        <w:spacing w:after="0" w:line="20" w:lineRule="exact"/>
        <w:rPr>
          <w:sz w:val="20"/>
          <w:szCs w:val="20"/>
          <w:color w:val="auto"/>
        </w:rPr>
      </w:pPr>
      <w:r>
        <w:rPr>
          <w:sz w:val="20"/>
          <w:szCs w:val="20"/>
          <w:color w:val="auto"/>
        </w:rPr>
        <w:br w:type="column"/>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September 29,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-752475</wp:posOffset>
            </wp:positionH>
            <wp:positionV relativeFrom="paragraph">
              <wp:posOffset>18415</wp:posOffset>
            </wp:positionV>
            <wp:extent cx="234251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342515" cy="8255"/>
                    </a:xfrm>
                    <a:prstGeom prst="rect">
                      <a:avLst/>
                    </a:prstGeom>
                    <a:noFill/>
                  </pic:spPr>
                </pic:pic>
              </a:graphicData>
            </a:graphic>
          </wp:anchor>
        </w:drawing>
      </w:r>
    </w:p>
    <w:p>
      <w:pPr>
        <w:spacing w:after="0" w:line="11" w:lineRule="exact"/>
        <w:rPr>
          <w:sz w:val="20"/>
          <w:szCs w:val="20"/>
          <w:color w:val="auto"/>
        </w:rPr>
      </w:pPr>
    </w:p>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Fair Value Measurements</w:t>
      </w:r>
    </w:p>
    <w:p>
      <w:pPr>
        <w:spacing w:after="0" w:line="27" w:lineRule="exact"/>
        <w:rPr>
          <w:sz w:val="20"/>
          <w:szCs w:val="20"/>
          <w:color w:val="auto"/>
        </w:rPr>
      </w:pPr>
    </w:p>
    <w:p>
      <w:pPr>
        <w:sectPr>
          <w:pgSz w:w="11900" w:h="16838" w:orient="portrait"/>
          <w:cols w:equalWidth="0" w:num="2">
            <w:col w:w="8020" w:space="720"/>
            <w:col w:w="2500"/>
          </w:cols>
          <w:pgMar w:left="320" w:top="125" w:right="339" w:bottom="1440" w:gutter="0" w:footer="0" w:header="0"/>
          <w:type w:val="continuous"/>
        </w:sectPr>
      </w:pPr>
    </w:p>
    <w:tbl>
      <w:tblPr>
        <w:tblLayout w:type="fixed"/>
        <w:tblInd w:w="0" w:type="dxa"/>
        <w:tblCellMar>
          <w:top w:w="0" w:type="dxa"/>
          <w:left w:w="0" w:type="dxa"/>
          <w:bottom w:w="0" w:type="dxa"/>
          <w:right w:w="0" w:type="dxa"/>
        </w:tblCellMar>
      </w:tblPr>
      <w:tr>
        <w:trPr>
          <w:trHeight w:val="197"/>
        </w:trPr>
        <w:tc>
          <w:tcPr>
            <w:tcW w:w="3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ind w:right="20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8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6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6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ind w:right="18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6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6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203"/>
        </w:trPr>
        <w:tc>
          <w:tcPr>
            <w:tcW w:w="3800" w:type="dxa"/>
            <w:vAlign w:val="bottom"/>
            <w:tcBorders>
              <w:top w:val="single" w:sz="8" w:color="CCEEFF"/>
            </w:tcBorders>
            <w:shd w:val="clear" w:color="auto" w:fill="CCEEFF"/>
          </w:tcPr>
          <w:p>
            <w:pPr>
              <w:ind w:left="20"/>
              <w:spacing w:after="0" w:line="203" w:lineRule="exact"/>
              <w:rPr>
                <w:sz w:val="20"/>
                <w:szCs w:val="20"/>
                <w:color w:val="auto"/>
              </w:rPr>
            </w:pPr>
            <w:r>
              <w:rPr>
                <w:rFonts w:ascii="Times New Roman" w:cs="Times New Roman" w:eastAsia="Times New Roman" w:hAnsi="Times New Roman"/>
                <w:sz w:val="18"/>
                <w:szCs w:val="18"/>
                <w:color w:val="auto"/>
              </w:rPr>
              <w:t>Assets</w:t>
            </w:r>
          </w:p>
        </w:tc>
        <w:tc>
          <w:tcPr>
            <w:tcW w:w="18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r>
      <w:tr>
        <w:trPr>
          <w:trHeight w:val="208"/>
        </w:trPr>
        <w:tc>
          <w:tcPr>
            <w:tcW w:w="38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Cash and cash equivalents (1)</w:t>
            </w:r>
          </w:p>
        </w:tc>
        <w:tc>
          <w:tcPr>
            <w:tcW w:w="1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1,368.6</w:t>
            </w:r>
          </w:p>
        </w:tc>
        <w:tc>
          <w:tcPr>
            <w:tcW w:w="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1,199.1</w:t>
            </w:r>
          </w:p>
        </w:tc>
        <w:tc>
          <w:tcPr>
            <w:tcW w:w="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169.5</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gridSpan w:val="2"/>
          </w:tcPr>
          <w:p>
            <w:pPr>
              <w:ind w:left="4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718.8</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718.5</w:t>
            </w:r>
          </w:p>
        </w:tc>
        <w:tc>
          <w:tcPr>
            <w:tcW w:w="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3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U.S. Treasury and government securities</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50.1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w:t>
            </w:r>
          </w:p>
        </w:tc>
      </w:tr>
      <w:tr>
        <w:trPr>
          <w:trHeight w:val="208"/>
        </w:trPr>
        <w:tc>
          <w:tcPr>
            <w:tcW w:w="38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Corporate bonds and notes</w:t>
            </w:r>
          </w:p>
        </w:tc>
        <w:tc>
          <w:tcPr>
            <w:tcW w:w="180" w:type="dxa"/>
            <w:vAlign w:val="bottom"/>
          </w:tcPr>
          <w:p>
            <w:pPr>
              <w:spacing w:after="0"/>
              <w:rPr>
                <w:sz w:val="18"/>
                <w:szCs w:val="18"/>
                <w:color w:val="auto"/>
              </w:rPr>
            </w:pPr>
          </w:p>
        </w:tc>
        <w:tc>
          <w:tcPr>
            <w:tcW w:w="68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155.3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ind w:left="4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70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3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Municipal bonds</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0.1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38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Total assets at fair value</w:t>
            </w:r>
          </w:p>
        </w:tc>
        <w:tc>
          <w:tcPr>
            <w:tcW w:w="18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1,574.1</w:t>
            </w:r>
          </w:p>
        </w:tc>
        <w:tc>
          <w:tcPr>
            <w:tcW w:w="8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1,235.6</w:t>
            </w:r>
          </w:p>
        </w:tc>
        <w:tc>
          <w:tcPr>
            <w:tcW w:w="8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338.5</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bottom w:val="single" w:sz="8" w:color="auto"/>
            </w:tcBorders>
          </w:tcPr>
          <w:p>
            <w:pPr>
              <w:ind w:left="4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738.5</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718.5</w:t>
            </w:r>
          </w:p>
        </w:tc>
        <w:tc>
          <w:tcPr>
            <w:tcW w:w="8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20.0</w:t>
            </w:r>
          </w:p>
        </w:tc>
        <w:tc>
          <w:tcPr>
            <w:tcW w:w="8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bottom w:val="single" w:sz="8" w:color="auto"/>
            </w:tcBorders>
          </w:tcPr>
          <w:p>
            <w:pPr>
              <w:ind w:left="480"/>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38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179" w:lineRule="exact"/>
        <w:rPr>
          <w:sz w:val="20"/>
          <w:szCs w:val="20"/>
          <w:color w:val="auto"/>
        </w:rPr>
      </w:pPr>
    </w:p>
    <w:p>
      <w:pPr>
        <w:ind w:firstLine="5"/>
        <w:spacing w:after="0" w:line="267" w:lineRule="auto"/>
        <w:tabs>
          <w:tab w:leader="none" w:pos="271"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equivalents included in Levels 1 and 2 consist of money market funds, corporate bonds and notes, and U.S. Treasury and government securities purchased with less than ninety days until maturity.</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Assets Measured and Recorded at Fair Value on a Nonrecurring Basis</w:t>
      </w:r>
    </w:p>
    <w:p>
      <w:pPr>
        <w:spacing w:after="0" w:line="112"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The Company’s non-financial assets and liabilities, such as goodwill, intangible assets, and other long-lived assets resulting from business combinations, are measured at fair value using income approach valuation methodologies at the date of acquisition and are subsequently re-measured if there are indicators of impairment. During fiscal 2024, the Company recorded impairment charges of $147.9 million primarily related to the abandonment or delay of previously capitalized in-process research and development (“IPR&amp;D”) projects recorded within impairment, restructuring, and other charges. During fiscal 2023, the Company recorded impairment charges of $64.5 million primarily due to reduced overall market demand related to long-term supply capacity deposits of $47.5 million recorded within cost of goods sold and a loss on divested assets of $12.3 million recorded within impairment, restructuring, and other charges. During fiscal 2022, the Company recorded impairment charges of $20.7 million primarily related to the abandonment of two previously capitalized IPR&amp;D projects recorded within impairment, restructuring, and other charges.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Debt</w:t>
      </w:r>
    </w:p>
    <w:p>
      <w:pPr>
        <w:spacing w:after="0" w:line="11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The Company’s debt is carried at amortized cost and is measured at fair value quarterly for disclosure purposes. The estimated fair values are based on Level 2 inputs as the fair value is based on quoted prices for the Company’s debt and comparable instruments in inactive markets.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carrying amount and estimated fair value of debt consists of the following (in millions):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34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gridSpan w:val="3"/>
          </w:tcPr>
          <w:p>
            <w:pPr>
              <w:jc w:val="right"/>
              <w:ind w:right="12"/>
              <w:spacing w:after="0"/>
              <w:rPr>
                <w:sz w:val="20"/>
                <w:szCs w:val="20"/>
                <w:color w:val="auto"/>
              </w:rPr>
            </w:pPr>
            <w:r>
              <w:rPr>
                <w:rFonts w:ascii="Times New Roman" w:cs="Times New Roman" w:eastAsia="Times New Roman" w:hAnsi="Times New Roman"/>
                <w:sz w:val="16"/>
                <w:szCs w:val="16"/>
                <w:b w:val="1"/>
                <w:bCs w:val="1"/>
                <w:color w:val="auto"/>
              </w:rPr>
              <w:t>As of</w:t>
            </w:r>
          </w:p>
        </w:tc>
        <w:tc>
          <w:tcPr>
            <w:tcW w:w="16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spacing w:after="0"/>
              <w:rPr>
                <w:sz w:val="18"/>
                <w:szCs w:val="18"/>
                <w:color w:val="auto"/>
              </w:rPr>
            </w:pPr>
          </w:p>
        </w:tc>
      </w:tr>
      <w:tr>
        <w:trPr>
          <w:trHeight w:val="205"/>
        </w:trPr>
        <w:tc>
          <w:tcPr>
            <w:tcW w:w="3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720" w:type="dxa"/>
            <w:vAlign w:val="bottom"/>
            <w:gridSpan w:val="5"/>
          </w:tcPr>
          <w:p>
            <w:pPr>
              <w:ind w:left="1040"/>
              <w:spacing w:after="0"/>
              <w:rPr>
                <w:sz w:val="20"/>
                <w:szCs w:val="20"/>
                <w:color w:val="auto"/>
              </w:rPr>
            </w:pPr>
            <w:r>
              <w:rPr>
                <w:rFonts w:ascii="Times New Roman" w:cs="Times New Roman" w:eastAsia="Times New Roman" w:hAnsi="Times New Roman"/>
                <w:sz w:val="16"/>
                <w:szCs w:val="16"/>
                <w:b w:val="1"/>
                <w:bCs w:val="1"/>
                <w:color w:val="auto"/>
              </w:rPr>
              <w:t>September 27, 2024</w:t>
            </w:r>
          </w:p>
        </w:tc>
        <w:tc>
          <w:tcPr>
            <w:tcW w:w="240" w:type="dxa"/>
            <w:vAlign w:val="bottom"/>
          </w:tcPr>
          <w:p>
            <w:pPr>
              <w:spacing w:after="0"/>
              <w:rPr>
                <w:sz w:val="17"/>
                <w:szCs w:val="17"/>
                <w:color w:val="auto"/>
              </w:rPr>
            </w:pPr>
          </w:p>
        </w:tc>
        <w:tc>
          <w:tcPr>
            <w:tcW w:w="3620" w:type="dxa"/>
            <w:vAlign w:val="bottom"/>
            <w:gridSpan w:val="4"/>
          </w:tcPr>
          <w:p>
            <w:pPr>
              <w:jc w:val="right"/>
              <w:ind w:right="1175"/>
              <w:spacing w:after="0"/>
              <w:rPr>
                <w:sz w:val="20"/>
                <w:szCs w:val="20"/>
                <w:color w:val="auto"/>
              </w:rPr>
            </w:pPr>
            <w:r>
              <w:rPr>
                <w:rFonts w:ascii="Times New Roman" w:cs="Times New Roman" w:eastAsia="Times New Roman" w:hAnsi="Times New Roman"/>
                <w:sz w:val="16"/>
                <w:szCs w:val="16"/>
                <w:b w:val="1"/>
                <w:bCs w:val="1"/>
                <w:color w:val="auto"/>
              </w:rPr>
              <w:t>September 29, 2023</w:t>
            </w:r>
          </w:p>
        </w:tc>
      </w:tr>
      <w:tr>
        <w:trPr>
          <w:trHeight w:val="203"/>
        </w:trPr>
        <w:tc>
          <w:tcPr>
            <w:tcW w:w="344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760" w:type="dxa"/>
            <w:vAlign w:val="bottom"/>
            <w:tcBorders>
              <w:top w:val="single" w:sz="8" w:color="auto"/>
            </w:tcBorders>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Carrying Amount</w:t>
            </w:r>
          </w:p>
        </w:tc>
        <w:tc>
          <w:tcPr>
            <w:tcW w:w="160" w:type="dxa"/>
            <w:vAlign w:val="bottom"/>
            <w:tcBorders>
              <w:top w:val="single" w:sz="8" w:color="auto"/>
            </w:tcBorders>
          </w:tcPr>
          <w:p>
            <w:pPr>
              <w:spacing w:after="0"/>
              <w:rPr>
                <w:sz w:val="17"/>
                <w:szCs w:val="17"/>
                <w:color w:val="auto"/>
              </w:rPr>
            </w:pPr>
          </w:p>
        </w:tc>
        <w:tc>
          <w:tcPr>
            <w:tcW w:w="1720" w:type="dxa"/>
            <w:vAlign w:val="bottom"/>
            <w:tcBorders>
              <w:top w:val="single" w:sz="8" w:color="auto"/>
            </w:tcBorders>
          </w:tcPr>
          <w:p>
            <w:pPr>
              <w:jc w:val="right"/>
              <w:ind w:right="156"/>
              <w:spacing w:after="0"/>
              <w:rPr>
                <w:sz w:val="20"/>
                <w:szCs w:val="20"/>
                <w:color w:val="auto"/>
              </w:rPr>
            </w:pPr>
            <w:r>
              <w:rPr>
                <w:rFonts w:ascii="Times New Roman" w:cs="Times New Roman" w:eastAsia="Times New Roman" w:hAnsi="Times New Roman"/>
                <w:sz w:val="16"/>
                <w:szCs w:val="16"/>
                <w:b w:val="1"/>
                <w:bCs w:val="1"/>
                <w:color w:val="auto"/>
                <w:w w:val="99"/>
              </w:rPr>
              <w:t>Estimated Fair Value</w:t>
            </w:r>
          </w:p>
        </w:tc>
        <w:tc>
          <w:tcPr>
            <w:tcW w:w="8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74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Carrying Amount</w:t>
            </w:r>
          </w:p>
        </w:tc>
        <w:tc>
          <w:tcPr>
            <w:tcW w:w="160" w:type="dxa"/>
            <w:vAlign w:val="bottom"/>
            <w:tcBorders>
              <w:top w:val="single" w:sz="8" w:color="auto"/>
            </w:tcBorders>
          </w:tcPr>
          <w:p>
            <w:pPr>
              <w:spacing w:after="0"/>
              <w:rPr>
                <w:sz w:val="17"/>
                <w:szCs w:val="17"/>
                <w:color w:val="auto"/>
              </w:rPr>
            </w:pPr>
          </w:p>
        </w:tc>
        <w:tc>
          <w:tcPr>
            <w:tcW w:w="1720" w:type="dxa"/>
            <w:vAlign w:val="bottom"/>
            <w:tcBorders>
              <w:top w:val="single" w:sz="8" w:color="auto"/>
            </w:tcBorders>
          </w:tcPr>
          <w:p>
            <w:pPr>
              <w:jc w:val="right"/>
              <w:ind w:right="135"/>
              <w:spacing w:after="0"/>
              <w:rPr>
                <w:sz w:val="20"/>
                <w:szCs w:val="20"/>
                <w:color w:val="auto"/>
              </w:rPr>
            </w:pPr>
            <w:r>
              <w:rPr>
                <w:rFonts w:ascii="Times New Roman" w:cs="Times New Roman" w:eastAsia="Times New Roman" w:hAnsi="Times New Roman"/>
                <w:sz w:val="16"/>
                <w:szCs w:val="16"/>
                <w:b w:val="1"/>
                <w:bCs w:val="1"/>
                <w:color w:val="auto"/>
              </w:rPr>
              <w:t>Estimated Fair Value</w:t>
            </w:r>
          </w:p>
        </w:tc>
      </w:tr>
      <w:tr>
        <w:trPr>
          <w:trHeight w:val="217"/>
        </w:trPr>
        <w:tc>
          <w:tcPr>
            <w:tcW w:w="34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1.80% Senior Notes due 2026</w:t>
            </w:r>
          </w:p>
        </w:tc>
        <w:tc>
          <w:tcPr>
            <w:tcW w:w="220" w:type="dxa"/>
            <w:vAlign w:val="bottom"/>
            <w:tcBorders>
              <w:top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498.5</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478.4</w:t>
            </w: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497.7</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444.5</w:t>
            </w:r>
          </w:p>
        </w:tc>
      </w:tr>
      <w:tr>
        <w:trPr>
          <w:trHeight w:val="223"/>
        </w:trPr>
        <w:tc>
          <w:tcPr>
            <w:tcW w:w="3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3.00% Senior Notes due 2031</w:t>
            </w:r>
          </w:p>
        </w:tc>
        <w:tc>
          <w:tcPr>
            <w:tcW w:w="2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495.8</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441.2</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495.2</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390.4</w:t>
            </w:r>
          </w:p>
        </w:tc>
      </w:tr>
      <w:tr>
        <w:trPr>
          <w:trHeight w:val="241"/>
        </w:trPr>
        <w:tc>
          <w:tcPr>
            <w:tcW w:w="34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debt under Senior Notes</w:t>
            </w: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994.3</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919.6</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992.9</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834.9</w:t>
            </w:r>
          </w:p>
        </w:tc>
      </w:tr>
      <w:tr>
        <w:trPr>
          <w:trHeight w:val="20"/>
        </w:trPr>
        <w:tc>
          <w:tcPr>
            <w:tcW w:w="34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76200</wp:posOffset>
            </wp:positionV>
            <wp:extent cx="7161530"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51" w:name="page52"/>
    <w:bookmarkEnd w:id="5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5.</w:t>
            </w:r>
          </w:p>
        </w:tc>
        <w:tc>
          <w:tcPr>
            <w:tcW w:w="74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INVENTORY</w:t>
            </w:r>
          </w:p>
        </w:tc>
        <w:tc>
          <w:tcPr>
            <w:tcW w:w="1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6"/>
        </w:trPr>
        <w:tc>
          <w:tcPr>
            <w:tcW w:w="7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Inventory consists of the following (in millions):</w:t>
            </w:r>
          </w:p>
        </w:tc>
        <w:tc>
          <w:tcPr>
            <w:tcW w:w="1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180" w:type="dxa"/>
            <w:vAlign w:val="bottom"/>
          </w:tcPr>
          <w:p>
            <w:pPr>
              <w:spacing w:after="0"/>
              <w:rPr>
                <w:sz w:val="24"/>
                <w:szCs w:val="24"/>
                <w:color w:val="auto"/>
              </w:rPr>
            </w:pPr>
          </w:p>
        </w:tc>
        <w:tc>
          <w:tcPr>
            <w:tcW w:w="74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As of</w:t>
            </w:r>
          </w:p>
        </w:tc>
        <w:tc>
          <w:tcPr>
            <w:tcW w:w="16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180" w:type="dxa"/>
            <w:vAlign w:val="bottom"/>
          </w:tcPr>
          <w:p>
            <w:pPr>
              <w:spacing w:after="0"/>
              <w:rPr>
                <w:sz w:val="17"/>
                <w:szCs w:val="17"/>
                <w:color w:val="auto"/>
              </w:rPr>
            </w:pPr>
          </w:p>
        </w:tc>
        <w:tc>
          <w:tcPr>
            <w:tcW w:w="7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0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September 27, 2024</w:t>
            </w:r>
          </w:p>
        </w:tc>
        <w:tc>
          <w:tcPr>
            <w:tcW w:w="160" w:type="dxa"/>
            <w:vAlign w:val="bottom"/>
          </w:tcPr>
          <w:p>
            <w:pPr>
              <w:spacing w:after="0"/>
              <w:rPr>
                <w:sz w:val="17"/>
                <w:szCs w:val="17"/>
                <w:color w:val="auto"/>
              </w:rPr>
            </w:pPr>
          </w:p>
        </w:tc>
        <w:tc>
          <w:tcPr>
            <w:tcW w:w="1600" w:type="dxa"/>
            <w:vAlign w:val="bottom"/>
          </w:tcPr>
          <w:p>
            <w:pPr>
              <w:jc w:val="right"/>
              <w:ind w:right="134"/>
              <w:spacing w:after="0"/>
              <w:rPr>
                <w:sz w:val="20"/>
                <w:szCs w:val="20"/>
                <w:color w:val="auto"/>
              </w:rPr>
            </w:pPr>
            <w:r>
              <w:rPr>
                <w:rFonts w:ascii="Times New Roman" w:cs="Times New Roman" w:eastAsia="Times New Roman" w:hAnsi="Times New Roman"/>
                <w:sz w:val="16"/>
                <w:szCs w:val="16"/>
                <w:b w:val="1"/>
                <w:bCs w:val="1"/>
                <w:color w:val="auto"/>
              </w:rPr>
              <w:t>September 29, 2023</w:t>
            </w:r>
          </w:p>
        </w:tc>
        <w:tc>
          <w:tcPr>
            <w:tcW w:w="0" w:type="dxa"/>
            <w:vAlign w:val="bottom"/>
          </w:tcPr>
          <w:p>
            <w:pPr>
              <w:spacing w:after="0"/>
              <w:rPr>
                <w:sz w:val="1"/>
                <w:szCs w:val="1"/>
                <w:color w:val="auto"/>
              </w:rPr>
            </w:pPr>
          </w:p>
        </w:tc>
      </w:tr>
      <w:tr>
        <w:trPr>
          <w:trHeight w:val="217"/>
        </w:trPr>
        <w:tc>
          <w:tcPr>
            <w:tcW w:w="760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w:t>
            </w:r>
          </w:p>
        </w:tc>
        <w:tc>
          <w:tcPr>
            <w:tcW w:w="0" w:type="dxa"/>
            <w:vAlign w:val="bottom"/>
          </w:tcPr>
          <w:p>
            <w:pPr>
              <w:spacing w:after="0"/>
              <w:rPr>
                <w:sz w:val="1"/>
                <w:szCs w:val="1"/>
                <w:color w:val="auto"/>
              </w:rPr>
            </w:pPr>
          </w:p>
        </w:tc>
      </w:tr>
      <w:tr>
        <w:trPr>
          <w:trHeight w:val="223"/>
        </w:trPr>
        <w:tc>
          <w:tcPr>
            <w:tcW w:w="7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Work-in-process</w:t>
            </w: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746.8</w:t>
            </w:r>
          </w:p>
        </w:tc>
        <w:tc>
          <w:tcPr>
            <w:tcW w:w="0" w:type="dxa"/>
            <w:vAlign w:val="bottom"/>
          </w:tcPr>
          <w:p>
            <w:pPr>
              <w:spacing w:after="0"/>
              <w:rPr>
                <w:sz w:val="1"/>
                <w:szCs w:val="1"/>
                <w:color w:val="auto"/>
              </w:rPr>
            </w:pPr>
          </w:p>
        </w:tc>
      </w:tr>
      <w:tr>
        <w:trPr>
          <w:trHeight w:val="223"/>
        </w:trPr>
        <w:tc>
          <w:tcPr>
            <w:tcW w:w="7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18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315.7</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74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Total inventory</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784.8</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1,119.7</w:t>
            </w:r>
          </w:p>
        </w:tc>
        <w:tc>
          <w:tcPr>
            <w:tcW w:w="0" w:type="dxa"/>
            <w:vAlign w:val="bottom"/>
          </w:tcPr>
          <w:p>
            <w:pPr>
              <w:spacing w:after="0"/>
              <w:rPr>
                <w:sz w:val="1"/>
                <w:szCs w:val="1"/>
                <w:color w:val="auto"/>
              </w:rPr>
            </w:pPr>
          </w:p>
        </w:tc>
      </w:tr>
      <w:tr>
        <w:trPr>
          <w:trHeight w:val="20"/>
        </w:trPr>
        <w:tc>
          <w:tcPr>
            <w:tcW w:w="76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6.   PROPERTY, PLANT, AND EQUIPMENT, NET</w:t>
            </w: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0"/>
        </w:trPr>
        <w:tc>
          <w:tcPr>
            <w:tcW w:w="760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7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Property, plant, and equipment, net consists of the following (in millions):</w:t>
            </w:r>
          </w:p>
        </w:tc>
        <w:tc>
          <w:tcPr>
            <w:tcW w:w="1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180" w:type="dxa"/>
            <w:vAlign w:val="bottom"/>
          </w:tcPr>
          <w:p>
            <w:pPr>
              <w:spacing w:after="0"/>
              <w:rPr>
                <w:sz w:val="24"/>
                <w:szCs w:val="24"/>
                <w:color w:val="auto"/>
              </w:rPr>
            </w:pPr>
          </w:p>
        </w:tc>
        <w:tc>
          <w:tcPr>
            <w:tcW w:w="74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As of</w:t>
            </w:r>
          </w:p>
        </w:tc>
        <w:tc>
          <w:tcPr>
            <w:tcW w:w="16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180" w:type="dxa"/>
            <w:vAlign w:val="bottom"/>
          </w:tcPr>
          <w:p>
            <w:pPr>
              <w:spacing w:after="0"/>
              <w:rPr>
                <w:sz w:val="17"/>
                <w:szCs w:val="17"/>
                <w:color w:val="auto"/>
              </w:rPr>
            </w:pPr>
          </w:p>
        </w:tc>
        <w:tc>
          <w:tcPr>
            <w:tcW w:w="7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0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September 27, 2024</w:t>
            </w:r>
          </w:p>
        </w:tc>
        <w:tc>
          <w:tcPr>
            <w:tcW w:w="160" w:type="dxa"/>
            <w:vAlign w:val="bottom"/>
          </w:tcPr>
          <w:p>
            <w:pPr>
              <w:spacing w:after="0"/>
              <w:rPr>
                <w:sz w:val="17"/>
                <w:szCs w:val="17"/>
                <w:color w:val="auto"/>
              </w:rPr>
            </w:pPr>
          </w:p>
        </w:tc>
        <w:tc>
          <w:tcPr>
            <w:tcW w:w="1600" w:type="dxa"/>
            <w:vAlign w:val="bottom"/>
          </w:tcPr>
          <w:p>
            <w:pPr>
              <w:jc w:val="right"/>
              <w:ind w:right="134"/>
              <w:spacing w:after="0"/>
              <w:rPr>
                <w:sz w:val="20"/>
                <w:szCs w:val="20"/>
                <w:color w:val="auto"/>
              </w:rPr>
            </w:pPr>
            <w:r>
              <w:rPr>
                <w:rFonts w:ascii="Times New Roman" w:cs="Times New Roman" w:eastAsia="Times New Roman" w:hAnsi="Times New Roman"/>
                <w:sz w:val="16"/>
                <w:szCs w:val="16"/>
                <w:b w:val="1"/>
                <w:bCs w:val="1"/>
                <w:color w:val="auto"/>
              </w:rPr>
              <w:t>September 29, 2023</w:t>
            </w:r>
          </w:p>
        </w:tc>
        <w:tc>
          <w:tcPr>
            <w:tcW w:w="0" w:type="dxa"/>
            <w:vAlign w:val="bottom"/>
          </w:tcPr>
          <w:p>
            <w:pPr>
              <w:spacing w:after="0"/>
              <w:rPr>
                <w:sz w:val="1"/>
                <w:szCs w:val="1"/>
                <w:color w:val="auto"/>
              </w:rPr>
            </w:pPr>
          </w:p>
        </w:tc>
      </w:tr>
      <w:tr>
        <w:trPr>
          <w:trHeight w:val="217"/>
        </w:trPr>
        <w:tc>
          <w:tcPr>
            <w:tcW w:w="760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 and improvements</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0" w:type="dxa"/>
            <w:vAlign w:val="bottom"/>
          </w:tcPr>
          <w:p>
            <w:pPr>
              <w:spacing w:after="0"/>
              <w:rPr>
                <w:sz w:val="1"/>
                <w:szCs w:val="1"/>
                <w:color w:val="auto"/>
              </w:rPr>
            </w:pPr>
          </w:p>
        </w:tc>
      </w:tr>
      <w:tr>
        <w:trPr>
          <w:trHeight w:val="223"/>
        </w:trPr>
        <w:tc>
          <w:tcPr>
            <w:tcW w:w="7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610.2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588.2</w:t>
            </w:r>
          </w:p>
        </w:tc>
        <w:tc>
          <w:tcPr>
            <w:tcW w:w="0" w:type="dxa"/>
            <w:vAlign w:val="bottom"/>
          </w:tcPr>
          <w:p>
            <w:pPr>
              <w:spacing w:after="0"/>
              <w:rPr>
                <w:sz w:val="1"/>
                <w:szCs w:val="1"/>
                <w:color w:val="auto"/>
              </w:rPr>
            </w:pPr>
          </w:p>
        </w:tc>
      </w:tr>
      <w:tr>
        <w:trPr>
          <w:trHeight w:val="223"/>
        </w:trPr>
        <w:tc>
          <w:tcPr>
            <w:tcW w:w="7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w:t>
            </w:r>
          </w:p>
        </w:tc>
        <w:tc>
          <w:tcPr>
            <w:tcW w:w="0" w:type="dxa"/>
            <w:vAlign w:val="bottom"/>
          </w:tcPr>
          <w:p>
            <w:pPr>
              <w:spacing w:after="0"/>
              <w:rPr>
                <w:sz w:val="1"/>
                <w:szCs w:val="1"/>
                <w:color w:val="auto"/>
              </w:rPr>
            </w:pPr>
          </w:p>
        </w:tc>
      </w:tr>
      <w:tr>
        <w:trPr>
          <w:trHeight w:val="223"/>
        </w:trPr>
        <w:tc>
          <w:tcPr>
            <w:tcW w:w="7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Machinery and equipment</w:t>
            </w: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3,418.0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3,389.3</w:t>
            </w:r>
          </w:p>
        </w:tc>
        <w:tc>
          <w:tcPr>
            <w:tcW w:w="0" w:type="dxa"/>
            <w:vAlign w:val="bottom"/>
          </w:tcPr>
          <w:p>
            <w:pPr>
              <w:spacing w:after="0"/>
              <w:rPr>
                <w:sz w:val="1"/>
                <w:szCs w:val="1"/>
                <w:color w:val="auto"/>
              </w:rPr>
            </w:pPr>
          </w:p>
        </w:tc>
      </w:tr>
      <w:tr>
        <w:trPr>
          <w:trHeight w:val="223"/>
        </w:trPr>
        <w:tc>
          <w:tcPr>
            <w:tcW w:w="7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18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107.6</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74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Total property, plant, and equipment, gross</w:t>
            </w:r>
          </w:p>
        </w:tc>
        <w:tc>
          <w:tcPr>
            <w:tcW w:w="1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4,210.1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4,171.7</w:t>
            </w:r>
          </w:p>
        </w:tc>
        <w:tc>
          <w:tcPr>
            <w:tcW w:w="0" w:type="dxa"/>
            <w:vAlign w:val="bottom"/>
          </w:tcPr>
          <w:p>
            <w:pPr>
              <w:spacing w:after="0"/>
              <w:rPr>
                <w:sz w:val="1"/>
                <w:szCs w:val="1"/>
                <w:color w:val="auto"/>
              </w:rPr>
            </w:pPr>
          </w:p>
        </w:tc>
      </w:tr>
      <w:tr>
        <w:trPr>
          <w:trHeight w:val="223"/>
        </w:trPr>
        <w:tc>
          <w:tcPr>
            <w:tcW w:w="7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depreciation</w:t>
            </w:r>
          </w:p>
        </w:tc>
        <w:tc>
          <w:tcPr>
            <w:tcW w:w="18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(2,929.8)</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(2,781.6)</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74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Total property, plant, and equipment, net</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1,280.3</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1,390.1</w:t>
            </w:r>
          </w:p>
        </w:tc>
        <w:tc>
          <w:tcPr>
            <w:tcW w:w="0" w:type="dxa"/>
            <w:vAlign w:val="bottom"/>
          </w:tcPr>
          <w:p>
            <w:pPr>
              <w:spacing w:after="0"/>
              <w:rPr>
                <w:sz w:val="1"/>
                <w:szCs w:val="1"/>
                <w:color w:val="auto"/>
              </w:rPr>
            </w:pPr>
          </w:p>
        </w:tc>
      </w:tr>
      <w:tr>
        <w:trPr>
          <w:trHeight w:val="20"/>
        </w:trPr>
        <w:tc>
          <w:tcPr>
            <w:tcW w:w="1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7.</w:t>
            </w:r>
          </w:p>
        </w:tc>
        <w:tc>
          <w:tcPr>
            <w:tcW w:w="7420" w:type="dxa"/>
            <w:vAlign w:val="bottom"/>
            <w:vMerge w:val="restart"/>
          </w:tcPr>
          <w:p>
            <w:pPr>
              <w:ind w:left="180"/>
              <w:spacing w:after="0"/>
              <w:rPr>
                <w:sz w:val="20"/>
                <w:szCs w:val="20"/>
                <w:color w:val="auto"/>
              </w:rPr>
            </w:pPr>
            <w:r>
              <w:rPr>
                <w:rFonts w:ascii="Times New Roman" w:cs="Times New Roman" w:eastAsia="Times New Roman" w:hAnsi="Times New Roman"/>
                <w:sz w:val="18"/>
                <w:szCs w:val="18"/>
                <w:b w:val="1"/>
                <w:bCs w:val="1"/>
                <w:color w:val="auto"/>
              </w:rPr>
              <w:t>GOODWILL AND INTANGIBLE ASSETS</w:t>
            </w: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7"/>
        </w:trPr>
        <w:tc>
          <w:tcPr>
            <w:tcW w:w="180" w:type="dxa"/>
            <w:vAlign w:val="bottom"/>
            <w:vMerge w:val="continue"/>
          </w:tcPr>
          <w:p>
            <w:pPr>
              <w:spacing w:after="0"/>
              <w:rPr>
                <w:sz w:val="24"/>
                <w:szCs w:val="24"/>
                <w:color w:val="auto"/>
              </w:rPr>
            </w:pPr>
          </w:p>
        </w:tc>
        <w:tc>
          <w:tcPr>
            <w:tcW w:w="742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1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Company’s goodwill balance was $2,176.7 million as of each of September 27, 2024, and September 29, 2023. In fiscal 2024, the Company performed an impairment test of its goodwill and its indefinite-lived intangible assets as of the first day of the fourth fiscal quarter in accordance with its regularly scheduled testing. The results of these tests indicated that the Company’s goodwill was not impaired. Refer to Note 4 for a discussion of IPR&amp;D impairments of $146.7 million and $20.7 million in fiscal 2024 and fiscal 2022, respectively. There was no IPR&amp;D impairment in fiscal 2023.</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Intangible assets consist of the following (in millions):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26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As of</w:t>
            </w:r>
          </w:p>
        </w:tc>
        <w:tc>
          <w:tcPr>
            <w:tcW w:w="9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620" w:type="dxa"/>
            <w:vAlign w:val="bottom"/>
          </w:tcPr>
          <w:p>
            <w:pPr>
              <w:spacing w:after="0"/>
              <w:rPr>
                <w:sz w:val="21"/>
                <w:szCs w:val="21"/>
                <w:color w:val="auto"/>
              </w:rPr>
            </w:pPr>
          </w:p>
        </w:tc>
        <w:tc>
          <w:tcPr>
            <w:tcW w:w="12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Weighted</w:t>
            </w:r>
          </w:p>
        </w:tc>
        <w:tc>
          <w:tcPr>
            <w:tcW w:w="2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gridSpan w:val="4"/>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w w:val="98"/>
              </w:rPr>
              <w:t>September 27, 2024</w:t>
            </w:r>
          </w:p>
        </w:tc>
        <w:tc>
          <w:tcPr>
            <w:tcW w:w="2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September 29, 2023</w:t>
            </w:r>
          </w:p>
        </w:tc>
        <w:tc>
          <w:tcPr>
            <w:tcW w:w="2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61"/>
        </w:trPr>
        <w:tc>
          <w:tcPr>
            <w:tcW w:w="26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960" w:type="dxa"/>
            <w:vAlign w:val="bottom"/>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6"/>
              </w:rPr>
              <w:t>Gross</w:t>
            </w: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4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Net</w:t>
            </w:r>
          </w:p>
        </w:tc>
        <w:tc>
          <w:tcPr>
            <w:tcW w:w="220" w:type="dxa"/>
            <w:vAlign w:val="bottom"/>
          </w:tcPr>
          <w:p>
            <w:pPr>
              <w:spacing w:after="0"/>
              <w:rPr>
                <w:sz w:val="5"/>
                <w:szCs w:val="5"/>
                <w:color w:val="auto"/>
              </w:rPr>
            </w:pPr>
          </w:p>
        </w:tc>
        <w:tc>
          <w:tcPr>
            <w:tcW w:w="940" w:type="dxa"/>
            <w:vAlign w:val="bottom"/>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940" w:type="dxa"/>
            <w:vAlign w:val="bottom"/>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31"/>
        </w:trPr>
        <w:tc>
          <w:tcPr>
            <w:tcW w:w="2620" w:type="dxa"/>
            <w:vAlign w:val="bottom"/>
          </w:tcPr>
          <w:p>
            <w:pPr>
              <w:spacing w:after="0"/>
              <w:rPr>
                <w:sz w:val="11"/>
                <w:szCs w:val="11"/>
                <w:color w:val="auto"/>
              </w:rPr>
            </w:pPr>
          </w:p>
        </w:tc>
        <w:tc>
          <w:tcPr>
            <w:tcW w:w="1220" w:type="dxa"/>
            <w:vAlign w:val="bottom"/>
            <w:gridSpan w:val="2"/>
          </w:tcPr>
          <w:p>
            <w:pPr>
              <w:jc w:val="center"/>
              <w:ind w:right="100"/>
              <w:spacing w:after="0" w:line="131" w:lineRule="exact"/>
              <w:rPr>
                <w:sz w:val="20"/>
                <w:szCs w:val="20"/>
                <w:color w:val="auto"/>
              </w:rPr>
            </w:pPr>
            <w:r>
              <w:rPr>
                <w:rFonts w:ascii="Times New Roman" w:cs="Times New Roman" w:eastAsia="Times New Roman" w:hAnsi="Times New Roman"/>
                <w:sz w:val="14"/>
                <w:szCs w:val="14"/>
                <w:b w:val="1"/>
                <w:bCs w:val="1"/>
                <w:color w:val="auto"/>
                <w:w w:val="96"/>
              </w:rPr>
              <w:t>Average</w:t>
            </w:r>
          </w:p>
        </w:tc>
        <w:tc>
          <w:tcPr>
            <w:tcW w:w="200" w:type="dxa"/>
            <w:vAlign w:val="bottom"/>
          </w:tcPr>
          <w:p>
            <w:pPr>
              <w:spacing w:after="0"/>
              <w:rPr>
                <w:sz w:val="11"/>
                <w:szCs w:val="11"/>
                <w:color w:val="auto"/>
              </w:rPr>
            </w:pPr>
          </w:p>
        </w:tc>
        <w:tc>
          <w:tcPr>
            <w:tcW w:w="96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0" w:type="dxa"/>
            <w:vAlign w:val="bottom"/>
          </w:tcPr>
          <w:p>
            <w:pPr>
              <w:spacing w:after="0"/>
              <w:rPr>
                <w:sz w:val="11"/>
                <w:szCs w:val="11"/>
                <w:color w:val="auto"/>
              </w:rPr>
            </w:pPr>
          </w:p>
        </w:tc>
        <w:tc>
          <w:tcPr>
            <w:tcW w:w="104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Accumulated</w:t>
            </w:r>
          </w:p>
        </w:tc>
        <w:tc>
          <w:tcPr>
            <w:tcW w:w="22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620" w:type="dxa"/>
            <w:vAlign w:val="bottom"/>
          </w:tcPr>
          <w:p>
            <w:pPr>
              <w:spacing w:after="0"/>
              <w:rPr>
                <w:sz w:val="11"/>
                <w:szCs w:val="11"/>
                <w:color w:val="auto"/>
              </w:rPr>
            </w:pPr>
          </w:p>
        </w:tc>
        <w:tc>
          <w:tcPr>
            <w:tcW w:w="1220" w:type="dxa"/>
            <w:vAlign w:val="bottom"/>
            <w:gridSpan w:val="2"/>
          </w:tcPr>
          <w:p>
            <w:pPr>
              <w:jc w:val="center"/>
              <w:ind w:right="100"/>
              <w:spacing w:after="0" w:line="131" w:lineRule="exact"/>
              <w:rPr>
                <w:sz w:val="20"/>
                <w:szCs w:val="20"/>
                <w:color w:val="auto"/>
              </w:rPr>
            </w:pPr>
            <w:r>
              <w:rPr>
                <w:rFonts w:ascii="Times New Roman" w:cs="Times New Roman" w:eastAsia="Times New Roman" w:hAnsi="Times New Roman"/>
                <w:sz w:val="14"/>
                <w:szCs w:val="14"/>
                <w:b w:val="1"/>
                <w:bCs w:val="1"/>
                <w:color w:val="auto"/>
                <w:w w:val="99"/>
              </w:rPr>
              <w:t>Amortization</w:t>
            </w:r>
          </w:p>
        </w:tc>
        <w:tc>
          <w:tcPr>
            <w:tcW w:w="200" w:type="dxa"/>
            <w:vAlign w:val="bottom"/>
          </w:tcPr>
          <w:p>
            <w:pPr>
              <w:spacing w:after="0"/>
              <w:rPr>
                <w:sz w:val="11"/>
                <w:szCs w:val="11"/>
                <w:color w:val="auto"/>
              </w:rPr>
            </w:pPr>
          </w:p>
        </w:tc>
        <w:tc>
          <w:tcPr>
            <w:tcW w:w="960" w:type="dxa"/>
            <w:vAlign w:val="bottom"/>
          </w:tcPr>
          <w:p>
            <w:pPr>
              <w:jc w:val="center"/>
              <w:ind w:right="120"/>
              <w:spacing w:after="0" w:line="131"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gridSpan w:val="2"/>
          </w:tcPr>
          <w:p>
            <w:pPr>
              <w:jc w:val="center"/>
              <w:ind w:right="300"/>
              <w:spacing w:after="0" w:line="131" w:lineRule="exact"/>
              <w:rPr>
                <w:sz w:val="20"/>
                <w:szCs w:val="20"/>
                <w:color w:val="auto"/>
              </w:rPr>
            </w:pPr>
            <w:r>
              <w:rPr>
                <w:rFonts w:ascii="Times New Roman" w:cs="Times New Roman" w:eastAsia="Times New Roman" w:hAnsi="Times New Roman"/>
                <w:sz w:val="14"/>
                <w:szCs w:val="14"/>
                <w:b w:val="1"/>
                <w:bCs w:val="1"/>
                <w:color w:val="auto"/>
                <w:w w:val="97"/>
              </w:rPr>
              <w:t>Carrying</w:t>
            </w:r>
          </w:p>
        </w:tc>
        <w:tc>
          <w:tcPr>
            <w:tcW w:w="220" w:type="dxa"/>
            <w:vAlign w:val="bottom"/>
          </w:tcPr>
          <w:p>
            <w:pPr>
              <w:spacing w:after="0"/>
              <w:rPr>
                <w:sz w:val="11"/>
                <w:szCs w:val="11"/>
                <w:color w:val="auto"/>
              </w:rPr>
            </w:pPr>
          </w:p>
        </w:tc>
        <w:tc>
          <w:tcPr>
            <w:tcW w:w="940" w:type="dxa"/>
            <w:vAlign w:val="bottom"/>
          </w:tcPr>
          <w:p>
            <w:pPr>
              <w:jc w:val="center"/>
              <w:ind w:right="140"/>
              <w:spacing w:after="0" w:line="131"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tcPr>
          <w:p>
            <w:pPr>
              <w:jc w:val="center"/>
              <w:ind w:right="140"/>
              <w:spacing w:after="0" w:line="131"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0" w:type="dxa"/>
            <w:vAlign w:val="bottom"/>
          </w:tcPr>
          <w:p>
            <w:pPr>
              <w:spacing w:after="0"/>
              <w:rPr>
                <w:sz w:val="1"/>
                <w:szCs w:val="1"/>
                <w:color w:val="auto"/>
              </w:rPr>
            </w:pPr>
          </w:p>
        </w:tc>
      </w:tr>
      <w:tr>
        <w:trPr>
          <w:trHeight w:val="184"/>
        </w:trPr>
        <w:tc>
          <w:tcPr>
            <w:tcW w:w="2620" w:type="dxa"/>
            <w:vAlign w:val="bottom"/>
          </w:tcPr>
          <w:p>
            <w:pPr>
              <w:spacing w:after="0"/>
              <w:rPr>
                <w:sz w:val="15"/>
                <w:szCs w:val="15"/>
                <w:color w:val="auto"/>
              </w:rPr>
            </w:pPr>
          </w:p>
        </w:tc>
        <w:tc>
          <w:tcPr>
            <w:tcW w:w="12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8"/>
              </w:rPr>
              <w:t>Period (Years)</w:t>
            </w:r>
          </w:p>
        </w:tc>
        <w:tc>
          <w:tcPr>
            <w:tcW w:w="200" w:type="dxa"/>
            <w:vAlign w:val="bottom"/>
          </w:tcPr>
          <w:p>
            <w:pPr>
              <w:spacing w:after="0"/>
              <w:rPr>
                <w:sz w:val="15"/>
                <w:szCs w:val="15"/>
                <w:color w:val="auto"/>
              </w:rPr>
            </w:pPr>
          </w:p>
        </w:tc>
        <w:tc>
          <w:tcPr>
            <w:tcW w:w="960" w:type="dxa"/>
            <w:vAlign w:val="bottom"/>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Amortization</w:t>
            </w:r>
          </w:p>
        </w:tc>
        <w:tc>
          <w:tcPr>
            <w:tcW w:w="200" w:type="dxa"/>
            <w:vAlign w:val="bottom"/>
          </w:tcPr>
          <w:p>
            <w:pPr>
              <w:spacing w:after="0"/>
              <w:rPr>
                <w:sz w:val="15"/>
                <w:szCs w:val="15"/>
                <w:color w:val="auto"/>
              </w:rPr>
            </w:pPr>
          </w:p>
        </w:tc>
        <w:tc>
          <w:tcPr>
            <w:tcW w:w="10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5"/>
                <w:szCs w:val="15"/>
                <w:color w:val="auto"/>
              </w:rPr>
            </w:pPr>
          </w:p>
        </w:tc>
        <w:tc>
          <w:tcPr>
            <w:tcW w:w="940" w:type="dxa"/>
            <w:vAlign w:val="bottom"/>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Amortization</w:t>
            </w:r>
          </w:p>
        </w:tc>
        <w:tc>
          <w:tcPr>
            <w:tcW w:w="220" w:type="dxa"/>
            <w:vAlign w:val="bottom"/>
          </w:tcPr>
          <w:p>
            <w:pPr>
              <w:spacing w:after="0"/>
              <w:rPr>
                <w:sz w:val="15"/>
                <w:szCs w:val="15"/>
                <w:color w:val="auto"/>
              </w:rPr>
            </w:pPr>
          </w:p>
        </w:tc>
        <w:tc>
          <w:tcPr>
            <w:tcW w:w="940" w:type="dxa"/>
            <w:vAlign w:val="bottom"/>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16"/>
        </w:trPr>
        <w:tc>
          <w:tcPr>
            <w:tcW w:w="2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Developed technology and other</w:t>
            </w:r>
          </w:p>
        </w:tc>
        <w:tc>
          <w:tcPr>
            <w:tcW w:w="11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6.3</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1,379.6</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(540.7)</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838.9</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1,290.4</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(379.4)</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911.0</w:t>
            </w:r>
          </w:p>
        </w:tc>
        <w:tc>
          <w:tcPr>
            <w:tcW w:w="0" w:type="dxa"/>
            <w:vAlign w:val="bottom"/>
          </w:tcPr>
          <w:p>
            <w:pPr>
              <w:spacing w:after="0"/>
              <w:rPr>
                <w:sz w:val="1"/>
                <w:szCs w:val="1"/>
                <w:color w:val="auto"/>
              </w:rPr>
            </w:pPr>
          </w:p>
        </w:tc>
      </w:tr>
      <w:tr>
        <w:trPr>
          <w:trHeight w:val="223"/>
        </w:trPr>
        <w:tc>
          <w:tcPr>
            <w:tcW w:w="2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Technology licenses</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0" w:type="dxa"/>
            <w:vAlign w:val="bottom"/>
          </w:tcPr>
          <w:p>
            <w:pPr>
              <w:spacing w:after="0"/>
              <w:rPr>
                <w:sz w:val="1"/>
                <w:szCs w:val="1"/>
                <w:color w:val="auto"/>
              </w:rPr>
            </w:pPr>
          </w:p>
        </w:tc>
      </w:tr>
      <w:tr>
        <w:trPr>
          <w:trHeight w:val="179"/>
        </w:trPr>
        <w:tc>
          <w:tcPr>
            <w:tcW w:w="2620" w:type="dxa"/>
            <w:vAlign w:val="bottom"/>
            <w:shd w:val="clear" w:color="auto" w:fill="CCEEFF"/>
          </w:tcPr>
          <w:p>
            <w:pPr>
              <w:ind w:left="20"/>
              <w:spacing w:after="0" w:line="179" w:lineRule="exact"/>
              <w:rPr>
                <w:sz w:val="20"/>
                <w:szCs w:val="20"/>
                <w:color w:val="auto"/>
              </w:rPr>
            </w:pPr>
            <w:r>
              <w:rPr>
                <w:rFonts w:ascii="Times New Roman" w:cs="Times New Roman" w:eastAsia="Times New Roman" w:hAnsi="Times New Roman"/>
                <w:sz w:val="18"/>
                <w:szCs w:val="18"/>
                <w:color w:val="auto"/>
              </w:rPr>
              <w:t>In-process research and</w:t>
            </w: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development</w:t>
            </w: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271.3</w:t>
            </w:r>
          </w:p>
        </w:tc>
        <w:tc>
          <w:tcPr>
            <w:tcW w:w="0" w:type="dxa"/>
            <w:vAlign w:val="bottom"/>
          </w:tcPr>
          <w:p>
            <w:pPr>
              <w:spacing w:after="0"/>
              <w:rPr>
                <w:sz w:val="1"/>
                <w:szCs w:val="1"/>
                <w:color w:val="auto"/>
              </w:rPr>
            </w:pPr>
          </w:p>
        </w:tc>
      </w:tr>
      <w:tr>
        <w:trPr>
          <w:trHeight w:val="216"/>
        </w:trPr>
        <w:tc>
          <w:tcPr>
            <w:tcW w:w="26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intangible assets</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1,490.0</w:t>
            </w: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(589.5)</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900.5</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1,637.5</w:t>
            </w:r>
          </w:p>
        </w:tc>
        <w:tc>
          <w:tcPr>
            <w:tcW w:w="80" w:type="dxa"/>
            <w:vAlign w:val="bottom"/>
            <w:tcBorders>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(415.4)</w:t>
            </w:r>
          </w:p>
        </w:tc>
        <w:tc>
          <w:tcPr>
            <w:tcW w:w="80" w:type="dxa"/>
            <w:vAlign w:val="bottom"/>
            <w:tcBorders>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1,222.1</w:t>
            </w:r>
          </w:p>
        </w:tc>
        <w:tc>
          <w:tcPr>
            <w:tcW w:w="0" w:type="dxa"/>
            <w:vAlign w:val="bottom"/>
          </w:tcPr>
          <w:p>
            <w:pPr>
              <w:spacing w:after="0"/>
              <w:rPr>
                <w:sz w:val="1"/>
                <w:szCs w:val="1"/>
                <w:color w:val="auto"/>
              </w:rPr>
            </w:pPr>
          </w:p>
        </w:tc>
      </w:tr>
      <w:tr>
        <w:trPr>
          <w:trHeight w:val="20"/>
        </w:trPr>
        <w:tc>
          <w:tcPr>
            <w:tcW w:w="26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6"/>
          <w:szCs w:val="16"/>
          <w:color w:val="auto"/>
        </w:rPr>
        <w:t>Fully amortized intangible assets are eliminated from both the gross and accumulated amortization amounts in the first quarter of each fiscal year. During fiscal 2024, $89.1 million of IPR&amp;D assets were transferred to definite-lived intangible assets, of which $33.4 million is being amortized over their useful lives of 12 years and $55.7 million is being amortized over their useful lives of 8 years. Amortization expense related to definite-lived intangible assets was $186.5 million, $225.9 million, and $288.4 million during fiscal 2024, fiscal 2023, and fiscal 2022, respectively, primarily recorded within cost of goods sold.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84455</wp:posOffset>
            </wp:positionV>
            <wp:extent cx="7161530"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Annual amortization expense for the next five fiscal years related to definite-lived intangible assets, excluding IPR&amp;D, is expected to be as follows (in millions):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3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337"/>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gridSpan w:val="2"/>
          </w:tcPr>
          <w:p>
            <w:pPr>
              <w:jc w:val="right"/>
              <w:ind w:right="336"/>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ind w:right="333"/>
              <w:spacing w:after="0"/>
              <w:rPr>
                <w:sz w:val="20"/>
                <w:szCs w:val="20"/>
                <w:color w:val="auto"/>
              </w:rPr>
            </w:pPr>
            <w:r>
              <w:rPr>
                <w:rFonts w:ascii="Times New Roman" w:cs="Times New Roman" w:eastAsia="Times New Roman" w:hAnsi="Times New Roman"/>
                <w:sz w:val="16"/>
                <w:szCs w:val="16"/>
                <w:b w:val="1"/>
                <w:bCs w:val="1"/>
                <w:color w:val="auto"/>
              </w:rPr>
              <w:t>2027</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ind w:left="220"/>
              <w:spacing w:after="0"/>
              <w:rPr>
                <w:sz w:val="20"/>
                <w:szCs w:val="20"/>
                <w:color w:val="auto"/>
              </w:rPr>
            </w:pPr>
            <w:r>
              <w:rPr>
                <w:rFonts w:ascii="Times New Roman" w:cs="Times New Roman" w:eastAsia="Times New Roman" w:hAnsi="Times New Roman"/>
                <w:sz w:val="16"/>
                <w:szCs w:val="16"/>
                <w:b w:val="1"/>
                <w:bCs w:val="1"/>
                <w:color w:val="auto"/>
              </w:rPr>
              <w:t>2028</w:t>
            </w:r>
          </w:p>
        </w:tc>
        <w:tc>
          <w:tcPr>
            <w:tcW w:w="860" w:type="dxa"/>
            <w:vAlign w:val="bottom"/>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2029</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ind w:right="133"/>
              <w:spacing w:after="0"/>
              <w:rPr>
                <w:sz w:val="20"/>
                <w:szCs w:val="20"/>
                <w:color w:val="auto"/>
              </w:rPr>
            </w:pPr>
            <w:r>
              <w:rPr>
                <w:rFonts w:ascii="Times New Roman" w:cs="Times New Roman" w:eastAsia="Times New Roman" w:hAnsi="Times New Roman"/>
                <w:sz w:val="16"/>
                <w:szCs w:val="16"/>
                <w:b w:val="1"/>
                <w:bCs w:val="1"/>
                <w:color w:val="auto"/>
              </w:rPr>
              <w:t>Thereafter</w:t>
            </w:r>
          </w:p>
        </w:tc>
        <w:tc>
          <w:tcPr>
            <w:tcW w:w="0" w:type="dxa"/>
            <w:vAlign w:val="bottom"/>
          </w:tcPr>
          <w:p>
            <w:pPr>
              <w:spacing w:after="0"/>
              <w:rPr>
                <w:sz w:val="1"/>
                <w:szCs w:val="1"/>
                <w:color w:val="auto"/>
              </w:rPr>
            </w:pPr>
          </w:p>
        </w:tc>
      </w:tr>
      <w:tr>
        <w:trPr>
          <w:trHeight w:val="244"/>
        </w:trPr>
        <w:tc>
          <w:tcPr>
            <w:tcW w:w="38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expense</w:t>
            </w:r>
          </w:p>
        </w:tc>
        <w:tc>
          <w:tcPr>
            <w:tcW w:w="260" w:type="dxa"/>
            <w:vAlign w:val="bottom"/>
            <w:tcBorders>
              <w:top w:val="single" w:sz="8" w:color="auto"/>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168.7</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140.4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124.4</w:t>
            </w:r>
          </w:p>
        </w:tc>
        <w:tc>
          <w:tcPr>
            <w:tcW w:w="40" w:type="dxa"/>
            <w:vAlign w:val="bottom"/>
            <w:tcBorders>
              <w:top w:val="single" w:sz="8" w:color="CCEEFF"/>
              <w:bottom w:val="single" w:sz="8" w:color="CCEEFF"/>
            </w:tcBorders>
            <w:shd w:val="clear" w:color="auto" w:fill="CCEEFF"/>
          </w:tcPr>
          <w:p>
            <w:pPr>
              <w:spacing w:after="0"/>
              <w:rPr>
                <w:sz w:val="20"/>
                <w:szCs w:val="20"/>
                <w:color w:val="auto"/>
              </w:rPr>
            </w:pP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gridSpan w:val="2"/>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100.2</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560" w:type="dxa"/>
            <w:vAlign w:val="bottom"/>
            <w:tcBorders>
              <w:top w:val="single" w:sz="8" w:color="auto"/>
              <w:bottom w:val="single" w:sz="8" w:color="auto"/>
            </w:tcBorders>
            <w:shd w:val="clear" w:color="auto" w:fill="CCEEFF"/>
          </w:tcPr>
          <w:p>
            <w:pPr>
              <w:jc w:val="right"/>
              <w:ind w:right="35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86.9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244.5</w:t>
            </w:r>
          </w:p>
        </w:tc>
        <w:tc>
          <w:tcPr>
            <w:tcW w:w="0" w:type="dxa"/>
            <w:vAlign w:val="bottom"/>
          </w:tcPr>
          <w:p>
            <w:pPr>
              <w:spacing w:after="0"/>
              <w:rPr>
                <w:sz w:val="1"/>
                <w:szCs w:val="1"/>
                <w:color w:val="auto"/>
              </w:rPr>
            </w:pPr>
          </w:p>
        </w:tc>
      </w:tr>
      <w:tr>
        <w:trPr>
          <w:trHeight w:val="20"/>
        </w:trPr>
        <w:tc>
          <w:tcPr>
            <w:tcW w:w="38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8.  INCOME TAXES</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0"/>
        </w:trPr>
        <w:tc>
          <w:tcPr>
            <w:tcW w:w="384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63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Income before income taxes consists of the following components (in millions):</w:t>
            </w: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3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4"/>
          </w:tcPr>
          <w:p>
            <w:pPr>
              <w:ind w:left="60"/>
              <w:spacing w:after="0"/>
              <w:rPr>
                <w:sz w:val="20"/>
                <w:szCs w:val="20"/>
                <w:color w:val="auto"/>
              </w:rPr>
            </w:pPr>
            <w:r>
              <w:rPr>
                <w:rFonts w:ascii="Times New Roman" w:cs="Times New Roman" w:eastAsia="Times New Roman" w:hAnsi="Times New Roman"/>
                <w:sz w:val="16"/>
                <w:szCs w:val="16"/>
                <w:b w:val="1"/>
                <w:bCs w:val="1"/>
                <w:color w:val="auto"/>
              </w:rPr>
              <w:t>Fiscal Years Ended</w:t>
            </w:r>
          </w:p>
        </w:tc>
        <w:tc>
          <w:tcPr>
            <w:tcW w:w="1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3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40" w:type="dxa"/>
            <w:vAlign w:val="bottom"/>
            <w:gridSpan w:val="6"/>
          </w:tcPr>
          <w:p>
            <w:pPr>
              <w:ind w:left="220"/>
              <w:spacing w:after="0"/>
              <w:rPr>
                <w:sz w:val="20"/>
                <w:szCs w:val="20"/>
                <w:color w:val="auto"/>
              </w:rPr>
            </w:pPr>
            <w:r>
              <w:rPr>
                <w:rFonts w:ascii="Times New Roman" w:cs="Times New Roman" w:eastAsia="Times New Roman" w:hAnsi="Times New Roman"/>
                <w:sz w:val="16"/>
                <w:szCs w:val="16"/>
                <w:b w:val="1"/>
                <w:bCs w:val="1"/>
                <w:color w:val="auto"/>
              </w:rPr>
              <w:t>September 27, 2024</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00" w:type="dxa"/>
            <w:vAlign w:val="bottom"/>
            <w:gridSpan w:val="4"/>
          </w:tcPr>
          <w:p>
            <w:pPr>
              <w:ind w:left="60"/>
              <w:spacing w:after="0"/>
              <w:rPr>
                <w:sz w:val="20"/>
                <w:szCs w:val="20"/>
                <w:color w:val="auto"/>
              </w:rPr>
            </w:pPr>
            <w:r>
              <w:rPr>
                <w:rFonts w:ascii="Times New Roman" w:cs="Times New Roman" w:eastAsia="Times New Roman" w:hAnsi="Times New Roman"/>
                <w:sz w:val="16"/>
                <w:szCs w:val="16"/>
                <w:b w:val="1"/>
                <w:bCs w:val="1"/>
                <w:color w:val="auto"/>
              </w:rPr>
              <w:t>September 29, 2023</w:t>
            </w:r>
          </w:p>
        </w:tc>
        <w:tc>
          <w:tcPr>
            <w:tcW w:w="120" w:type="dxa"/>
            <w:vAlign w:val="bottom"/>
          </w:tcPr>
          <w:p>
            <w:pPr>
              <w:spacing w:after="0"/>
              <w:rPr>
                <w:sz w:val="17"/>
                <w:szCs w:val="17"/>
                <w:color w:val="auto"/>
              </w:rPr>
            </w:pPr>
          </w:p>
        </w:tc>
        <w:tc>
          <w:tcPr>
            <w:tcW w:w="1640" w:type="dxa"/>
            <w:vAlign w:val="bottom"/>
            <w:gridSpan w:val="4"/>
          </w:tcPr>
          <w:p>
            <w:pPr>
              <w:jc w:val="right"/>
              <w:ind w:right="133"/>
              <w:spacing w:after="0"/>
              <w:rPr>
                <w:sz w:val="20"/>
                <w:szCs w:val="20"/>
                <w:color w:val="auto"/>
              </w:rPr>
            </w:pPr>
            <w:r>
              <w:rPr>
                <w:rFonts w:ascii="Times New Roman" w:cs="Times New Roman" w:eastAsia="Times New Roman" w:hAnsi="Times New Roman"/>
                <w:sz w:val="16"/>
                <w:szCs w:val="16"/>
                <w:b w:val="1"/>
                <w:bCs w:val="1"/>
                <w:color w:val="auto"/>
              </w:rPr>
              <w:t>September 30, 2022</w:t>
            </w:r>
          </w:p>
        </w:tc>
        <w:tc>
          <w:tcPr>
            <w:tcW w:w="0" w:type="dxa"/>
            <w:vAlign w:val="bottom"/>
          </w:tcPr>
          <w:p>
            <w:pPr>
              <w:spacing w:after="0"/>
              <w:rPr>
                <w:sz w:val="1"/>
                <w:szCs w:val="1"/>
                <w:color w:val="auto"/>
              </w:rPr>
            </w:pPr>
          </w:p>
        </w:tc>
      </w:tr>
      <w:tr>
        <w:trPr>
          <w:trHeight w:val="217"/>
        </w:trPr>
        <w:tc>
          <w:tcPr>
            <w:tcW w:w="38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26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4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484.9</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663.0</w:t>
            </w:r>
          </w:p>
        </w:tc>
        <w:tc>
          <w:tcPr>
            <w:tcW w:w="0" w:type="dxa"/>
            <w:vAlign w:val="bottom"/>
          </w:tcPr>
          <w:p>
            <w:pPr>
              <w:spacing w:after="0"/>
              <w:rPr>
                <w:sz w:val="1"/>
                <w:szCs w:val="1"/>
                <w:color w:val="auto"/>
              </w:rPr>
            </w:pPr>
          </w:p>
        </w:tc>
      </w:tr>
      <w:tr>
        <w:trPr>
          <w:trHeight w:val="223"/>
        </w:trPr>
        <w:tc>
          <w:tcPr>
            <w:tcW w:w="3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26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4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634.5</w:t>
            </w:r>
          </w:p>
        </w:tc>
        <w:tc>
          <w:tcPr>
            <w:tcW w:w="4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593.9</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813.6</w:t>
            </w:r>
          </w:p>
        </w:tc>
        <w:tc>
          <w:tcPr>
            <w:tcW w:w="0" w:type="dxa"/>
            <w:vAlign w:val="bottom"/>
          </w:tcPr>
          <w:p>
            <w:pPr>
              <w:spacing w:after="0"/>
              <w:rPr>
                <w:sz w:val="1"/>
                <w:szCs w:val="1"/>
                <w:color w:val="auto"/>
              </w:rPr>
            </w:pPr>
          </w:p>
        </w:tc>
      </w:tr>
      <w:tr>
        <w:trPr>
          <w:trHeight w:val="241"/>
        </w:trPr>
        <w:tc>
          <w:tcPr>
            <w:tcW w:w="38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636.4</w:t>
            </w:r>
          </w:p>
        </w:tc>
        <w:tc>
          <w:tcPr>
            <w:tcW w:w="40" w:type="dxa"/>
            <w:vAlign w:val="bottom"/>
            <w:tcBorders>
              <w:bottom w:val="single" w:sz="8" w:color="auto"/>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1,078.8</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1,476.6</w:t>
            </w:r>
          </w:p>
        </w:tc>
        <w:tc>
          <w:tcPr>
            <w:tcW w:w="0" w:type="dxa"/>
            <w:vAlign w:val="bottom"/>
          </w:tcPr>
          <w:p>
            <w:pPr>
              <w:spacing w:after="0"/>
              <w:rPr>
                <w:sz w:val="1"/>
                <w:szCs w:val="1"/>
                <w:color w:val="auto"/>
              </w:rPr>
            </w:pPr>
          </w:p>
        </w:tc>
      </w:tr>
      <w:tr>
        <w:trPr>
          <w:trHeight w:val="20"/>
        </w:trPr>
        <w:tc>
          <w:tcPr>
            <w:tcW w:w="5740" w:type="dxa"/>
            <w:vAlign w:val="bottom"/>
            <w:tcBorders>
              <w:top w:val="single" w:sz="8" w:color="CCEEFF"/>
            </w:tcBorders>
            <w:gridSpan w:val="6"/>
          </w:tcPr>
          <w:p>
            <w:pPr>
              <w:spacing w:after="0" w:line="20" w:lineRule="exact"/>
              <w:rPr>
                <w:sz w:val="1"/>
                <w:szCs w:val="1"/>
                <w:color w:val="auto"/>
              </w:rPr>
            </w:pPr>
          </w:p>
        </w:tc>
        <w:tc>
          <w:tcPr>
            <w:tcW w:w="600" w:type="dxa"/>
            <w:vAlign w:val="bottom"/>
            <w:tcBorders>
              <w:top w:val="single" w:sz="8" w:color="CCEEFF"/>
              <w:bottom w:val="single" w:sz="8" w:color="auto"/>
            </w:tcBorders>
            <w:gridSpan w:val="2"/>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7"/>
        </w:trPr>
        <w:tc>
          <w:tcPr>
            <w:tcW w:w="63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The provision for income taxes consists of the following components (in millions):</w:t>
            </w: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3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4"/>
          </w:tcPr>
          <w:p>
            <w:pPr>
              <w:ind w:left="60"/>
              <w:spacing w:after="0"/>
              <w:rPr>
                <w:sz w:val="20"/>
                <w:szCs w:val="20"/>
                <w:color w:val="auto"/>
              </w:rPr>
            </w:pPr>
            <w:r>
              <w:rPr>
                <w:rFonts w:ascii="Times New Roman" w:cs="Times New Roman" w:eastAsia="Times New Roman" w:hAnsi="Times New Roman"/>
                <w:sz w:val="16"/>
                <w:szCs w:val="16"/>
                <w:b w:val="1"/>
                <w:bCs w:val="1"/>
                <w:color w:val="auto"/>
              </w:rPr>
              <w:t>Fiscal Years Ended</w:t>
            </w:r>
          </w:p>
        </w:tc>
        <w:tc>
          <w:tcPr>
            <w:tcW w:w="1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3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40" w:type="dxa"/>
            <w:vAlign w:val="bottom"/>
            <w:gridSpan w:val="6"/>
          </w:tcPr>
          <w:p>
            <w:pPr>
              <w:ind w:left="220"/>
              <w:spacing w:after="0"/>
              <w:rPr>
                <w:sz w:val="20"/>
                <w:szCs w:val="20"/>
                <w:color w:val="auto"/>
              </w:rPr>
            </w:pPr>
            <w:r>
              <w:rPr>
                <w:rFonts w:ascii="Times New Roman" w:cs="Times New Roman" w:eastAsia="Times New Roman" w:hAnsi="Times New Roman"/>
                <w:sz w:val="16"/>
                <w:szCs w:val="16"/>
                <w:b w:val="1"/>
                <w:bCs w:val="1"/>
                <w:color w:val="auto"/>
              </w:rPr>
              <w:t>September 27, 2024</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00" w:type="dxa"/>
            <w:vAlign w:val="bottom"/>
            <w:gridSpan w:val="4"/>
          </w:tcPr>
          <w:p>
            <w:pPr>
              <w:ind w:left="60"/>
              <w:spacing w:after="0"/>
              <w:rPr>
                <w:sz w:val="20"/>
                <w:szCs w:val="20"/>
                <w:color w:val="auto"/>
              </w:rPr>
            </w:pPr>
            <w:r>
              <w:rPr>
                <w:rFonts w:ascii="Times New Roman" w:cs="Times New Roman" w:eastAsia="Times New Roman" w:hAnsi="Times New Roman"/>
                <w:sz w:val="16"/>
                <w:szCs w:val="16"/>
                <w:b w:val="1"/>
                <w:bCs w:val="1"/>
                <w:color w:val="auto"/>
              </w:rPr>
              <w:t>September 29, 2023</w:t>
            </w:r>
          </w:p>
        </w:tc>
        <w:tc>
          <w:tcPr>
            <w:tcW w:w="120" w:type="dxa"/>
            <w:vAlign w:val="bottom"/>
          </w:tcPr>
          <w:p>
            <w:pPr>
              <w:spacing w:after="0"/>
              <w:rPr>
                <w:sz w:val="17"/>
                <w:szCs w:val="17"/>
                <w:color w:val="auto"/>
              </w:rPr>
            </w:pPr>
          </w:p>
        </w:tc>
        <w:tc>
          <w:tcPr>
            <w:tcW w:w="1640" w:type="dxa"/>
            <w:vAlign w:val="bottom"/>
            <w:gridSpan w:val="4"/>
          </w:tcPr>
          <w:p>
            <w:pPr>
              <w:jc w:val="right"/>
              <w:ind w:right="133"/>
              <w:spacing w:after="0"/>
              <w:rPr>
                <w:sz w:val="20"/>
                <w:szCs w:val="20"/>
                <w:color w:val="auto"/>
              </w:rPr>
            </w:pPr>
            <w:r>
              <w:rPr>
                <w:rFonts w:ascii="Times New Roman" w:cs="Times New Roman" w:eastAsia="Times New Roman" w:hAnsi="Times New Roman"/>
                <w:sz w:val="16"/>
                <w:szCs w:val="16"/>
                <w:b w:val="1"/>
                <w:bCs w:val="1"/>
                <w:color w:val="auto"/>
              </w:rPr>
              <w:t>September 30, 2022</w:t>
            </w:r>
          </w:p>
        </w:tc>
        <w:tc>
          <w:tcPr>
            <w:tcW w:w="0" w:type="dxa"/>
            <w:vAlign w:val="bottom"/>
          </w:tcPr>
          <w:p>
            <w:pPr>
              <w:spacing w:after="0"/>
              <w:rPr>
                <w:sz w:val="1"/>
                <w:szCs w:val="1"/>
                <w:color w:val="auto"/>
              </w:rPr>
            </w:pPr>
          </w:p>
        </w:tc>
      </w:tr>
      <w:tr>
        <w:trPr>
          <w:trHeight w:val="204"/>
        </w:trPr>
        <w:tc>
          <w:tcPr>
            <w:tcW w:w="3840" w:type="dxa"/>
            <w:vAlign w:val="bottom"/>
            <w:tcBorders>
              <w:top w:val="single" w:sz="8" w:color="CCEEFF"/>
            </w:tcBorders>
            <w:shd w:val="clear" w:color="auto" w:fill="CCEEFF"/>
          </w:tcPr>
          <w:p>
            <w:pPr>
              <w:ind w:left="20"/>
              <w:spacing w:after="0" w:line="204" w:lineRule="exact"/>
              <w:rPr>
                <w:sz w:val="20"/>
                <w:szCs w:val="20"/>
                <w:color w:val="auto"/>
              </w:rPr>
            </w:pPr>
            <w:r>
              <w:rPr>
                <w:rFonts w:ascii="Times New Roman" w:cs="Times New Roman" w:eastAsia="Times New Roman" w:hAnsi="Times New Roman"/>
                <w:sz w:val="18"/>
                <w:szCs w:val="18"/>
                <w:color w:val="auto"/>
              </w:rPr>
              <w:t>Current tax expense:</w:t>
            </w:r>
          </w:p>
        </w:tc>
        <w:tc>
          <w:tcPr>
            <w:tcW w:w="26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3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Federal</w:t>
            </w: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79.0</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164.4</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88.7</w:t>
            </w:r>
          </w:p>
        </w:tc>
        <w:tc>
          <w:tcPr>
            <w:tcW w:w="0" w:type="dxa"/>
            <w:vAlign w:val="bottom"/>
          </w:tcPr>
          <w:p>
            <w:pPr>
              <w:spacing w:after="0"/>
              <w:rPr>
                <w:sz w:val="1"/>
                <w:szCs w:val="1"/>
                <w:color w:val="auto"/>
              </w:rPr>
            </w:pPr>
          </w:p>
        </w:tc>
      </w:tr>
      <w:tr>
        <w:trPr>
          <w:trHeight w:val="223"/>
        </w:trPr>
        <w:tc>
          <w:tcPr>
            <w:tcW w:w="3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State</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23"/>
        </w:trPr>
        <w:tc>
          <w:tcPr>
            <w:tcW w:w="38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Foreign</w:t>
            </w:r>
          </w:p>
        </w:tc>
        <w:tc>
          <w:tcPr>
            <w:tcW w:w="26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4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60.8</w:t>
            </w:r>
          </w:p>
        </w:tc>
        <w:tc>
          <w:tcPr>
            <w:tcW w:w="4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74.4</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51.5</w:t>
            </w: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140.3</w:t>
            </w:r>
          </w:p>
        </w:tc>
        <w:tc>
          <w:tcPr>
            <w:tcW w:w="0" w:type="dxa"/>
            <w:vAlign w:val="bottom"/>
          </w:tcPr>
          <w:p>
            <w:pPr>
              <w:spacing w:after="0"/>
              <w:rPr>
                <w:sz w:val="1"/>
                <w:szCs w:val="1"/>
                <w:color w:val="auto"/>
              </w:rPr>
            </w:pPr>
          </w:p>
        </w:tc>
      </w:tr>
      <w:tr>
        <w:trPr>
          <w:trHeight w:val="223"/>
        </w:trPr>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expense (benefit):</w:t>
            </w: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Federal</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(120.5)</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0" w:type="dxa"/>
            <w:vAlign w:val="bottom"/>
          </w:tcPr>
          <w:p>
            <w:pPr>
              <w:spacing w:after="0"/>
              <w:rPr>
                <w:sz w:val="1"/>
                <w:szCs w:val="1"/>
                <w:color w:val="auto"/>
              </w:rPr>
            </w:pPr>
          </w:p>
        </w:tc>
      </w:tr>
      <w:tr>
        <w:trPr>
          <w:trHeight w:val="223"/>
        </w:trPr>
        <w:tc>
          <w:tcPr>
            <w:tcW w:w="3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State</w:t>
            </w: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(0.5)</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23"/>
        </w:trPr>
        <w:tc>
          <w:tcPr>
            <w:tcW w:w="3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Foreign</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40" w:type="dxa"/>
            <w:vAlign w:val="bottom"/>
            <w:tcBorders>
              <w:bottom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0" w:type="dxa"/>
            <w:vAlign w:val="bottom"/>
          </w:tcPr>
          <w:p>
            <w:pPr>
              <w:spacing w:after="0"/>
              <w:rPr>
                <w:sz w:val="1"/>
                <w:szCs w:val="1"/>
                <w:color w:val="auto"/>
              </w:rPr>
            </w:pPr>
          </w:p>
        </w:tc>
      </w:tr>
      <w:tr>
        <w:trPr>
          <w:trHeight w:val="216"/>
        </w:trPr>
        <w:tc>
          <w:tcPr>
            <w:tcW w:w="3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(99.6)</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(142.9)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w:t>
            </w:r>
          </w:p>
        </w:tc>
        <w:tc>
          <w:tcPr>
            <w:tcW w:w="0" w:type="dxa"/>
            <w:vAlign w:val="bottom"/>
          </w:tcPr>
          <w:p>
            <w:pPr>
              <w:spacing w:after="0"/>
              <w:rPr>
                <w:sz w:val="1"/>
                <w:szCs w:val="1"/>
                <w:color w:val="auto"/>
              </w:rPr>
            </w:pPr>
          </w:p>
        </w:tc>
      </w:tr>
      <w:tr>
        <w:trPr>
          <w:trHeight w:val="263"/>
        </w:trPr>
        <w:tc>
          <w:tcPr>
            <w:tcW w:w="384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00" w:type="dxa"/>
            <w:vAlign w:val="bottom"/>
            <w:gridSpan w:val="2"/>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00" w:type="dxa"/>
            <w:vAlign w:val="bottom"/>
            <w:gridSpan w:val="2"/>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640" w:type="dxa"/>
            <w:vAlign w:val="bottom"/>
            <w:gridSpan w:val="2"/>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38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40" w:type="dxa"/>
            <w:vAlign w:val="bottom"/>
            <w:tcBorders>
              <w:top w:val="single" w:sz="8" w:color="auto"/>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96.0</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201.4</w:t>
            </w: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actual income tax expense is different than that which would have been computed by applying the federal statutory tax rate to income before income taxes. A reconciliation of income tax expense as computed at the United States federal statutory income tax rate to the provision for income tax expense is as follows (in millions):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57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Fiscal Years Ended</w:t>
            </w: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spacing w:after="0"/>
              <w:rPr>
                <w:sz w:val="18"/>
                <w:szCs w:val="18"/>
                <w:color w:val="auto"/>
              </w:rPr>
            </w:pPr>
          </w:p>
        </w:tc>
      </w:tr>
      <w:tr>
        <w:trPr>
          <w:trHeight w:val="205"/>
        </w:trPr>
        <w:tc>
          <w:tcPr>
            <w:tcW w:w="5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0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September 27, 2024</w:t>
            </w:r>
          </w:p>
        </w:tc>
        <w:tc>
          <w:tcPr>
            <w:tcW w:w="180" w:type="dxa"/>
            <w:vAlign w:val="bottom"/>
          </w:tcPr>
          <w:p>
            <w:pPr>
              <w:spacing w:after="0"/>
              <w:rPr>
                <w:sz w:val="17"/>
                <w:szCs w:val="17"/>
                <w:color w:val="auto"/>
              </w:rPr>
            </w:pPr>
          </w:p>
        </w:tc>
        <w:tc>
          <w:tcPr>
            <w:tcW w:w="170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September 29, 2023</w:t>
            </w:r>
          </w:p>
        </w:tc>
        <w:tc>
          <w:tcPr>
            <w:tcW w:w="160" w:type="dxa"/>
            <w:vAlign w:val="bottom"/>
          </w:tcPr>
          <w:p>
            <w:pPr>
              <w:spacing w:after="0"/>
              <w:rPr>
                <w:sz w:val="17"/>
                <w:szCs w:val="17"/>
                <w:color w:val="auto"/>
              </w:rPr>
            </w:pPr>
          </w:p>
        </w:tc>
        <w:tc>
          <w:tcPr>
            <w:tcW w:w="1600" w:type="dxa"/>
            <w:vAlign w:val="bottom"/>
          </w:tcPr>
          <w:p>
            <w:pPr>
              <w:jc w:val="right"/>
              <w:ind w:right="133"/>
              <w:spacing w:after="0"/>
              <w:rPr>
                <w:sz w:val="20"/>
                <w:szCs w:val="20"/>
                <w:color w:val="auto"/>
              </w:rPr>
            </w:pPr>
            <w:r>
              <w:rPr>
                <w:rFonts w:ascii="Times New Roman" w:cs="Times New Roman" w:eastAsia="Times New Roman" w:hAnsi="Times New Roman"/>
                <w:sz w:val="16"/>
                <w:szCs w:val="16"/>
                <w:b w:val="1"/>
                <w:bCs w:val="1"/>
                <w:color w:val="auto"/>
              </w:rPr>
              <w:t>September 30, 2022</w:t>
            </w:r>
          </w:p>
        </w:tc>
      </w:tr>
      <w:tr>
        <w:trPr>
          <w:trHeight w:val="217"/>
        </w:trPr>
        <w:tc>
          <w:tcPr>
            <w:tcW w:w="5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expense at United States statutory rate</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133.6</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226.5</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310.1</w:t>
            </w:r>
          </w:p>
        </w:tc>
      </w:tr>
      <w:tr>
        <w:trPr>
          <w:trHeight w:val="223"/>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tax rate difference</w:t>
            </w: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(84.7)</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(105.3)</w:t>
            </w:r>
          </w:p>
        </w:tc>
      </w:tr>
      <w:tr>
        <w:trPr>
          <w:trHeight w:val="223"/>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stock compensation</w:t>
            </w: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r>
      <w:tr>
        <w:trPr>
          <w:trHeight w:val="223"/>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 credits</w:t>
            </w: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w:t>
            </w:r>
          </w:p>
        </w:tc>
      </w:tr>
      <w:tr>
        <w:trPr>
          <w:trHeight w:val="223"/>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tax reserve</w:t>
            </w: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23"/>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Global Intangible Low-Taxed Income</w:t>
            </w: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w:t>
            </w:r>
          </w:p>
        </w:tc>
      </w:tr>
      <w:tr>
        <w:trPr>
          <w:trHeight w:val="223"/>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Derived Intangible Income</w:t>
            </w: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w:t>
            </w:r>
          </w:p>
        </w:tc>
      </w:tr>
      <w:tr>
        <w:trPr>
          <w:trHeight w:val="223"/>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162(m) limitation</w:t>
            </w: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w:t>
            </w:r>
          </w:p>
        </w:tc>
      </w:tr>
      <w:tr>
        <w:trPr>
          <w:trHeight w:val="223"/>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net</w:t>
            </w:r>
          </w:p>
        </w:tc>
        <w:tc>
          <w:tcPr>
            <w:tcW w:w="16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r>
      <w:tr>
        <w:trPr>
          <w:trHeight w:val="216"/>
        </w:trPr>
        <w:tc>
          <w:tcPr>
            <w:tcW w:w="57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8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96.0</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201.4</w:t>
            </w:r>
          </w:p>
        </w:tc>
      </w:tr>
      <w:tr>
        <w:trPr>
          <w:trHeight w:val="20"/>
        </w:trPr>
        <w:tc>
          <w:tcPr>
            <w:tcW w:w="57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84455</wp:posOffset>
            </wp:positionV>
            <wp:extent cx="7161530"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The Company operated in foreign jurisdictions with income tax rates lower than the United States tax rate of 21.0% for fiscal 2024, fiscal 2023, and fiscal 2022.</w:t>
      </w:r>
    </w:p>
    <w:p>
      <w:pPr>
        <w:spacing w:after="0" w:line="26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Company had accrued $46.1 million and $57.0 million of the deemed repatriation tax in short-term and long-term liabilities within the Consolidated Balance Sheets, respectively, as of September 27, 2024. The Company had accrued $34.9 million and $105.8 million of the deemed repatriation tax in short-term and long-term liabilities within the Consolidated Balance Sheets, respectively, as of September 29, 2023. The remaining repatriation tax is payable over the next two years.</w:t>
      </w:r>
    </w:p>
    <w:p>
      <w:pPr>
        <w:spacing w:after="0" w:line="21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The Company operates under a tax holiday in Singapore, which is effective through September 30, 2025, with the ability to extend through September 30, 2030. The current tax holiday is conditioned upon the Company’s compliance with certain conditions, including employment and investment thresholds in Singapore. The impact of the tax holiday decreased Singapore taxes owed by $67.7 million, $66.0 million, and $96.6 million during fiscal 2024, fiscal 2023, and fiscal 2022, respectively, which resulted in tax benefits of $0.42, $0.41, and $0.59 of diluted earnings per share, respectively. These tax benefits were partially offset by an increase in tax expense on GILTI.</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Deferred income tax assets and liabilities consist of the tax effects of temporary differences related to the following (in millions):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76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As of</w:t>
            </w:r>
          </w:p>
        </w:tc>
        <w:tc>
          <w:tcPr>
            <w:tcW w:w="1600" w:type="dxa"/>
            <w:vAlign w:val="bottom"/>
            <w:tcBorders>
              <w:bottom w:val="single" w:sz="8" w:color="auto"/>
            </w:tcBorders>
          </w:tcPr>
          <w:p>
            <w:pPr>
              <w:spacing w:after="0"/>
              <w:rPr>
                <w:sz w:val="18"/>
                <w:szCs w:val="18"/>
                <w:color w:val="auto"/>
              </w:rPr>
            </w:pPr>
          </w:p>
        </w:tc>
      </w:tr>
      <w:tr>
        <w:trPr>
          <w:trHeight w:val="205"/>
        </w:trPr>
        <w:tc>
          <w:tcPr>
            <w:tcW w:w="7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0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September 27, 2024</w:t>
            </w:r>
          </w:p>
        </w:tc>
        <w:tc>
          <w:tcPr>
            <w:tcW w:w="160" w:type="dxa"/>
            <w:vAlign w:val="bottom"/>
          </w:tcPr>
          <w:p>
            <w:pPr>
              <w:spacing w:after="0"/>
              <w:rPr>
                <w:sz w:val="17"/>
                <w:szCs w:val="17"/>
                <w:color w:val="auto"/>
              </w:rPr>
            </w:pPr>
          </w:p>
        </w:tc>
        <w:tc>
          <w:tcPr>
            <w:tcW w:w="1600" w:type="dxa"/>
            <w:vAlign w:val="bottom"/>
          </w:tcPr>
          <w:p>
            <w:pPr>
              <w:jc w:val="right"/>
              <w:ind w:right="133"/>
              <w:spacing w:after="0"/>
              <w:rPr>
                <w:sz w:val="20"/>
                <w:szCs w:val="20"/>
                <w:color w:val="auto"/>
              </w:rPr>
            </w:pPr>
            <w:r>
              <w:rPr>
                <w:rFonts w:ascii="Times New Roman" w:cs="Times New Roman" w:eastAsia="Times New Roman" w:hAnsi="Times New Roman"/>
                <w:sz w:val="16"/>
                <w:szCs w:val="16"/>
                <w:b w:val="1"/>
                <w:bCs w:val="1"/>
                <w:color w:val="auto"/>
              </w:rPr>
              <w:t>September 29, 2023</w:t>
            </w:r>
          </w:p>
        </w:tc>
      </w:tr>
      <w:tr>
        <w:trPr>
          <w:trHeight w:val="204"/>
        </w:trPr>
        <w:tc>
          <w:tcPr>
            <w:tcW w:w="7600" w:type="dxa"/>
            <w:vAlign w:val="bottom"/>
            <w:tcBorders>
              <w:top w:val="single" w:sz="8" w:color="CCEEFF"/>
            </w:tcBorders>
            <w:shd w:val="clear" w:color="auto" w:fill="CCEEFF"/>
          </w:tcPr>
          <w:p>
            <w:pPr>
              <w:ind w:left="20"/>
              <w:spacing w:after="0" w:line="204" w:lineRule="exact"/>
              <w:rPr>
                <w:sz w:val="20"/>
                <w:szCs w:val="20"/>
                <w:color w:val="auto"/>
              </w:rPr>
            </w:pPr>
            <w:r>
              <w:rPr>
                <w:rFonts w:ascii="Times New Roman" w:cs="Times New Roman" w:eastAsia="Times New Roman" w:hAnsi="Times New Roman"/>
                <w:sz w:val="18"/>
                <w:szCs w:val="18"/>
                <w:color w:val="auto"/>
              </w:rPr>
              <w:t>Deferred tax assets:</w:t>
            </w:r>
          </w:p>
        </w:tc>
        <w:tc>
          <w:tcPr>
            <w:tcW w:w="180" w:type="dxa"/>
            <w:vAlign w:val="bottom"/>
            <w:tcBorders>
              <w:top w:val="single" w:sz="8" w:color="auto"/>
            </w:tcBorders>
            <w:shd w:val="clear" w:color="auto" w:fill="CCEEFF"/>
          </w:tcPr>
          <w:p>
            <w:pPr>
              <w:spacing w:after="0"/>
              <w:rPr>
                <w:sz w:val="17"/>
                <w:szCs w:val="17"/>
                <w:color w:val="auto"/>
              </w:rPr>
            </w:pPr>
          </w:p>
        </w:tc>
        <w:tc>
          <w:tcPr>
            <w:tcW w:w="16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600" w:type="dxa"/>
            <w:vAlign w:val="bottom"/>
            <w:tcBorders>
              <w:top w:val="single" w:sz="8" w:color="auto"/>
            </w:tcBorders>
            <w:shd w:val="clear" w:color="auto" w:fill="CCEEFF"/>
          </w:tcPr>
          <w:p>
            <w:pPr>
              <w:spacing w:after="0"/>
              <w:rPr>
                <w:sz w:val="17"/>
                <w:szCs w:val="17"/>
                <w:color w:val="auto"/>
              </w:rPr>
            </w:pPr>
          </w:p>
        </w:tc>
      </w:tr>
      <w:tr>
        <w:trPr>
          <w:trHeight w:val="223"/>
        </w:trPr>
        <w:tc>
          <w:tcPr>
            <w:tcW w:w="7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Inventory</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w:t>
            </w:r>
          </w:p>
        </w:tc>
      </w:tr>
      <w:tr>
        <w:trPr>
          <w:trHeight w:val="223"/>
        </w:trPr>
        <w:tc>
          <w:tcPr>
            <w:tcW w:w="7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Accrued compensation and benefits</w:t>
            </w: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r>
      <w:tr>
        <w:trPr>
          <w:trHeight w:val="223"/>
        </w:trPr>
        <w:tc>
          <w:tcPr>
            <w:tcW w:w="7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Product returns, allowances, and warranty</w:t>
            </w: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23"/>
        </w:trPr>
        <w:tc>
          <w:tcPr>
            <w:tcW w:w="7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Share-based and other deferred compensation</w:t>
            </w: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w:t>
            </w:r>
          </w:p>
        </w:tc>
      </w:tr>
      <w:tr>
        <w:trPr>
          <w:trHeight w:val="223"/>
        </w:trPr>
        <w:tc>
          <w:tcPr>
            <w:tcW w:w="7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operating loss carry forwards</w:t>
            </w: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r>
      <w:tr>
        <w:trPr>
          <w:trHeight w:val="223"/>
        </w:trPr>
        <w:tc>
          <w:tcPr>
            <w:tcW w:w="7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Tax credits</w:t>
            </w: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155.7</w:t>
            </w:r>
          </w:p>
        </w:tc>
      </w:tr>
      <w:tr>
        <w:trPr>
          <w:trHeight w:val="223"/>
        </w:trPr>
        <w:tc>
          <w:tcPr>
            <w:tcW w:w="7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Operating leases</w:t>
            </w: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w:t>
            </w:r>
          </w:p>
        </w:tc>
      </w:tr>
      <w:tr>
        <w:trPr>
          <w:trHeight w:val="223"/>
        </w:trPr>
        <w:tc>
          <w:tcPr>
            <w:tcW w:w="7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R&amp;D capitalization</w:t>
            </w: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95.3</w:t>
            </w:r>
          </w:p>
        </w:tc>
      </w:tr>
      <w:tr>
        <w:trPr>
          <w:trHeight w:val="223"/>
        </w:trPr>
        <w:tc>
          <w:tcPr>
            <w:tcW w:w="7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Intangible assets</w:t>
            </w: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w:t>
            </w:r>
          </w:p>
        </w:tc>
      </w:tr>
      <w:tr>
        <w:trPr>
          <w:trHeight w:val="223"/>
        </w:trPr>
        <w:tc>
          <w:tcPr>
            <w:tcW w:w="7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net</w:t>
            </w:r>
          </w:p>
        </w:tc>
        <w:tc>
          <w:tcPr>
            <w:tcW w:w="18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16"/>
        </w:trPr>
        <w:tc>
          <w:tcPr>
            <w:tcW w:w="76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Deferred tax assets</w:t>
            </w:r>
          </w:p>
        </w:tc>
        <w:tc>
          <w:tcPr>
            <w:tcW w:w="1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410.0</w:t>
            </w:r>
          </w:p>
        </w:tc>
      </w:tr>
      <w:tr>
        <w:trPr>
          <w:trHeight w:val="223"/>
        </w:trPr>
        <w:tc>
          <w:tcPr>
            <w:tcW w:w="7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Less valuation allowance</w:t>
            </w:r>
          </w:p>
        </w:tc>
        <w:tc>
          <w:tcPr>
            <w:tcW w:w="18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(174.1)</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(164.2)</w:t>
            </w:r>
          </w:p>
        </w:tc>
      </w:tr>
      <w:tr>
        <w:trPr>
          <w:trHeight w:val="216"/>
        </w:trPr>
        <w:tc>
          <w:tcPr>
            <w:tcW w:w="76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Net deferred tax assets</w:t>
            </w:r>
          </w:p>
        </w:tc>
        <w:tc>
          <w:tcPr>
            <w:tcW w:w="1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361.1</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245.8</w:t>
            </w:r>
          </w:p>
        </w:tc>
      </w:tr>
      <w:tr>
        <w:trPr>
          <w:trHeight w:val="203"/>
        </w:trPr>
        <w:tc>
          <w:tcPr>
            <w:tcW w:w="7600" w:type="dxa"/>
            <w:vAlign w:val="bottom"/>
            <w:shd w:val="clear" w:color="auto" w:fill="CCEEFF"/>
          </w:tcPr>
          <w:p>
            <w:pPr>
              <w:ind w:left="20"/>
              <w:spacing w:after="0" w:line="203" w:lineRule="exact"/>
              <w:rPr>
                <w:sz w:val="20"/>
                <w:szCs w:val="20"/>
                <w:color w:val="auto"/>
              </w:rPr>
            </w:pPr>
            <w:r>
              <w:rPr>
                <w:rFonts w:ascii="Times New Roman" w:cs="Times New Roman" w:eastAsia="Times New Roman" w:hAnsi="Times New Roman"/>
                <w:sz w:val="18"/>
                <w:szCs w:val="18"/>
                <w:color w:val="auto"/>
              </w:rPr>
              <w:t>Deferred tax liabilities:</w:t>
            </w:r>
          </w:p>
        </w:tc>
        <w:tc>
          <w:tcPr>
            <w:tcW w:w="18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r>
      <w:tr>
        <w:trPr>
          <w:trHeight w:val="223"/>
        </w:trPr>
        <w:tc>
          <w:tcPr>
            <w:tcW w:w="7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w:t>
            </w:r>
          </w:p>
        </w:tc>
      </w:tr>
      <w:tr>
        <w:trPr>
          <w:trHeight w:val="223"/>
        </w:trPr>
        <w:tc>
          <w:tcPr>
            <w:tcW w:w="7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Operating leases</w:t>
            </w:r>
          </w:p>
        </w:tc>
        <w:tc>
          <w:tcPr>
            <w:tcW w:w="18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w:t>
            </w:r>
          </w:p>
        </w:tc>
      </w:tr>
      <w:tr>
        <w:trPr>
          <w:trHeight w:val="216"/>
        </w:trPr>
        <w:tc>
          <w:tcPr>
            <w:tcW w:w="76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Net deferred tax liabilities</w:t>
            </w:r>
          </w:p>
        </w:tc>
        <w:tc>
          <w:tcPr>
            <w:tcW w:w="1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(69.5)</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(62.6)</w:t>
            </w:r>
          </w:p>
        </w:tc>
      </w:tr>
      <w:tr>
        <w:trPr>
          <w:trHeight w:val="241"/>
        </w:trPr>
        <w:tc>
          <w:tcPr>
            <w:tcW w:w="760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Total net deferred tax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291.6</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183.2</w:t>
            </w: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deferred tax assets and liabilities based on tax jurisdictions are presented on our Consolidated Balance Sheets as follows (in millions):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76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As of</w:t>
            </w:r>
          </w:p>
        </w:tc>
        <w:tc>
          <w:tcPr>
            <w:tcW w:w="1600" w:type="dxa"/>
            <w:vAlign w:val="bottom"/>
            <w:tcBorders>
              <w:bottom w:val="single" w:sz="8" w:color="auto"/>
            </w:tcBorders>
          </w:tcPr>
          <w:p>
            <w:pPr>
              <w:spacing w:after="0"/>
              <w:rPr>
                <w:sz w:val="18"/>
                <w:szCs w:val="18"/>
                <w:color w:val="auto"/>
              </w:rPr>
            </w:pPr>
          </w:p>
        </w:tc>
      </w:tr>
      <w:tr>
        <w:trPr>
          <w:trHeight w:val="205"/>
        </w:trPr>
        <w:tc>
          <w:tcPr>
            <w:tcW w:w="7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0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September 27, 2024</w:t>
            </w:r>
          </w:p>
        </w:tc>
        <w:tc>
          <w:tcPr>
            <w:tcW w:w="160" w:type="dxa"/>
            <w:vAlign w:val="bottom"/>
          </w:tcPr>
          <w:p>
            <w:pPr>
              <w:spacing w:after="0"/>
              <w:rPr>
                <w:sz w:val="17"/>
                <w:szCs w:val="17"/>
                <w:color w:val="auto"/>
              </w:rPr>
            </w:pPr>
          </w:p>
        </w:tc>
        <w:tc>
          <w:tcPr>
            <w:tcW w:w="1600" w:type="dxa"/>
            <w:vAlign w:val="bottom"/>
          </w:tcPr>
          <w:p>
            <w:pPr>
              <w:jc w:val="right"/>
              <w:ind w:right="135"/>
              <w:spacing w:after="0"/>
              <w:rPr>
                <w:sz w:val="20"/>
                <w:szCs w:val="20"/>
                <w:color w:val="auto"/>
              </w:rPr>
            </w:pPr>
            <w:r>
              <w:rPr>
                <w:rFonts w:ascii="Times New Roman" w:cs="Times New Roman" w:eastAsia="Times New Roman" w:hAnsi="Times New Roman"/>
                <w:sz w:val="16"/>
                <w:szCs w:val="16"/>
                <w:b w:val="1"/>
                <w:bCs w:val="1"/>
                <w:color w:val="auto"/>
              </w:rPr>
              <w:t>September 29, 2023</w:t>
            </w:r>
          </w:p>
        </w:tc>
      </w:tr>
      <w:tr>
        <w:trPr>
          <w:trHeight w:val="217"/>
        </w:trPr>
        <w:tc>
          <w:tcPr>
            <w:tcW w:w="7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303.5</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192.3</w:t>
            </w:r>
          </w:p>
        </w:tc>
      </w:tr>
      <w:tr>
        <w:trPr>
          <w:trHeight w:val="223"/>
        </w:trPr>
        <w:tc>
          <w:tcPr>
            <w:tcW w:w="7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1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241"/>
        </w:trPr>
        <w:tc>
          <w:tcPr>
            <w:tcW w:w="76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deferred tax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291.6</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183.2</w:t>
            </w: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r>
    </w:tbl>
    <w:p>
      <w:pPr>
        <w:spacing w:after="0" w:line="29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In accordance with GAAP, management has determined that it is more likely than not that a portion of the Company’s historic and current year income tax benefits will not be realized. As of September 27, 2024, the Company has a valuation allowance of $174.1 million. This valuation allowance is comprised of $155.4 million related to United States federal and state tax attributes and $18.7 million related to foreign deferred tax assets. The United States tax credits relate primarily to California research tax</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76200</wp:posOffset>
            </wp:positionV>
            <wp:extent cx="7161530"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credits that can be carried forward indefinitely, for which the Company has provided a full valuation allowance. The Company does not anticipate sufficient taxable income or tax liability to utilize the United States and foreign credits. If these benefits are recognized in a future period, the valuation allowance on deferred tax assets will be reversed and up to a $174.1 million income tax benefit may be recognized. The Company will need to generate $1.2 billion of future United States federal taxable income to utilize its United States deferred tax assets, net of deferred tax liabilities and excluding state deferred tax assets with a full valuation allowance, as of September 27, 2024. The Company believes that future reversals of taxable temporary differences, and its forecast of continued earnings in its domestic and foreign jurisdictions, support its decision to not record a valuation allowance on other deferred tax assets. The Company will continue to assess its valuation allowance in future periods. The net valuation allowance increased by $9.9 million in fiscal 2024 primarily related to increases in state tax credit carryforwards.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reconciliation of the beginning and ending amount of gross unrecognized tax benefits is as follows (in millions):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tcPr>
          <w:p>
            <w:pPr>
              <w:jc w:val="right"/>
              <w:ind w:right="74"/>
              <w:spacing w:after="0"/>
              <w:rPr>
                <w:sz w:val="20"/>
                <w:szCs w:val="20"/>
                <w:color w:val="auto"/>
              </w:rPr>
            </w:pPr>
            <w:r>
              <w:rPr>
                <w:rFonts w:ascii="Times New Roman" w:cs="Times New Roman" w:eastAsia="Times New Roman" w:hAnsi="Times New Roman"/>
                <w:sz w:val="16"/>
                <w:szCs w:val="16"/>
                <w:b w:val="1"/>
                <w:bCs w:val="1"/>
                <w:color w:val="auto"/>
                <w:w w:val="96"/>
              </w:rPr>
              <w:t>Unrecognized Tax</w:t>
            </w:r>
          </w:p>
        </w:tc>
      </w:tr>
      <w:tr>
        <w:trPr>
          <w:trHeight w:val="209"/>
        </w:trPr>
        <w:tc>
          <w:tcPr>
            <w:tcW w:w="97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6"/>
                <w:szCs w:val="16"/>
                <w:b w:val="1"/>
                <w:bCs w:val="1"/>
                <w:color w:val="auto"/>
              </w:rPr>
              <w:t>Benefits</w:t>
            </w:r>
          </w:p>
        </w:tc>
      </w:tr>
      <w:tr>
        <w:trPr>
          <w:trHeight w:val="217"/>
        </w:trPr>
        <w:tc>
          <w:tcPr>
            <w:tcW w:w="9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September 29, 2023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w:t>
            </w:r>
          </w:p>
        </w:tc>
      </w:tr>
      <w:tr>
        <w:trPr>
          <w:trHeight w:val="223"/>
        </w:trPr>
        <w:tc>
          <w:tcPr>
            <w:tcW w:w="9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Increases based on positions related to prior years</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w:t>
            </w:r>
          </w:p>
        </w:tc>
      </w:tr>
      <w:tr>
        <w:trPr>
          <w:trHeight w:val="223"/>
        </w:trPr>
        <w:tc>
          <w:tcPr>
            <w:tcW w:w="9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Decreases based on positions related to prior years</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23"/>
        </w:trPr>
        <w:tc>
          <w:tcPr>
            <w:tcW w:w="9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Increases based on positions related to current year</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23"/>
        </w:trPr>
        <w:tc>
          <w:tcPr>
            <w:tcW w:w="9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Decreases based on expirations of statute of limitations</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23"/>
        </w:trPr>
        <w:tc>
          <w:tcPr>
            <w:tcW w:w="97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Decreases based on settlements with taxing authorities</w:t>
            </w: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41"/>
        </w:trPr>
        <w:tc>
          <w:tcPr>
            <w:tcW w:w="9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September 27, 2024</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w:t>
            </w:r>
          </w:p>
        </w:tc>
      </w:tr>
      <w:tr>
        <w:trPr>
          <w:trHeight w:val="20"/>
        </w:trPr>
        <w:tc>
          <w:tcPr>
            <w:tcW w:w="97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Of the total unrecognized tax benefits at September 27, 2024, $47.3 million would impact the effective tax rate, if recognized. The remaining unrecognized tax benefits would not impact the effective tax rate, if recognized, due to the Company’s valuation allowance on certain tax attributes.</w:t>
      </w:r>
    </w:p>
    <w:p>
      <w:pPr>
        <w:spacing w:after="0" w:line="196"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6"/>
          <w:szCs w:val="16"/>
          <w:color w:val="auto"/>
        </w:rPr>
        <w:t>The Company anticipates reversals within the next 12 months related to items such as the lapse of the statute of limitations, audit closures, and other items that occur in the normal course of business. Although the Company cannot predict the timing of resolution with taxing authorities, if any, the Company believes it is reasonably possible that its unrecognized tax benefits will be reduced by $5.7 million in the next 12 months due to expiration of the applicable statute of limitations. During fiscal 2024, fiscal 2023, and fiscal 2022, the Company recognized $5.5 million, $2.9 million, and $1.2 million, respectively, of interest or penalties related to unrecognized tax benefits. Accrued interest and penalties of $11.7 million and $6.2 million related to uncertain tax positions have been included in long-term tax liabilities within the Consolidated Balance Sheets as of September 27, 2024, and September 29, 2023, respectively.</w:t>
      </w:r>
    </w:p>
    <w:p>
      <w:pPr>
        <w:spacing w:after="0" w:line="18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During fiscal 2023, the Company concluded an Internal Revenue Service examination of its federal income tax returns for the fiscal year ended September 28, 2018 (“fiscal 2018”) and the fiscal year ended September 27, 2019 (“fiscal 2019”). The Company agreed to various adjustments to fiscal 2018 and fiscal 2019 tax returns that resulted in the recognition of net tax expense of $1.6 million during fiscal 2023.</w:t>
      </w:r>
    </w:p>
    <w:p>
      <w:pPr>
        <w:spacing w:after="0" w:line="207"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6"/>
          <w:szCs w:val="16"/>
          <w:color w:val="auto"/>
        </w:rPr>
        <w:t>The Company’s major tax jurisdictions as of September 27, 2024 are the United States, California, Canada, Mexico, Japan, and Singapore. For the United States, the Company has open tax years dating back to fiscal 2021. For California, the Company has open tax years dating back to fiscal 2004. For Canada, the Company has open tax years dating back to fiscal 2017. For Mexico, the Company has open tax years dating back to fiscal 2014. For Japan, the Company has open tax years dating back to fiscal 2017. For Singapore, the Company has open tax years dating back to fiscal 2017. The Company is subject to audit examinations by the respective taxing authorities on a periodic basis, of which the results could impact its financial position, results of operations, or cash flows.</w:t>
      </w:r>
    </w:p>
    <w:p>
      <w:pPr>
        <w:spacing w:after="0" w:line="183"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In August 2022, the U.S. government enacted the Inflation Reduction Act, which imposes a corporate alternative minimum tax (“CAMT”) of 15% on corporations with three-year average annual adjusted financial statement income exceeding $1.0 billion. The Company is subject to the provisions of CAMT in fiscal 2024. CAMT had no impact to the Company’s consolidated financial statements for fiscal 2024.</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84455</wp:posOffset>
            </wp:positionV>
            <wp:extent cx="7161530"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58" w:lineRule="exact"/>
        <w:rPr>
          <w:sz w:val="20"/>
          <w:szCs w:val="20"/>
          <w:color w:val="auto"/>
        </w:rPr>
      </w:pPr>
    </w:p>
    <w:p>
      <w:pPr>
        <w:ind w:left="360" w:hanging="355"/>
        <w:spacing w:after="0"/>
        <w:tabs>
          <w:tab w:leader="none" w:pos="360"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STOCKHOLDERS’ EQUITY</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11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At September 27, 2024, the Company is authorized to issue 525.0 million shares of common stock, par value $0.25 per share, of which 159.9 million shares are issued and outstanding.</w:t>
      </w:r>
    </w:p>
    <w:p>
      <w:pPr>
        <w:spacing w:after="0" w:line="196"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6"/>
          <w:szCs w:val="16"/>
          <w:color w:val="auto"/>
        </w:rPr>
        <w:t>Holders of the Company’s common stock are entitled to dividends in the event declared by the Company’s Board of Directors out of funds legally available for such purpose. Dividends may not be paid on common stock unless all accrued dividends on preferred stock, if any, have been paid or declared and set aside. In the event of the Company’s liquidation, dissolution, or winding up, the holders of common stock will be entitled to share pro rata in the assets remaining after payment to creditors and after payment of the liquidation preference plus any unpaid dividends to holders of any outstanding preferred stock.</w:t>
      </w:r>
    </w:p>
    <w:p>
      <w:pPr>
        <w:spacing w:after="0" w:line="17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Each holder of the Company’s common stock is entitled to one vote for each such share outstanding in the holder’s name. No holder of common stock is entitled to cumulate votes in voting for directors. The Company’s restated certificate of incorporation as amended to date (the “Certificate of Incorporation”) provides that, unless otherwise determined by the Company’s Board of Directors, no holder of stock has any preemptive right to purchase or subscribe for any stock of any class which the Company may issue or sell.</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Preferred Stock</w:t>
      </w:r>
    </w:p>
    <w:p>
      <w:pPr>
        <w:spacing w:after="0" w:line="11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The Company’s Certificate of Incorporation has authorized and permits the Company to issue up to 25.0 million shares of preferred stock without par value in one or more series and with rights and preferences that may be fixed or designated by the Company’s Board of Directors without any further action by the Company’s stockholders. The designation, powers, preferences, rights and qualifications, limitations, and restrictions of the preferred stock of each series will be fixed by the certificate of designation relating to such series, which will specify the terms of the preferred stock. At September 27, 2024, the Company had no shares of preferred stock issued or outstanding.</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Repurchase and Retirement</w:t>
      </w:r>
    </w:p>
    <w:p>
      <w:pPr>
        <w:spacing w:after="0" w:line="112"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6"/>
          <w:szCs w:val="16"/>
          <w:color w:val="auto"/>
        </w:rPr>
        <w:t>On January 31, 2023, the Board of Directors approved a stock repurchase program (“January 31, 2023 stock repurchase program”), pursuant to which the Company is authorized to repurchase up to $2.0 billion of its common stock from time to time through February 1, 2025, on the open market or in privately negotiated transactions, in compliance with applicable securities laws and other legal requirements. The January 31, 2023 stock repurchase program succeeds in its entirety the stock repurchase program approved by the Board of Directors on January 26, 2021 (“January 26, 2021 stock repurchase program”). The timing and amount of any shares of the Company’s common stock that are repurchased under the January 31, 2023 stock repurchase program will be determined by the Company’s management based on its evaluation of market conditions and other factors. The January 31, 2023 stock repurchase program may be suspended or discontinued at any time. The Company currently expects to fund the January 31, 2023 stock repurchase program using the Company’s working capital.</w:t>
      </w:r>
    </w:p>
    <w:p>
      <w:pPr>
        <w:spacing w:after="0" w:line="18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During fiscal 2024, the Company paid $77.4 million (including commissions and excise tax, as applicable) in connection with the repurchase of 0.8 million shares of its common stock (paying an average price of $101.33 per share), all of which shares were repurchased pursuant to the January 31, 2023 stock repurchase program. As of September 27, 2024, $1.9 billion remained available under the January 31, 2023 stock repurchase program.</w:t>
      </w:r>
    </w:p>
    <w:p>
      <w:pPr>
        <w:spacing w:after="0" w:line="20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During fiscal 2023, the Company paid $175.3 million (including commissions) in connection with the repurchase of 1.9 million shares of its common stock (paying an average price of $90.60 per share), all of which shares were repurchased pursuant to the January 26, 2021 stock repurchase program. During fiscal 2022, the Company paid $886.8 million (including commissions) in connection with the repurchase of 6.5 million shares of its common stock (paying an average price of $136.32 per share), all of which shares were repurchased pursuant to the January 26, 2021 stock repurchase program.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11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November 12, 2024, the Company announced that the Board of Directors had declared a cash dividend on the Company’s common stock of $0.70 per share. This dividend is payable on December 24, 2024, to the Company’s stockholders of record as of the close of business on December 3, 2024. Future dividends are subject to declaration by the Board of Directors.</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84455</wp:posOffset>
            </wp:positionV>
            <wp:extent cx="7161530"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Dividends charged to retained earnings were as follows (in millions, except per share data):</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57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680" w:type="dxa"/>
            <w:vAlign w:val="bottom"/>
            <w:tcBorders>
              <w:bottom w:val="single" w:sz="8" w:color="auto"/>
            </w:tcBorders>
            <w:gridSpan w:val="5"/>
          </w:tcPr>
          <w:p>
            <w:pPr>
              <w:ind w:left="580"/>
              <w:spacing w:after="0"/>
              <w:rPr>
                <w:sz w:val="20"/>
                <w:szCs w:val="20"/>
                <w:color w:val="auto"/>
              </w:rPr>
            </w:pPr>
            <w:r>
              <w:rPr>
                <w:rFonts w:ascii="Times New Roman" w:cs="Times New Roman" w:eastAsia="Times New Roman" w:hAnsi="Times New Roman"/>
                <w:sz w:val="16"/>
                <w:szCs w:val="16"/>
                <w:b w:val="1"/>
                <w:bCs w:val="1"/>
                <w:color w:val="auto"/>
              </w:rPr>
              <w:t>Fiscal Years Ended</w:t>
            </w: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r>
      <w:tr>
        <w:trPr>
          <w:trHeight w:val="205"/>
        </w:trPr>
        <w:tc>
          <w:tcPr>
            <w:tcW w:w="5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0" w:type="dxa"/>
            <w:vAlign w:val="bottom"/>
            <w:gridSpan w:val="5"/>
          </w:tcPr>
          <w:p>
            <w:pPr>
              <w:ind w:left="500"/>
              <w:spacing w:after="0"/>
              <w:rPr>
                <w:sz w:val="20"/>
                <w:szCs w:val="20"/>
                <w:color w:val="auto"/>
              </w:rPr>
            </w:pPr>
            <w:r>
              <w:rPr>
                <w:rFonts w:ascii="Times New Roman" w:cs="Times New Roman" w:eastAsia="Times New Roman" w:hAnsi="Times New Roman"/>
                <w:sz w:val="16"/>
                <w:szCs w:val="16"/>
                <w:b w:val="1"/>
                <w:bCs w:val="1"/>
                <w:color w:val="auto"/>
              </w:rPr>
              <w:t>September 27, 2024</w:t>
            </w:r>
          </w:p>
        </w:tc>
        <w:tc>
          <w:tcPr>
            <w:tcW w:w="220" w:type="dxa"/>
            <w:vAlign w:val="bottom"/>
          </w:tcPr>
          <w:p>
            <w:pPr>
              <w:spacing w:after="0"/>
              <w:rPr>
                <w:sz w:val="17"/>
                <w:szCs w:val="17"/>
                <w:color w:val="auto"/>
              </w:rPr>
            </w:pPr>
          </w:p>
        </w:tc>
        <w:tc>
          <w:tcPr>
            <w:tcW w:w="2500" w:type="dxa"/>
            <w:vAlign w:val="bottom"/>
            <w:gridSpan w:val="4"/>
          </w:tcPr>
          <w:p>
            <w:pPr>
              <w:jc w:val="right"/>
              <w:ind w:right="614"/>
              <w:spacing w:after="0"/>
              <w:rPr>
                <w:sz w:val="20"/>
                <w:szCs w:val="20"/>
                <w:color w:val="auto"/>
              </w:rPr>
            </w:pPr>
            <w:r>
              <w:rPr>
                <w:rFonts w:ascii="Times New Roman" w:cs="Times New Roman" w:eastAsia="Times New Roman" w:hAnsi="Times New Roman"/>
                <w:sz w:val="16"/>
                <w:szCs w:val="16"/>
                <w:b w:val="1"/>
                <w:bCs w:val="1"/>
                <w:color w:val="auto"/>
              </w:rPr>
              <w:t>September 29, 2023</w:t>
            </w:r>
          </w:p>
        </w:tc>
      </w:tr>
      <w:tr>
        <w:trPr>
          <w:trHeight w:val="203"/>
        </w:trPr>
        <w:tc>
          <w:tcPr>
            <w:tcW w:w="57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Per Share</w:t>
            </w:r>
          </w:p>
        </w:tc>
        <w:tc>
          <w:tcPr>
            <w:tcW w:w="14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jc w:val="right"/>
              <w:ind w:right="115"/>
              <w:spacing w:after="0"/>
              <w:rPr>
                <w:sz w:val="20"/>
                <w:szCs w:val="20"/>
                <w:color w:val="auto"/>
              </w:rPr>
            </w:pPr>
            <w:r>
              <w:rPr>
                <w:rFonts w:ascii="Times New Roman" w:cs="Times New Roman" w:eastAsia="Times New Roman" w:hAnsi="Times New Roman"/>
                <w:sz w:val="16"/>
                <w:szCs w:val="16"/>
                <w:b w:val="1"/>
                <w:bCs w:val="1"/>
                <w:color w:val="auto"/>
                <w:w w:val="99"/>
              </w:rPr>
              <w:t>Total Amount</w:t>
            </w:r>
          </w:p>
        </w:tc>
        <w:tc>
          <w:tcPr>
            <w:tcW w:w="8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Per Share</w:t>
            </w:r>
          </w:p>
        </w:tc>
        <w:tc>
          <w:tcPr>
            <w:tcW w:w="14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right"/>
              <w:ind w:right="94"/>
              <w:spacing w:after="0"/>
              <w:rPr>
                <w:sz w:val="20"/>
                <w:szCs w:val="20"/>
                <w:color w:val="auto"/>
              </w:rPr>
            </w:pPr>
            <w:r>
              <w:rPr>
                <w:rFonts w:ascii="Times New Roman" w:cs="Times New Roman" w:eastAsia="Times New Roman" w:hAnsi="Times New Roman"/>
                <w:sz w:val="16"/>
                <w:szCs w:val="16"/>
                <w:b w:val="1"/>
                <w:bCs w:val="1"/>
                <w:color w:val="auto"/>
                <w:w w:val="99"/>
              </w:rPr>
              <w:t>Total Amount</w:t>
            </w:r>
          </w:p>
        </w:tc>
      </w:tr>
      <w:tr>
        <w:trPr>
          <w:trHeight w:val="217"/>
        </w:trPr>
        <w:tc>
          <w:tcPr>
            <w:tcW w:w="5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First quarter</w:t>
            </w:r>
          </w:p>
        </w:tc>
        <w:tc>
          <w:tcPr>
            <w:tcW w:w="20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0.68</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108.9</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0.62</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99.4</w:t>
            </w:r>
          </w:p>
        </w:tc>
      </w:tr>
      <w:tr>
        <w:trPr>
          <w:trHeight w:val="223"/>
        </w:trPr>
        <w:tc>
          <w:tcPr>
            <w:tcW w:w="5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Second quarter</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109.1</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98.6</w:t>
            </w:r>
          </w:p>
        </w:tc>
      </w:tr>
      <w:tr>
        <w:trPr>
          <w:trHeight w:val="223"/>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Third quarter</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109.1</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98.7</w:t>
            </w:r>
          </w:p>
        </w:tc>
      </w:tr>
      <w:tr>
        <w:trPr>
          <w:trHeight w:val="223"/>
        </w:trPr>
        <w:tc>
          <w:tcPr>
            <w:tcW w:w="5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Fourth quarter</w:t>
            </w: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112.0</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0.68</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108.5</w:t>
            </w:r>
          </w:p>
        </w:tc>
      </w:tr>
      <w:tr>
        <w:trPr>
          <w:trHeight w:val="241"/>
        </w:trPr>
        <w:tc>
          <w:tcPr>
            <w:tcW w:w="57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dividends</w:t>
            </w: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439.1</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405.2</w:t>
            </w:r>
          </w:p>
        </w:tc>
      </w:tr>
      <w:tr>
        <w:trPr>
          <w:trHeight w:val="20"/>
        </w:trPr>
        <w:tc>
          <w:tcPr>
            <w:tcW w:w="57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Stock Benefit Plans</w:t>
      </w:r>
    </w:p>
    <w:p>
      <w:pPr>
        <w:spacing w:after="0" w:line="11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As of September 27, 2024, the Company has the following equity compensation plans under which its equity securities were authorized for issuance to its employees and/or directors:</w:t>
      </w:r>
    </w:p>
    <w:p>
      <w:pPr>
        <w:spacing w:after="0" w:line="196" w:lineRule="exact"/>
        <w:rPr>
          <w:sz w:val="20"/>
          <w:szCs w:val="20"/>
          <w:color w:val="auto"/>
        </w:rPr>
      </w:pPr>
    </w:p>
    <w:p>
      <w:pPr>
        <w:ind w:left="780" w:hanging="302"/>
        <w:spacing w:after="0"/>
        <w:tabs>
          <w:tab w:leader="none" w:pos="7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2002 Employee Stock Purchase Plan, as Amended</w:t>
      </w:r>
    </w:p>
    <w:p>
      <w:pPr>
        <w:spacing w:after="0" w:line="55" w:lineRule="exact"/>
        <w:rPr>
          <w:rFonts w:ascii="Times New Roman" w:cs="Times New Roman" w:eastAsia="Times New Roman" w:hAnsi="Times New Roman"/>
          <w:sz w:val="18"/>
          <w:szCs w:val="18"/>
          <w:color w:val="auto"/>
        </w:rPr>
      </w:pPr>
    </w:p>
    <w:p>
      <w:pPr>
        <w:ind w:left="780" w:hanging="302"/>
        <w:spacing w:after="0"/>
        <w:tabs>
          <w:tab w:leader="none" w:pos="7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Non-Qualified Employee Stock Purchase Plan, as Amended</w:t>
      </w:r>
    </w:p>
    <w:p>
      <w:pPr>
        <w:spacing w:after="0" w:line="55" w:lineRule="exact"/>
        <w:rPr>
          <w:rFonts w:ascii="Times New Roman" w:cs="Times New Roman" w:eastAsia="Times New Roman" w:hAnsi="Times New Roman"/>
          <w:sz w:val="18"/>
          <w:szCs w:val="18"/>
          <w:color w:val="auto"/>
        </w:rPr>
      </w:pPr>
    </w:p>
    <w:p>
      <w:pPr>
        <w:ind w:left="780" w:hanging="302"/>
        <w:spacing w:after="0"/>
        <w:tabs>
          <w:tab w:leader="none" w:pos="7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Amended and Restated 2008 Director Long-Term Incentive Plan</w:t>
      </w:r>
    </w:p>
    <w:p>
      <w:pPr>
        <w:spacing w:after="0" w:line="55" w:lineRule="exact"/>
        <w:rPr>
          <w:rFonts w:ascii="Times New Roman" w:cs="Times New Roman" w:eastAsia="Times New Roman" w:hAnsi="Times New Roman"/>
          <w:sz w:val="18"/>
          <w:szCs w:val="18"/>
          <w:color w:val="auto"/>
        </w:rPr>
      </w:pPr>
    </w:p>
    <w:p>
      <w:pPr>
        <w:ind w:left="780" w:hanging="302"/>
        <w:spacing w:after="0"/>
        <w:tabs>
          <w:tab w:leader="none" w:pos="7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Second Amended and Restated 2015 Long-Term Incentive Plan</w:t>
      </w:r>
    </w:p>
    <w:p>
      <w:pPr>
        <w:spacing w:after="0" w:line="23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Except for the Non-Qualified Employee Stock Purchase Plan, as Amended, each of the foregoing equity compensation plans was approved by the Company’s stockholders.</w:t>
      </w:r>
    </w:p>
    <w:p>
      <w:pPr>
        <w:spacing w:after="0" w:line="19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As of September 27, 2024, a total of 45.4 million shares are authorized for grant under the Company’s share-based compensation plans. The number of common shares reserved for future awards to employees and directors under these plans was 14.7 million at September 27, 2024. The Company currently grants new equity awards to employees under the Second Amended and Restated 2015 Long-Term Incentive Plan and to non-employee directors under the Amended and Restarted 2008 Director Long-Term Incentive Plan, as Amended.</w:t>
      </w:r>
    </w:p>
    <w:p>
      <w:pPr>
        <w:spacing w:after="0" w:line="209"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i w:val="1"/>
          <w:iCs w:val="1"/>
          <w:color w:val="auto"/>
        </w:rPr>
        <w:t xml:space="preserve">Second Amended and Restated 2015 Long-Term Incentive Plan. </w:t>
      </w:r>
      <w:r>
        <w:rPr>
          <w:rFonts w:ascii="Times New Roman" w:cs="Times New Roman" w:eastAsia="Times New Roman" w:hAnsi="Times New Roman"/>
          <w:sz w:val="18"/>
          <w:szCs w:val="18"/>
          <w:color w:val="auto"/>
        </w:rPr>
        <w:t>Under this plan, officers, employees, and certain consultants may be granted stock options,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restricted stock units, performance stock units, and other share-based awards. The plan has been approved by the stockholders. Under the plan, up to 30.5 million shares have been authorized for grant. A total of 11.6 million shares were available for new grants as of September 27, 2024. The maximum contractual term of options under the plan is seven years from the date of grant. Options granted under the plan at the determination of the compensation committee generally vest ratably over four years. Restricted stock units granted under the plan at the determination of the compensation committee generally vest over three or more years. No dividends or dividend equivalents are accumulated or paid with respect to restricted stock unit awards or other awards until the shares underlying such awards vest and are issued to the award holder. Performance stock units are contingently granted depending on the achievement of certain predetermined performance goals and generally vest over one or more years.</w:t>
      </w:r>
    </w:p>
    <w:p>
      <w:pPr>
        <w:spacing w:after="0" w:line="21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i w:val="1"/>
          <w:iCs w:val="1"/>
          <w:color w:val="auto"/>
        </w:rPr>
        <w:t xml:space="preserve">Amended and Restated 2008 Director Long-Term Incentive Plan, as Amended. </w:t>
      </w:r>
      <w:r>
        <w:rPr>
          <w:rFonts w:ascii="Times New Roman" w:cs="Times New Roman" w:eastAsia="Times New Roman" w:hAnsi="Times New Roman"/>
          <w:sz w:val="18"/>
          <w:szCs w:val="18"/>
          <w:color w:val="auto"/>
        </w:rPr>
        <w:t>Under this plan, non-employee directors may be granted stock options, restricted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 units, and other share-based awards. The plan has been approved by the stockholders. Under the plan a total of 1.5 million shares have been authorized for grant. A total of 0.5 million shares were available for new grants as of September 27, 2024. The maximum contractual term of options granted under the plan is ten years from the date of grant. Options granted under the plan generally vest ratably over four years. Restricted stock units granted under the plan generally vest over one or more years.</w:t>
      </w:r>
    </w:p>
    <w:p>
      <w:pPr>
        <w:spacing w:after="0" w:line="209"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i w:val="1"/>
          <w:iCs w:val="1"/>
          <w:color w:val="auto"/>
        </w:rPr>
        <w:t xml:space="preserve">Employee Stock Purchase Plans. </w:t>
      </w:r>
      <w:r>
        <w:rPr>
          <w:rFonts w:ascii="Times New Roman" w:cs="Times New Roman" w:eastAsia="Times New Roman" w:hAnsi="Times New Roman"/>
          <w:sz w:val="18"/>
          <w:szCs w:val="18"/>
          <w:color w:val="auto"/>
        </w:rPr>
        <w:t>The Company maintains a domestic and an international employee stock purchase plan. Under these plans, eligible employees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may purchase common stock through payroll deductions of up to 15% of their compensation. The price per share is the lower of 85% of the fair market value of the common stock at the beginning or end of each offering period (six months). The plans provide for purchases by employees of up to an aggregate of 13.5 million shares. Shares of common stock purchased under these plans during fiscal 2024, fiscal 2023, and fiscal 2022, were 0.4 million, 0.3 million, and 0.3 million, respectively. At September 27, 2024, there were 2.6 million shares available for purchase. The Company recognized compensation expense of $10.1 million, $10.9 million, and $9.2 million during fiscal 2024, fiscal 2023, and fiscal 2022, respectively, related to the employee stock purchase plan. The unrecognized compensation expense on the employee</w:t>
      </w: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84455</wp:posOffset>
            </wp:positionV>
            <wp:extent cx="7161530"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8"/>
          <w:szCs w:val="18"/>
          <w:color w:val="auto"/>
        </w:rPr>
        <w:t>stock purchase plan at September 27, 2024, was $4.4 million. The weighted average period over which the cost is expected to be recognized is approximately four months.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and Performance Awards and Units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represents a summary of the Company’s restricted and performance awards and units: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640" w:type="dxa"/>
            <w:vAlign w:val="bottom"/>
          </w:tcPr>
          <w:p>
            <w:pPr>
              <w:spacing w:after="0"/>
              <w:rPr>
                <w:sz w:val="16"/>
                <w:szCs w:val="16"/>
                <w:color w:val="auto"/>
              </w:rPr>
            </w:pPr>
          </w:p>
        </w:tc>
        <w:tc>
          <w:tcPr>
            <w:tcW w:w="1340" w:type="dxa"/>
            <w:vAlign w:val="bottom"/>
          </w:tcPr>
          <w:p>
            <w:pPr>
              <w:jc w:val="center"/>
              <w:ind w:left="361"/>
              <w:spacing w:after="0"/>
              <w:rPr>
                <w:sz w:val="20"/>
                <w:szCs w:val="20"/>
                <w:color w:val="auto"/>
              </w:rPr>
            </w:pPr>
            <w:r>
              <w:rPr>
                <w:rFonts w:ascii="Times New Roman" w:cs="Times New Roman" w:eastAsia="Times New Roman" w:hAnsi="Times New Roman"/>
                <w:sz w:val="16"/>
                <w:szCs w:val="16"/>
                <w:b w:val="1"/>
                <w:bCs w:val="1"/>
                <w:color w:val="auto"/>
                <w:w w:val="99"/>
              </w:rPr>
              <w:t>Shares</w:t>
            </w: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40" w:type="dxa"/>
            <w:vAlign w:val="bottom"/>
          </w:tcPr>
          <w:p>
            <w:pPr>
              <w:jc w:val="right"/>
              <w:ind w:right="175"/>
              <w:spacing w:after="0"/>
              <w:rPr>
                <w:sz w:val="20"/>
                <w:szCs w:val="20"/>
                <w:color w:val="auto"/>
              </w:rPr>
            </w:pPr>
            <w:r>
              <w:rPr>
                <w:rFonts w:ascii="Times New Roman" w:cs="Times New Roman" w:eastAsia="Times New Roman" w:hAnsi="Times New Roman"/>
                <w:sz w:val="16"/>
                <w:szCs w:val="16"/>
                <w:b w:val="1"/>
                <w:bCs w:val="1"/>
                <w:color w:val="auto"/>
              </w:rPr>
              <w:t>Weighted Average</w:t>
            </w:r>
          </w:p>
        </w:tc>
      </w:tr>
      <w:tr>
        <w:trPr>
          <w:trHeight w:val="209"/>
        </w:trPr>
        <w:tc>
          <w:tcPr>
            <w:tcW w:w="7640" w:type="dxa"/>
            <w:vAlign w:val="bottom"/>
            <w:tcBorders>
              <w:bottom w:val="single" w:sz="8" w:color="CCEEFF"/>
            </w:tcBorders>
          </w:tcPr>
          <w:p>
            <w:pPr>
              <w:spacing w:after="0"/>
              <w:rPr>
                <w:sz w:val="18"/>
                <w:szCs w:val="18"/>
                <w:color w:val="auto"/>
              </w:rPr>
            </w:pPr>
          </w:p>
        </w:tc>
        <w:tc>
          <w:tcPr>
            <w:tcW w:w="1340" w:type="dxa"/>
            <w:vAlign w:val="bottom"/>
            <w:tcBorders>
              <w:bottom w:val="single" w:sz="8" w:color="auto"/>
            </w:tcBorders>
          </w:tcPr>
          <w:p>
            <w:pPr>
              <w:jc w:val="center"/>
              <w:ind w:left="321"/>
              <w:spacing w:after="0"/>
              <w:rPr>
                <w:sz w:val="20"/>
                <w:szCs w:val="20"/>
                <w:color w:val="auto"/>
              </w:rPr>
            </w:pPr>
            <w:r>
              <w:rPr>
                <w:rFonts w:ascii="Times New Roman" w:cs="Times New Roman" w:eastAsia="Times New Roman" w:hAnsi="Times New Roman"/>
                <w:sz w:val="16"/>
                <w:szCs w:val="16"/>
                <w:b w:val="1"/>
                <w:bCs w:val="1"/>
                <w:color w:val="auto"/>
                <w:w w:val="99"/>
              </w:rPr>
              <w:t>(in millions)</w:t>
            </w:r>
          </w:p>
        </w:tc>
        <w:tc>
          <w:tcPr>
            <w:tcW w:w="4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6"/>
                <w:szCs w:val="16"/>
                <w:b w:val="1"/>
                <w:bCs w:val="1"/>
                <w:color w:val="auto"/>
                <w:w w:val="96"/>
              </w:rPr>
              <w:t>Grant Date Fair Value</w:t>
            </w:r>
          </w:p>
        </w:tc>
      </w:tr>
      <w:tr>
        <w:trPr>
          <w:trHeight w:val="217"/>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awards outstanding at September 29, 2023</w:t>
            </w:r>
          </w:p>
        </w:tc>
        <w:tc>
          <w:tcPr>
            <w:tcW w:w="1340" w:type="dxa"/>
            <w:vAlign w:val="bottom"/>
            <w:shd w:val="clear" w:color="auto" w:fill="CCEEFF"/>
          </w:tcPr>
          <w:p>
            <w:pPr>
              <w:spacing w:after="0"/>
              <w:rPr>
                <w:sz w:val="18"/>
                <w:szCs w:val="18"/>
                <w:color w:val="auto"/>
              </w:rPr>
            </w:pPr>
          </w:p>
        </w:tc>
        <w:tc>
          <w:tcPr>
            <w:tcW w:w="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3.4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112.69</w:t>
            </w:r>
          </w:p>
        </w:tc>
      </w:tr>
      <w:tr>
        <w:trPr>
          <w:trHeight w:val="223"/>
        </w:trPr>
        <w:tc>
          <w:tcPr>
            <w:tcW w:w="89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Granted (1)</w:t>
            </w:r>
          </w:p>
        </w:tc>
        <w:tc>
          <w:tcPr>
            <w:tcW w:w="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2.5</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92.24</w:t>
            </w:r>
          </w:p>
        </w:tc>
      </w:tr>
      <w:tr>
        <w:trPr>
          <w:trHeight w:val="223"/>
        </w:trPr>
        <w:tc>
          <w:tcPr>
            <w:tcW w:w="89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Vested</w:t>
            </w:r>
          </w:p>
        </w:tc>
        <w:tc>
          <w:tcPr>
            <w:tcW w:w="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2"/>
              </w:rPr>
              <w:t>(1.2)</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117.84</w:t>
            </w:r>
          </w:p>
        </w:tc>
      </w:tr>
      <w:tr>
        <w:trPr>
          <w:trHeight w:val="223"/>
        </w:trPr>
        <w:tc>
          <w:tcPr>
            <w:tcW w:w="76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Canceled/forfeited</w:t>
            </w:r>
          </w:p>
        </w:tc>
        <w:tc>
          <w:tcPr>
            <w:tcW w:w="13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2"/>
              </w:rPr>
              <w:t>(0.4)</w:t>
            </w:r>
          </w:p>
        </w:tc>
        <w:tc>
          <w:tcPr>
            <w:tcW w:w="2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121.22</w:t>
            </w:r>
          </w:p>
        </w:tc>
      </w:tr>
      <w:tr>
        <w:trPr>
          <w:trHeight w:val="236"/>
        </w:trPr>
        <w:tc>
          <w:tcPr>
            <w:tcW w:w="8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awards outstanding at September 27, 2024</w:t>
            </w:r>
          </w:p>
        </w:tc>
        <w:tc>
          <w:tcPr>
            <w:tcW w:w="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4.3</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98.51</w:t>
            </w:r>
          </w:p>
        </w:tc>
      </w:tr>
      <w:tr>
        <w:trPr>
          <w:trHeight w:val="20"/>
        </w:trPr>
        <w:tc>
          <w:tcPr>
            <w:tcW w:w="764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r>
    </w:tbl>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Includes performance stock awards granted and earned assuming target performance under the underlying performance metrics.</w:t>
      </w:r>
    </w:p>
    <w:p>
      <w:pPr>
        <w:spacing w:after="0" w:line="23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The weighted-average grant date fair value per share for awards granted during fiscal 2024, fiscal 2023, and fiscal 2022, was $92.24, $92.86, and $151.20, respectively.</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total intrinsic value for awards vested (in millions):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57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Fiscal Years Ended</w:t>
            </w: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spacing w:after="0"/>
              <w:rPr>
                <w:sz w:val="18"/>
                <w:szCs w:val="18"/>
                <w:color w:val="auto"/>
              </w:rPr>
            </w:pPr>
          </w:p>
        </w:tc>
      </w:tr>
      <w:tr>
        <w:trPr>
          <w:trHeight w:val="205"/>
        </w:trPr>
        <w:tc>
          <w:tcPr>
            <w:tcW w:w="5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0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September 27, 2024</w:t>
            </w:r>
          </w:p>
        </w:tc>
        <w:tc>
          <w:tcPr>
            <w:tcW w:w="180" w:type="dxa"/>
            <w:vAlign w:val="bottom"/>
          </w:tcPr>
          <w:p>
            <w:pPr>
              <w:spacing w:after="0"/>
              <w:rPr>
                <w:sz w:val="17"/>
                <w:szCs w:val="17"/>
                <w:color w:val="auto"/>
              </w:rPr>
            </w:pPr>
          </w:p>
        </w:tc>
        <w:tc>
          <w:tcPr>
            <w:tcW w:w="170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September 29, 2023</w:t>
            </w:r>
          </w:p>
        </w:tc>
        <w:tc>
          <w:tcPr>
            <w:tcW w:w="160" w:type="dxa"/>
            <w:vAlign w:val="bottom"/>
          </w:tcPr>
          <w:p>
            <w:pPr>
              <w:spacing w:after="0"/>
              <w:rPr>
                <w:sz w:val="17"/>
                <w:szCs w:val="17"/>
                <w:color w:val="auto"/>
              </w:rPr>
            </w:pPr>
          </w:p>
        </w:tc>
        <w:tc>
          <w:tcPr>
            <w:tcW w:w="1600" w:type="dxa"/>
            <w:vAlign w:val="bottom"/>
          </w:tcPr>
          <w:p>
            <w:pPr>
              <w:jc w:val="right"/>
              <w:ind w:right="137"/>
              <w:spacing w:after="0"/>
              <w:rPr>
                <w:sz w:val="20"/>
                <w:szCs w:val="20"/>
                <w:color w:val="auto"/>
              </w:rPr>
            </w:pPr>
            <w:r>
              <w:rPr>
                <w:rFonts w:ascii="Times New Roman" w:cs="Times New Roman" w:eastAsia="Times New Roman" w:hAnsi="Times New Roman"/>
                <w:sz w:val="16"/>
                <w:szCs w:val="16"/>
                <w:b w:val="1"/>
                <w:bCs w:val="1"/>
                <w:color w:val="auto"/>
              </w:rPr>
              <w:t>September 30, 2022</w:t>
            </w:r>
          </w:p>
        </w:tc>
      </w:tr>
      <w:tr>
        <w:trPr>
          <w:trHeight w:val="217"/>
        </w:trPr>
        <w:tc>
          <w:tcPr>
            <w:tcW w:w="5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Awards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111.8</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111.9</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249.6</w:t>
            </w:r>
          </w:p>
        </w:tc>
      </w:tr>
    </w:tbl>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Valuation and Expense Information</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pre-tax share-based compensation expense by financial statement line item and related tax benefit (in millions):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57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Fiscal Years Ended</w:t>
            </w: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spacing w:after="0"/>
              <w:rPr>
                <w:sz w:val="18"/>
                <w:szCs w:val="18"/>
                <w:color w:val="auto"/>
              </w:rPr>
            </w:pPr>
          </w:p>
        </w:tc>
      </w:tr>
      <w:tr>
        <w:trPr>
          <w:trHeight w:val="205"/>
        </w:trPr>
        <w:tc>
          <w:tcPr>
            <w:tcW w:w="5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0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September 27, 2024</w:t>
            </w:r>
          </w:p>
        </w:tc>
        <w:tc>
          <w:tcPr>
            <w:tcW w:w="180" w:type="dxa"/>
            <w:vAlign w:val="bottom"/>
          </w:tcPr>
          <w:p>
            <w:pPr>
              <w:spacing w:after="0"/>
              <w:rPr>
                <w:sz w:val="17"/>
                <w:szCs w:val="17"/>
                <w:color w:val="auto"/>
              </w:rPr>
            </w:pPr>
          </w:p>
        </w:tc>
        <w:tc>
          <w:tcPr>
            <w:tcW w:w="170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September 29, 2023</w:t>
            </w:r>
          </w:p>
        </w:tc>
        <w:tc>
          <w:tcPr>
            <w:tcW w:w="160" w:type="dxa"/>
            <w:vAlign w:val="bottom"/>
          </w:tcPr>
          <w:p>
            <w:pPr>
              <w:spacing w:after="0"/>
              <w:rPr>
                <w:sz w:val="17"/>
                <w:szCs w:val="17"/>
                <w:color w:val="auto"/>
              </w:rPr>
            </w:pPr>
          </w:p>
        </w:tc>
        <w:tc>
          <w:tcPr>
            <w:tcW w:w="1600" w:type="dxa"/>
            <w:vAlign w:val="bottom"/>
          </w:tcPr>
          <w:p>
            <w:pPr>
              <w:jc w:val="right"/>
              <w:ind w:right="134"/>
              <w:spacing w:after="0"/>
              <w:rPr>
                <w:sz w:val="20"/>
                <w:szCs w:val="20"/>
                <w:color w:val="auto"/>
              </w:rPr>
            </w:pPr>
            <w:r>
              <w:rPr>
                <w:rFonts w:ascii="Times New Roman" w:cs="Times New Roman" w:eastAsia="Times New Roman" w:hAnsi="Times New Roman"/>
                <w:sz w:val="16"/>
                <w:szCs w:val="16"/>
                <w:b w:val="1"/>
                <w:bCs w:val="1"/>
                <w:color w:val="auto"/>
              </w:rPr>
              <w:t>September 30, 2022</w:t>
            </w:r>
          </w:p>
        </w:tc>
      </w:tr>
      <w:tr>
        <w:trPr>
          <w:trHeight w:val="217"/>
        </w:trPr>
        <w:tc>
          <w:tcPr>
            <w:tcW w:w="5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w:t>
            </w:r>
          </w:p>
        </w:tc>
      </w:tr>
      <w:tr>
        <w:trPr>
          <w:trHeight w:val="223"/>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85.5</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93.8</w:t>
            </w:r>
          </w:p>
        </w:tc>
      </w:tr>
      <w:tr>
        <w:trPr>
          <w:trHeight w:val="223"/>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6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w:t>
            </w:r>
          </w:p>
        </w:tc>
      </w:tr>
      <w:tr>
        <w:trPr>
          <w:trHeight w:val="216"/>
        </w:trPr>
        <w:tc>
          <w:tcPr>
            <w:tcW w:w="57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share-based compensation</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180.3</w:t>
            </w:r>
          </w:p>
        </w:tc>
        <w:tc>
          <w:tcPr>
            <w:tcW w:w="8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185.1</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195.2</w:t>
            </w:r>
          </w:p>
        </w:tc>
      </w:tr>
      <w:tr>
        <w:trPr>
          <w:trHeight w:val="20"/>
        </w:trPr>
        <w:tc>
          <w:tcPr>
            <w:tcW w:w="57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r>
        <w:trPr>
          <w:trHeight w:val="229"/>
        </w:trPr>
        <w:tc>
          <w:tcPr>
            <w:tcW w:w="57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r>
      <w:tr>
        <w:trPr>
          <w:trHeight w:val="223"/>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Share-based compensation tax expense (benefit)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w:t>
            </w:r>
          </w:p>
        </w:tc>
      </w:tr>
      <w:tr>
        <w:trPr>
          <w:trHeight w:val="223"/>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Capitalized share-based compensation expense at period end</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r>
    </w:tbl>
    <w:p>
      <w:pPr>
        <w:spacing w:after="0" w:line="31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The following table summarizes total compensation costs related to unvested share-based awards not yet recognized and the weighted-average period over which it is expected to be recognized as of September 27, 2024:</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Unrecognized</w:t>
            </w:r>
          </w:p>
        </w:tc>
        <w:tc>
          <w:tcPr>
            <w:tcW w:w="19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Weighted Average</w:t>
            </w:r>
          </w:p>
        </w:tc>
      </w:tr>
      <w:tr>
        <w:trPr>
          <w:trHeight w:val="158"/>
        </w:trPr>
        <w:tc>
          <w:tcPr>
            <w:tcW w:w="7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60" w:type="dxa"/>
            <w:vAlign w:val="bottom"/>
            <w:gridSpan w:val="2"/>
          </w:tcPr>
          <w:p>
            <w:pPr>
              <w:jc w:val="center"/>
              <w:ind w:right="240"/>
              <w:spacing w:after="0" w:line="158" w:lineRule="exact"/>
              <w:rPr>
                <w:sz w:val="20"/>
                <w:szCs w:val="20"/>
                <w:color w:val="auto"/>
              </w:rPr>
            </w:pPr>
            <w:r>
              <w:rPr>
                <w:rFonts w:ascii="Times New Roman" w:cs="Times New Roman" w:eastAsia="Times New Roman" w:hAnsi="Times New Roman"/>
                <w:sz w:val="16"/>
                <w:szCs w:val="16"/>
                <w:b w:val="1"/>
                <w:bCs w:val="1"/>
                <w:color w:val="auto"/>
                <w:w w:val="97"/>
              </w:rPr>
              <w:t>Compensation Cost for</w:t>
            </w:r>
          </w:p>
        </w:tc>
        <w:tc>
          <w:tcPr>
            <w:tcW w:w="1900" w:type="dxa"/>
            <w:vAlign w:val="bottom"/>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w w:val="98"/>
              </w:rPr>
              <w:t>Remaining Recognition</w:t>
            </w:r>
          </w:p>
        </w:tc>
      </w:tr>
      <w:tr>
        <w:trPr>
          <w:trHeight w:val="158"/>
        </w:trPr>
        <w:tc>
          <w:tcPr>
            <w:tcW w:w="7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60" w:type="dxa"/>
            <w:vAlign w:val="bottom"/>
            <w:gridSpan w:val="2"/>
          </w:tcPr>
          <w:p>
            <w:pPr>
              <w:jc w:val="center"/>
              <w:ind w:right="240"/>
              <w:spacing w:after="0" w:line="158" w:lineRule="exact"/>
              <w:rPr>
                <w:sz w:val="20"/>
                <w:szCs w:val="20"/>
                <w:color w:val="auto"/>
              </w:rPr>
            </w:pPr>
            <w:r>
              <w:rPr>
                <w:rFonts w:ascii="Times New Roman" w:cs="Times New Roman" w:eastAsia="Times New Roman" w:hAnsi="Times New Roman"/>
                <w:sz w:val="16"/>
                <w:szCs w:val="16"/>
                <w:b w:val="1"/>
                <w:bCs w:val="1"/>
                <w:color w:val="auto"/>
                <w:w w:val="97"/>
              </w:rPr>
              <w:t>Unvested Awards</w:t>
            </w:r>
          </w:p>
        </w:tc>
        <w:tc>
          <w:tcPr>
            <w:tcW w:w="1900" w:type="dxa"/>
            <w:vAlign w:val="bottom"/>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w w:val="96"/>
              </w:rPr>
              <w:t>Period</w:t>
            </w:r>
          </w:p>
        </w:tc>
      </w:tr>
      <w:tr>
        <w:trPr>
          <w:trHeight w:val="209"/>
        </w:trPr>
        <w:tc>
          <w:tcPr>
            <w:tcW w:w="7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(in millions)</w:t>
            </w:r>
          </w:p>
        </w:tc>
        <w:tc>
          <w:tcPr>
            <w:tcW w:w="19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(in years)</w:t>
            </w:r>
          </w:p>
        </w:tc>
      </w:tr>
      <w:tr>
        <w:trPr>
          <w:trHeight w:val="217"/>
        </w:trPr>
        <w:tc>
          <w:tcPr>
            <w:tcW w:w="7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Awards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253.1</w:t>
            </w:r>
          </w:p>
        </w:tc>
        <w:tc>
          <w:tcPr>
            <w:tcW w:w="100" w:type="dxa"/>
            <w:vAlign w:val="bottom"/>
            <w:tcBorders>
              <w:top w:val="single" w:sz="8" w:color="CCEEFF"/>
            </w:tcBorders>
            <w:shd w:val="clear" w:color="auto" w:fill="CCEEFF"/>
          </w:tcPr>
          <w:p>
            <w:pPr>
              <w:spacing w:after="0"/>
              <w:rPr>
                <w:sz w:val="18"/>
                <w:szCs w:val="18"/>
                <w:color w:val="auto"/>
              </w:rPr>
            </w:pPr>
          </w:p>
        </w:tc>
        <w:tc>
          <w:tcPr>
            <w:tcW w:w="1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r>
    </w:tbl>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fair value of the restricted stock units is equal to the closing market price of the Company’s common stock on the date of grant.</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84455</wp:posOffset>
            </wp:positionV>
            <wp:extent cx="7161530"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spacing w:after="0" w:line="331" w:lineRule="auto"/>
        <w:rPr>
          <w:sz w:val="20"/>
          <w:szCs w:val="20"/>
          <w:color w:val="auto"/>
        </w:rPr>
      </w:pPr>
      <w:r>
        <w:rPr>
          <w:rFonts w:ascii="Times New Roman" w:cs="Times New Roman" w:eastAsia="Times New Roman" w:hAnsi="Times New Roman"/>
          <w:sz w:val="16"/>
          <w:szCs w:val="16"/>
          <w:color w:val="auto"/>
        </w:rPr>
        <w:t>The Company issued performance stock unit awards during fiscal 2024, fiscal 2023, and fiscal 2022 that contained market-based conditions. The fair value of these performance stock unit awards was estimated on the date of the grant using a Monte Carlo simulation with the following weighted-average assumptions: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5460" w:type="dxa"/>
            <w:vAlign w:val="bottom"/>
          </w:tcPr>
          <w:p>
            <w:pPr>
              <w:spacing w:after="0"/>
              <w:rPr>
                <w:sz w:val="18"/>
                <w:szCs w:val="18"/>
                <w:color w:val="auto"/>
              </w:rPr>
            </w:pPr>
          </w:p>
        </w:tc>
        <w:tc>
          <w:tcPr>
            <w:tcW w:w="18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6"/>
              </w:rPr>
              <w:t>Fiscal Year Ended</w:t>
            </w:r>
          </w:p>
        </w:tc>
        <w:tc>
          <w:tcPr>
            <w:tcW w:w="1860" w:type="dxa"/>
            <w:vAlign w:val="bottom"/>
            <w:tcBorders>
              <w:bottom w:val="single" w:sz="8" w:color="auto"/>
            </w:tcBorders>
          </w:tcPr>
          <w:p>
            <w:pPr>
              <w:spacing w:after="0"/>
              <w:rPr>
                <w:sz w:val="18"/>
                <w:szCs w:val="18"/>
                <w:color w:val="auto"/>
              </w:rPr>
            </w:pPr>
          </w:p>
        </w:tc>
      </w:tr>
      <w:tr>
        <w:trPr>
          <w:trHeight w:val="205"/>
        </w:trPr>
        <w:tc>
          <w:tcPr>
            <w:tcW w:w="5460" w:type="dxa"/>
            <w:vAlign w:val="bottom"/>
          </w:tcPr>
          <w:p>
            <w:pPr>
              <w:spacing w:after="0"/>
              <w:rPr>
                <w:sz w:val="17"/>
                <w:szCs w:val="17"/>
                <w:color w:val="auto"/>
              </w:rPr>
            </w:pPr>
          </w:p>
        </w:tc>
        <w:tc>
          <w:tcPr>
            <w:tcW w:w="1960" w:type="dxa"/>
            <w:vAlign w:val="bottom"/>
            <w:gridSpan w:val="2"/>
          </w:tcPr>
          <w:p>
            <w:pPr>
              <w:ind w:left="280"/>
              <w:spacing w:after="0"/>
              <w:rPr>
                <w:sz w:val="20"/>
                <w:szCs w:val="20"/>
                <w:color w:val="auto"/>
              </w:rPr>
            </w:pPr>
            <w:r>
              <w:rPr>
                <w:rFonts w:ascii="Times New Roman" w:cs="Times New Roman" w:eastAsia="Times New Roman" w:hAnsi="Times New Roman"/>
                <w:sz w:val="16"/>
                <w:szCs w:val="16"/>
                <w:b w:val="1"/>
                <w:bCs w:val="1"/>
                <w:color w:val="auto"/>
              </w:rPr>
              <w:t>September 27, 2024</w:t>
            </w:r>
          </w:p>
        </w:tc>
        <w:tc>
          <w:tcPr>
            <w:tcW w:w="196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8"/>
              </w:rPr>
              <w:t>September 29, 2023</w:t>
            </w:r>
          </w:p>
        </w:tc>
        <w:tc>
          <w:tcPr>
            <w:tcW w:w="1860" w:type="dxa"/>
            <w:vAlign w:val="bottom"/>
          </w:tcPr>
          <w:p>
            <w:pPr>
              <w:jc w:val="right"/>
              <w:ind w:right="194"/>
              <w:spacing w:after="0"/>
              <w:rPr>
                <w:sz w:val="20"/>
                <w:szCs w:val="20"/>
                <w:color w:val="auto"/>
              </w:rPr>
            </w:pPr>
            <w:r>
              <w:rPr>
                <w:rFonts w:ascii="Times New Roman" w:cs="Times New Roman" w:eastAsia="Times New Roman" w:hAnsi="Times New Roman"/>
                <w:sz w:val="16"/>
                <w:szCs w:val="16"/>
                <w:b w:val="1"/>
                <w:bCs w:val="1"/>
                <w:color w:val="auto"/>
              </w:rPr>
              <w:t>September 30, 2022</w:t>
            </w:r>
          </w:p>
        </w:tc>
      </w:tr>
      <w:tr>
        <w:trPr>
          <w:trHeight w:val="217"/>
        </w:trPr>
        <w:tc>
          <w:tcPr>
            <w:tcW w:w="54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Volatility of common stock</w:t>
            </w:r>
          </w:p>
        </w:tc>
        <w:tc>
          <w:tcPr>
            <w:tcW w:w="1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37.36 %</w:t>
            </w:r>
          </w:p>
        </w:tc>
        <w:tc>
          <w:tcPr>
            <w:tcW w:w="80" w:type="dxa"/>
            <w:vAlign w:val="bottom"/>
            <w:tcBorders>
              <w:top w:val="single" w:sz="8" w:color="CCEEFF"/>
            </w:tcBorders>
            <w:shd w:val="clear" w:color="auto" w:fill="CCEEFF"/>
          </w:tcPr>
          <w:p>
            <w:pPr>
              <w:spacing w:after="0"/>
              <w:rPr>
                <w:sz w:val="18"/>
                <w:szCs w:val="18"/>
                <w:color w:val="auto"/>
              </w:rPr>
            </w:pPr>
          </w:p>
        </w:tc>
        <w:tc>
          <w:tcPr>
            <w:tcW w:w="1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45.71 %</w:t>
            </w:r>
          </w:p>
        </w:tc>
        <w:tc>
          <w:tcPr>
            <w:tcW w:w="100" w:type="dxa"/>
            <w:vAlign w:val="bottom"/>
            <w:tcBorders>
              <w:top w:val="single" w:sz="8" w:color="CCEEFF"/>
            </w:tcBorders>
            <w:shd w:val="clear" w:color="auto" w:fill="CCEEFF"/>
          </w:tcPr>
          <w:p>
            <w:pPr>
              <w:spacing w:after="0"/>
              <w:rPr>
                <w:sz w:val="18"/>
                <w:szCs w:val="18"/>
                <w:color w:val="auto"/>
              </w:rPr>
            </w:pPr>
          </w:p>
        </w:tc>
        <w:tc>
          <w:tcPr>
            <w:tcW w:w="1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44.04 %</w:t>
            </w:r>
          </w:p>
        </w:tc>
      </w:tr>
      <w:tr>
        <w:trPr>
          <w:trHeight w:val="223"/>
        </w:trPr>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Average volatility of peer companies</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30.95 %</w:t>
            </w:r>
          </w:p>
        </w:tc>
        <w:tc>
          <w:tcPr>
            <w:tcW w:w="8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40.74 %</w:t>
            </w:r>
          </w:p>
        </w:tc>
        <w:tc>
          <w:tcPr>
            <w:tcW w:w="1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46.28 %</w:t>
            </w:r>
          </w:p>
        </w:tc>
      </w:tr>
      <w:tr>
        <w:trPr>
          <w:trHeight w:val="223"/>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Average correlation coefficient of peer companies</w:t>
            </w:r>
          </w:p>
        </w:tc>
        <w:tc>
          <w:tcPr>
            <w:tcW w:w="18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0.54</w:t>
            </w:r>
          </w:p>
        </w:tc>
        <w:tc>
          <w:tcPr>
            <w:tcW w:w="80" w:type="dxa"/>
            <w:vAlign w:val="bottom"/>
            <w:shd w:val="clear" w:color="auto" w:fill="CCEEFF"/>
          </w:tcPr>
          <w:p>
            <w:pPr>
              <w:spacing w:after="0"/>
              <w:rPr>
                <w:sz w:val="19"/>
                <w:szCs w:val="19"/>
                <w:color w:val="auto"/>
              </w:rPr>
            </w:pPr>
          </w:p>
        </w:tc>
        <w:tc>
          <w:tcPr>
            <w:tcW w:w="186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color w:val="auto"/>
              </w:rPr>
              <w:t>0.65</w:t>
            </w:r>
          </w:p>
        </w:tc>
        <w:tc>
          <w:tcPr>
            <w:tcW w:w="100" w:type="dxa"/>
            <w:vAlign w:val="bottom"/>
            <w:shd w:val="clear" w:color="auto" w:fill="CCEEFF"/>
          </w:tcPr>
          <w:p>
            <w:pPr>
              <w:spacing w:after="0"/>
              <w:rPr>
                <w:sz w:val="19"/>
                <w:szCs w:val="19"/>
                <w:color w:val="auto"/>
              </w:rPr>
            </w:pPr>
          </w:p>
        </w:tc>
        <w:tc>
          <w:tcPr>
            <w:tcW w:w="186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0.65</w:t>
            </w:r>
          </w:p>
        </w:tc>
      </w:tr>
      <w:tr>
        <w:trPr>
          <w:trHeight w:val="223"/>
        </w:trPr>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4.61 %</w:t>
            </w:r>
          </w:p>
        </w:tc>
        <w:tc>
          <w:tcPr>
            <w:tcW w:w="8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4.51 %</w:t>
            </w:r>
          </w:p>
        </w:tc>
        <w:tc>
          <w:tcPr>
            <w:tcW w:w="1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0.79 %</w:t>
            </w:r>
          </w:p>
        </w:tc>
      </w:tr>
      <w:tr>
        <w:trPr>
          <w:trHeight w:val="223"/>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 yield</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3.04 %</w:t>
            </w:r>
          </w:p>
        </w:tc>
        <w:tc>
          <w:tcPr>
            <w:tcW w:w="8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2.80 %</w:t>
            </w:r>
          </w:p>
        </w:tc>
        <w:tc>
          <w:tcPr>
            <w:tcW w:w="1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1.40 %</w:t>
            </w:r>
          </w:p>
        </w:tc>
      </w:tr>
    </w:tbl>
    <w:p>
      <w:pPr>
        <w:spacing w:after="0" w:line="308" w:lineRule="exact"/>
        <w:rPr>
          <w:sz w:val="20"/>
          <w:szCs w:val="20"/>
          <w:color w:val="auto"/>
        </w:rPr>
      </w:pPr>
    </w:p>
    <w:p>
      <w:pPr>
        <w:ind w:left="440" w:hanging="435"/>
        <w:spacing w:after="0"/>
        <w:tabs>
          <w:tab w:leader="none" w:pos="440"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24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Company’s lease arrangements consist primarily of corporate, manufacturing, design, and other facility agreements as well as various machinery and office equipment agreements. The leases expire at various dates through 2061, some of which include options to extend the lease term. The longest potential remaining lease term consists of a 37 year land lease in Osaka, Japan.</w:t>
      </w:r>
    </w:p>
    <w:p>
      <w:pPr>
        <w:spacing w:after="0" w:line="20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During fiscal 2024, fiscal 2023, and fiscal 2022, the Company recorded $35.5 million, $39.8 million, and $43.6 million of operating lease expense, and $20.6 million, $19.2 million, and $12.3 million of variable lease expense, respectively.</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Supplemental cash information and non-cash activities related to operating leases are as follows (in millions):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5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6"/>
              </w:rPr>
              <w:t>Fiscal Year Ended</w:t>
            </w: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5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0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September 27, 2024</w:t>
            </w:r>
          </w:p>
        </w:tc>
        <w:tc>
          <w:tcPr>
            <w:tcW w:w="180" w:type="dxa"/>
            <w:vAlign w:val="bottom"/>
          </w:tcPr>
          <w:p>
            <w:pPr>
              <w:spacing w:after="0"/>
              <w:rPr>
                <w:sz w:val="17"/>
                <w:szCs w:val="17"/>
                <w:color w:val="auto"/>
              </w:rPr>
            </w:pPr>
          </w:p>
        </w:tc>
        <w:tc>
          <w:tcPr>
            <w:tcW w:w="17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8"/>
              </w:rPr>
              <w:t>September 29, 2023</w:t>
            </w:r>
          </w:p>
        </w:tc>
        <w:tc>
          <w:tcPr>
            <w:tcW w:w="160" w:type="dxa"/>
            <w:vAlign w:val="bottom"/>
          </w:tcPr>
          <w:p>
            <w:pPr>
              <w:spacing w:after="0"/>
              <w:rPr>
                <w:sz w:val="17"/>
                <w:szCs w:val="17"/>
                <w:color w:val="auto"/>
              </w:rPr>
            </w:pPr>
          </w:p>
        </w:tc>
        <w:tc>
          <w:tcPr>
            <w:tcW w:w="1600" w:type="dxa"/>
            <w:vAlign w:val="bottom"/>
          </w:tcPr>
          <w:p>
            <w:pPr>
              <w:jc w:val="center"/>
              <w:ind w:right="74"/>
              <w:spacing w:after="0"/>
              <w:rPr>
                <w:sz w:val="20"/>
                <w:szCs w:val="20"/>
                <w:color w:val="auto"/>
              </w:rPr>
            </w:pPr>
            <w:r>
              <w:rPr>
                <w:rFonts w:ascii="Times New Roman" w:cs="Times New Roman" w:eastAsia="Times New Roman" w:hAnsi="Times New Roman"/>
                <w:sz w:val="16"/>
                <w:szCs w:val="16"/>
                <w:b w:val="1"/>
                <w:bCs w:val="1"/>
                <w:color w:val="auto"/>
                <w:w w:val="98"/>
              </w:rPr>
              <w:t>September 30, 2022</w:t>
            </w:r>
          </w:p>
        </w:tc>
        <w:tc>
          <w:tcPr>
            <w:tcW w:w="0" w:type="dxa"/>
            <w:vAlign w:val="bottom"/>
          </w:tcPr>
          <w:p>
            <w:pPr>
              <w:spacing w:after="0"/>
              <w:rPr>
                <w:sz w:val="1"/>
                <w:szCs w:val="1"/>
                <w:color w:val="auto"/>
              </w:rPr>
            </w:pPr>
          </w:p>
        </w:tc>
      </w:tr>
      <w:tr>
        <w:trPr>
          <w:trHeight w:val="217"/>
        </w:trPr>
        <w:tc>
          <w:tcPr>
            <w:tcW w:w="5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cash outflows from operating leases</w:t>
            </w:r>
          </w:p>
        </w:tc>
        <w:tc>
          <w:tcPr>
            <w:tcW w:w="5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0" w:type="dxa"/>
            <w:vAlign w:val="bottom"/>
          </w:tcPr>
          <w:p>
            <w:pPr>
              <w:spacing w:after="0"/>
              <w:rPr>
                <w:sz w:val="1"/>
                <w:szCs w:val="1"/>
                <w:color w:val="auto"/>
              </w:rPr>
            </w:pPr>
          </w:p>
        </w:tc>
      </w:tr>
      <w:tr>
        <w:trPr>
          <w:trHeight w:val="228"/>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assets obtained in exchange for new lease liabilities</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84.6</w:t>
            </w:r>
          </w:p>
        </w:tc>
        <w:tc>
          <w:tcPr>
            <w:tcW w:w="0" w:type="dxa"/>
            <w:vAlign w:val="bottom"/>
          </w:tcPr>
          <w:p>
            <w:pPr>
              <w:spacing w:after="0"/>
              <w:rPr>
                <w:sz w:val="1"/>
                <w:szCs w:val="1"/>
                <w:color w:val="auto"/>
              </w:rPr>
            </w:pPr>
          </w:p>
        </w:tc>
      </w:tr>
      <w:tr>
        <w:trPr>
          <w:trHeight w:val="520"/>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leases are classified as follows (in millions):</w:t>
            </w: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5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As of</w:t>
            </w:r>
          </w:p>
        </w:tc>
        <w:tc>
          <w:tcPr>
            <w:tcW w:w="16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5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8"/>
              </w:rPr>
              <w:t>September 27, 2024</w:t>
            </w:r>
          </w:p>
        </w:tc>
        <w:tc>
          <w:tcPr>
            <w:tcW w:w="160" w:type="dxa"/>
            <w:vAlign w:val="bottom"/>
          </w:tcPr>
          <w:p>
            <w:pPr>
              <w:spacing w:after="0"/>
              <w:rPr>
                <w:sz w:val="17"/>
                <w:szCs w:val="17"/>
                <w:color w:val="auto"/>
              </w:rPr>
            </w:pPr>
          </w:p>
        </w:tc>
        <w:tc>
          <w:tcPr>
            <w:tcW w:w="1600" w:type="dxa"/>
            <w:vAlign w:val="bottom"/>
          </w:tcPr>
          <w:p>
            <w:pPr>
              <w:jc w:val="center"/>
              <w:ind w:right="74"/>
              <w:spacing w:after="0"/>
              <w:rPr>
                <w:sz w:val="20"/>
                <w:szCs w:val="20"/>
                <w:color w:val="auto"/>
              </w:rPr>
            </w:pPr>
            <w:r>
              <w:rPr>
                <w:rFonts w:ascii="Times New Roman" w:cs="Times New Roman" w:eastAsia="Times New Roman" w:hAnsi="Times New Roman"/>
                <w:sz w:val="16"/>
                <w:szCs w:val="16"/>
                <w:b w:val="1"/>
                <w:bCs w:val="1"/>
                <w:color w:val="auto"/>
                <w:w w:val="98"/>
              </w:rPr>
              <w:t>September 29, 2023</w:t>
            </w:r>
          </w:p>
        </w:tc>
        <w:tc>
          <w:tcPr>
            <w:tcW w:w="0" w:type="dxa"/>
            <w:vAlign w:val="bottom"/>
          </w:tcPr>
          <w:p>
            <w:pPr>
              <w:spacing w:after="0"/>
              <w:rPr>
                <w:sz w:val="1"/>
                <w:szCs w:val="1"/>
                <w:color w:val="auto"/>
              </w:rPr>
            </w:pPr>
          </w:p>
        </w:tc>
      </w:tr>
      <w:tr>
        <w:trPr>
          <w:trHeight w:val="217"/>
        </w:trPr>
        <w:tc>
          <w:tcPr>
            <w:tcW w:w="5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5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0" w:type="dxa"/>
            <w:vAlign w:val="bottom"/>
          </w:tcPr>
          <w:p>
            <w:pPr>
              <w:spacing w:after="0"/>
              <w:rPr>
                <w:sz w:val="1"/>
                <w:szCs w:val="1"/>
                <w:color w:val="auto"/>
              </w:rPr>
            </w:pPr>
          </w:p>
        </w:tc>
      </w:tr>
      <w:tr>
        <w:trPr>
          <w:trHeight w:val="223"/>
        </w:trPr>
        <w:tc>
          <w:tcPr>
            <w:tcW w:w="5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Long-term operating lease liabilities</w:t>
            </w:r>
          </w:p>
        </w:tc>
        <w:tc>
          <w:tcPr>
            <w:tcW w:w="58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6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185.9</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188.7</w:t>
            </w:r>
          </w:p>
        </w:tc>
        <w:tc>
          <w:tcPr>
            <w:tcW w:w="0" w:type="dxa"/>
            <w:vAlign w:val="bottom"/>
          </w:tcPr>
          <w:p>
            <w:pPr>
              <w:spacing w:after="0"/>
              <w:rPr>
                <w:sz w:val="1"/>
                <w:szCs w:val="1"/>
                <w:color w:val="auto"/>
              </w:rPr>
            </w:pPr>
          </w:p>
        </w:tc>
      </w:tr>
      <w:tr>
        <w:trPr>
          <w:trHeight w:val="241"/>
        </w:trPr>
        <w:tc>
          <w:tcPr>
            <w:tcW w:w="51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lease liabilities</w:t>
            </w:r>
          </w:p>
        </w:tc>
        <w:tc>
          <w:tcPr>
            <w:tcW w:w="5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217.0</w:t>
            </w:r>
          </w:p>
        </w:tc>
        <w:tc>
          <w:tcPr>
            <w:tcW w:w="0" w:type="dxa"/>
            <w:vAlign w:val="bottom"/>
          </w:tcPr>
          <w:p>
            <w:pPr>
              <w:spacing w:after="0"/>
              <w:rPr>
                <w:sz w:val="1"/>
                <w:szCs w:val="1"/>
                <w:color w:val="auto"/>
              </w:rPr>
            </w:pPr>
          </w:p>
        </w:tc>
      </w:tr>
      <w:tr>
        <w:trPr>
          <w:trHeight w:val="20"/>
        </w:trPr>
        <w:tc>
          <w:tcPr>
            <w:tcW w:w="7600" w:type="dxa"/>
            <w:vAlign w:val="bottom"/>
            <w:tcBorders>
              <w:top w:val="single" w:sz="8" w:color="CCEEFF"/>
              <w:bottom w:val="single" w:sz="8" w:color="CCEEFF"/>
            </w:tcBorders>
            <w:gridSpan w:val="5"/>
            <w:vMerge w:val="restart"/>
          </w:tcPr>
          <w:p>
            <w:pPr>
              <w:spacing w:after="0"/>
              <w:rPr>
                <w:sz w:val="20"/>
                <w:szCs w:val="20"/>
                <w:color w:val="auto"/>
              </w:rPr>
            </w:pPr>
            <w:r>
              <w:rPr>
                <w:rFonts w:ascii="Times New Roman" w:cs="Times New Roman" w:eastAsia="Times New Roman" w:hAnsi="Times New Roman"/>
                <w:sz w:val="18"/>
                <w:szCs w:val="18"/>
                <w:color w:val="auto"/>
              </w:rPr>
              <w:t>Maturities of lease liabilities under operating leases by fiscal year are as follows (in millions):</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0"/>
        </w:trPr>
        <w:tc>
          <w:tcPr>
            <w:tcW w:w="7600" w:type="dxa"/>
            <w:vAlign w:val="bottom"/>
            <w:gridSpan w:val="5"/>
            <w:vMerge w:val="continue"/>
          </w:tcPr>
          <w:p>
            <w:pPr>
              <w:spacing w:after="0"/>
              <w:rPr>
                <w:sz w:val="24"/>
                <w:szCs w:val="24"/>
                <w:color w:val="auto"/>
              </w:rPr>
            </w:pPr>
          </w:p>
        </w:tc>
        <w:tc>
          <w:tcPr>
            <w:tcW w:w="1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5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jc w:val="center"/>
              <w:ind w:right="94"/>
              <w:spacing w:after="0"/>
              <w:rPr>
                <w:sz w:val="20"/>
                <w:szCs w:val="20"/>
                <w:color w:val="auto"/>
              </w:rPr>
            </w:pPr>
            <w:r>
              <w:rPr>
                <w:rFonts w:ascii="Times New Roman" w:cs="Times New Roman" w:eastAsia="Times New Roman" w:hAnsi="Times New Roman"/>
                <w:sz w:val="16"/>
                <w:szCs w:val="16"/>
                <w:b w:val="1"/>
                <w:bCs w:val="1"/>
                <w:color w:val="auto"/>
                <w:w w:val="96"/>
              </w:rPr>
              <w:t>As of</w:t>
            </w:r>
          </w:p>
        </w:tc>
        <w:tc>
          <w:tcPr>
            <w:tcW w:w="0" w:type="dxa"/>
            <w:vAlign w:val="bottom"/>
          </w:tcPr>
          <w:p>
            <w:pPr>
              <w:spacing w:after="0"/>
              <w:rPr>
                <w:sz w:val="1"/>
                <w:szCs w:val="1"/>
                <w:color w:val="auto"/>
              </w:rPr>
            </w:pPr>
          </w:p>
        </w:tc>
      </w:tr>
      <w:tr>
        <w:trPr>
          <w:trHeight w:val="205"/>
        </w:trPr>
        <w:tc>
          <w:tcPr>
            <w:tcW w:w="5160" w:type="dxa"/>
            <w:vAlign w:val="bottom"/>
            <w:tcBorders>
              <w:bottom w:val="single" w:sz="8" w:color="CCEEFF"/>
            </w:tcBorders>
          </w:tcPr>
          <w:p>
            <w:pPr>
              <w:spacing w:after="0"/>
              <w:rPr>
                <w:sz w:val="17"/>
                <w:szCs w:val="17"/>
                <w:color w:val="auto"/>
              </w:rPr>
            </w:pPr>
          </w:p>
        </w:tc>
        <w:tc>
          <w:tcPr>
            <w:tcW w:w="58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6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16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center"/>
              <w:ind w:right="74"/>
              <w:spacing w:after="0"/>
              <w:rPr>
                <w:sz w:val="20"/>
                <w:szCs w:val="20"/>
                <w:color w:val="auto"/>
              </w:rPr>
            </w:pPr>
            <w:r>
              <w:rPr>
                <w:rFonts w:ascii="Times New Roman" w:cs="Times New Roman" w:eastAsia="Times New Roman" w:hAnsi="Times New Roman"/>
                <w:sz w:val="16"/>
                <w:szCs w:val="16"/>
                <w:b w:val="1"/>
                <w:bCs w:val="1"/>
                <w:color w:val="auto"/>
                <w:w w:val="98"/>
              </w:rPr>
              <w:t>September 27, 2024</w:t>
            </w:r>
          </w:p>
        </w:tc>
        <w:tc>
          <w:tcPr>
            <w:tcW w:w="0" w:type="dxa"/>
            <w:vAlign w:val="bottom"/>
          </w:tcPr>
          <w:p>
            <w:pPr>
              <w:spacing w:after="0"/>
              <w:rPr>
                <w:sz w:val="1"/>
                <w:szCs w:val="1"/>
                <w:color w:val="auto"/>
              </w:rPr>
            </w:pPr>
          </w:p>
        </w:tc>
      </w:tr>
      <w:tr>
        <w:trPr>
          <w:trHeight w:val="217"/>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0" w:type="dxa"/>
            <w:vAlign w:val="bottom"/>
          </w:tcPr>
          <w:p>
            <w:pPr>
              <w:spacing w:after="0"/>
              <w:rPr>
                <w:sz w:val="1"/>
                <w:szCs w:val="1"/>
                <w:color w:val="auto"/>
              </w:rPr>
            </w:pPr>
          </w:p>
        </w:tc>
      </w:tr>
      <w:tr>
        <w:trPr>
          <w:trHeight w:val="223"/>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0" w:type="dxa"/>
            <w:vAlign w:val="bottom"/>
          </w:tcPr>
          <w:p>
            <w:pPr>
              <w:spacing w:after="0"/>
              <w:rPr>
                <w:sz w:val="1"/>
                <w:szCs w:val="1"/>
                <w:color w:val="auto"/>
              </w:rPr>
            </w:pPr>
          </w:p>
        </w:tc>
      </w:tr>
      <w:tr>
        <w:trPr>
          <w:trHeight w:val="223"/>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5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0" w:type="dxa"/>
            <w:vAlign w:val="bottom"/>
          </w:tcPr>
          <w:p>
            <w:pPr>
              <w:spacing w:after="0"/>
              <w:rPr>
                <w:sz w:val="1"/>
                <w:szCs w:val="1"/>
                <w:color w:val="auto"/>
              </w:rPr>
            </w:pPr>
          </w:p>
        </w:tc>
      </w:tr>
      <w:tr>
        <w:trPr>
          <w:trHeight w:val="223"/>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0" w:type="dxa"/>
            <w:vAlign w:val="bottom"/>
          </w:tcPr>
          <w:p>
            <w:pPr>
              <w:spacing w:after="0"/>
              <w:rPr>
                <w:sz w:val="1"/>
                <w:szCs w:val="1"/>
                <w:color w:val="auto"/>
              </w:rPr>
            </w:pPr>
          </w:p>
        </w:tc>
      </w:tr>
      <w:tr>
        <w:trPr>
          <w:trHeight w:val="223"/>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5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0" w:type="dxa"/>
            <w:vAlign w:val="bottom"/>
          </w:tcPr>
          <w:p>
            <w:pPr>
              <w:spacing w:after="0"/>
              <w:rPr>
                <w:sz w:val="1"/>
                <w:szCs w:val="1"/>
                <w:color w:val="auto"/>
              </w:rPr>
            </w:pPr>
          </w:p>
        </w:tc>
      </w:tr>
      <w:tr>
        <w:trPr>
          <w:trHeight w:val="223"/>
        </w:trPr>
        <w:tc>
          <w:tcPr>
            <w:tcW w:w="5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58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6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6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102.4</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payments</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240.3</w:t>
            </w:r>
          </w:p>
        </w:tc>
        <w:tc>
          <w:tcPr>
            <w:tcW w:w="0" w:type="dxa"/>
            <w:vAlign w:val="bottom"/>
          </w:tcPr>
          <w:p>
            <w:pPr>
              <w:spacing w:after="0"/>
              <w:rPr>
                <w:sz w:val="1"/>
                <w:szCs w:val="1"/>
                <w:color w:val="auto"/>
              </w:rPr>
            </w:pPr>
          </w:p>
        </w:tc>
      </w:tr>
      <w:tr>
        <w:trPr>
          <w:trHeight w:val="223"/>
        </w:trPr>
        <w:tc>
          <w:tcPr>
            <w:tcW w:w="51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Less: imputed interest</w:t>
            </w:r>
          </w:p>
        </w:tc>
        <w:tc>
          <w:tcPr>
            <w:tcW w:w="58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6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6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206.1</w:t>
            </w:r>
          </w:p>
        </w:tc>
        <w:tc>
          <w:tcPr>
            <w:tcW w:w="0" w:type="dxa"/>
            <w:vAlign w:val="bottom"/>
          </w:tcPr>
          <w:p>
            <w:pPr>
              <w:spacing w:after="0"/>
              <w:rPr>
                <w:sz w:val="1"/>
                <w:szCs w:val="1"/>
                <w:color w:val="auto"/>
              </w:rPr>
            </w:pPr>
          </w:p>
        </w:tc>
      </w:tr>
      <w:tr>
        <w:trPr>
          <w:trHeight w:val="223"/>
        </w:trPr>
        <w:tc>
          <w:tcPr>
            <w:tcW w:w="51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Less: current portion (included in other current liabilities)</w:t>
            </w:r>
          </w:p>
        </w:tc>
        <w:tc>
          <w:tcPr>
            <w:tcW w:w="58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6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6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0" w:type="dxa"/>
            <w:vAlign w:val="bottom"/>
          </w:tcPr>
          <w:p>
            <w:pPr>
              <w:spacing w:after="0"/>
              <w:rPr>
                <w:sz w:val="1"/>
                <w:szCs w:val="1"/>
                <w:color w:val="auto"/>
              </w:rPr>
            </w:pPr>
          </w:p>
        </w:tc>
      </w:tr>
      <w:tr>
        <w:trPr>
          <w:trHeight w:val="241"/>
        </w:trPr>
        <w:tc>
          <w:tcPr>
            <w:tcW w:w="5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operating lease liabilities</w:t>
            </w:r>
          </w:p>
        </w:tc>
        <w:tc>
          <w:tcPr>
            <w:tcW w:w="5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185.9</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6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86"/>
        </w:trPr>
        <w:tc>
          <w:tcPr>
            <w:tcW w:w="5160" w:type="dxa"/>
            <w:vAlign w:val="bottom"/>
          </w:tcPr>
          <w:p>
            <w:pPr>
              <w:spacing w:after="0"/>
              <w:rPr>
                <w:sz w:val="24"/>
                <w:szCs w:val="24"/>
                <w:color w:val="auto"/>
              </w:rPr>
            </w:pPr>
          </w:p>
        </w:tc>
        <w:tc>
          <w:tcPr>
            <w:tcW w:w="5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8"/>
        </w:trPr>
        <w:tc>
          <w:tcPr>
            <w:tcW w:w="516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Weighted-average remaining lease term and discount rate related to operating leases are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7380" w:type="dxa"/>
            <w:vAlign w:val="bottom"/>
          </w:tcPr>
          <w:p>
            <w:pPr>
              <w:spacing w:after="0"/>
              <w:rPr>
                <w:sz w:val="18"/>
                <w:szCs w:val="18"/>
                <w:color w:val="auto"/>
              </w:rPr>
            </w:pPr>
          </w:p>
        </w:tc>
        <w:tc>
          <w:tcPr>
            <w:tcW w:w="2180" w:type="dxa"/>
            <w:vAlign w:val="bottom"/>
            <w:tcBorders>
              <w:bottom w:val="single" w:sz="8" w:color="auto"/>
            </w:tcBorders>
            <w:gridSpan w:val="3"/>
          </w:tcPr>
          <w:p>
            <w:pPr>
              <w:ind w:left="1760"/>
              <w:spacing w:after="0"/>
              <w:rPr>
                <w:sz w:val="20"/>
                <w:szCs w:val="20"/>
                <w:color w:val="auto"/>
              </w:rPr>
            </w:pPr>
            <w:r>
              <w:rPr>
                <w:rFonts w:ascii="Times New Roman" w:cs="Times New Roman" w:eastAsia="Times New Roman" w:hAnsi="Times New Roman"/>
                <w:sz w:val="16"/>
                <w:szCs w:val="16"/>
                <w:b w:val="1"/>
                <w:bCs w:val="1"/>
                <w:color w:val="auto"/>
              </w:rPr>
              <w:t>As of</w:t>
            </w:r>
          </w:p>
        </w:tc>
        <w:tc>
          <w:tcPr>
            <w:tcW w:w="1680" w:type="dxa"/>
            <w:vAlign w:val="bottom"/>
            <w:tcBorders>
              <w:bottom w:val="single" w:sz="8" w:color="auto"/>
            </w:tcBorders>
          </w:tcPr>
          <w:p>
            <w:pPr>
              <w:spacing w:after="0"/>
              <w:rPr>
                <w:sz w:val="18"/>
                <w:szCs w:val="18"/>
                <w:color w:val="auto"/>
              </w:rPr>
            </w:pPr>
          </w:p>
        </w:tc>
      </w:tr>
      <w:tr>
        <w:trPr>
          <w:trHeight w:val="205"/>
        </w:trPr>
        <w:tc>
          <w:tcPr>
            <w:tcW w:w="7380" w:type="dxa"/>
            <w:vAlign w:val="bottom"/>
          </w:tcPr>
          <w:p>
            <w:pPr>
              <w:spacing w:after="0"/>
              <w:rPr>
                <w:sz w:val="17"/>
                <w:szCs w:val="17"/>
                <w:color w:val="auto"/>
              </w:rPr>
            </w:pPr>
          </w:p>
        </w:tc>
        <w:tc>
          <w:tcPr>
            <w:tcW w:w="2180" w:type="dxa"/>
            <w:vAlign w:val="bottom"/>
            <w:gridSpan w:val="3"/>
          </w:tcPr>
          <w:p>
            <w:pPr>
              <w:ind w:left="280"/>
              <w:spacing w:after="0"/>
              <w:rPr>
                <w:sz w:val="20"/>
                <w:szCs w:val="20"/>
                <w:color w:val="auto"/>
              </w:rPr>
            </w:pPr>
            <w:r>
              <w:rPr>
                <w:rFonts w:ascii="Times New Roman" w:cs="Times New Roman" w:eastAsia="Times New Roman" w:hAnsi="Times New Roman"/>
                <w:sz w:val="16"/>
                <w:szCs w:val="16"/>
                <w:b w:val="1"/>
                <w:bCs w:val="1"/>
                <w:color w:val="auto"/>
              </w:rPr>
              <w:t>September 27, 2024</w:t>
            </w:r>
          </w:p>
        </w:tc>
        <w:tc>
          <w:tcPr>
            <w:tcW w:w="1680" w:type="dxa"/>
            <w:vAlign w:val="bottom"/>
          </w:tcPr>
          <w:p>
            <w:pPr>
              <w:jc w:val="right"/>
              <w:ind w:right="195"/>
              <w:spacing w:after="0"/>
              <w:rPr>
                <w:sz w:val="20"/>
                <w:szCs w:val="20"/>
                <w:color w:val="auto"/>
              </w:rPr>
            </w:pPr>
            <w:r>
              <w:rPr>
                <w:rFonts w:ascii="Times New Roman" w:cs="Times New Roman" w:eastAsia="Times New Roman" w:hAnsi="Times New Roman"/>
                <w:sz w:val="16"/>
                <w:szCs w:val="16"/>
                <w:b w:val="1"/>
                <w:bCs w:val="1"/>
                <w:color w:val="auto"/>
              </w:rPr>
              <w:t>September 29, 2023</w:t>
            </w:r>
          </w:p>
        </w:tc>
      </w:tr>
      <w:tr>
        <w:trPr>
          <w:trHeight w:val="217"/>
        </w:trPr>
        <w:tc>
          <w:tcPr>
            <w:tcW w:w="7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remaining lease term (in years)</w:t>
            </w:r>
          </w:p>
        </w:tc>
        <w:tc>
          <w:tcPr>
            <w:tcW w:w="1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r>
      <w:tr>
        <w:trPr>
          <w:trHeight w:val="228"/>
        </w:trPr>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3.6 %</w:t>
            </w:r>
          </w:p>
        </w:tc>
      </w:tr>
    </w:tbl>
    <w:p>
      <w:pPr>
        <w:spacing w:after="0" w:line="303" w:lineRule="exact"/>
        <w:rPr>
          <w:sz w:val="20"/>
          <w:szCs w:val="20"/>
          <w:color w:val="auto"/>
        </w:rPr>
      </w:pPr>
    </w:p>
    <w:p>
      <w:pPr>
        <w:ind w:left="440" w:hanging="435"/>
        <w:spacing w:after="0"/>
        <w:tabs>
          <w:tab w:leader="none" w:pos="440"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Matters</w:t>
      </w:r>
    </w:p>
    <w:p>
      <w:pPr>
        <w:spacing w:after="0" w:line="11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From time to time, various lawsuits, claims, and proceedings have been, and may in the future be, instituted or asserted against the Company, including those pertaining to patent infringement, intellectual property, environmental hazards, product liability and warranty, safety and health, employment, and contractual matters.</w:t>
      </w:r>
    </w:p>
    <w:p>
      <w:pPr>
        <w:spacing w:after="0" w:line="207"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The semiconductor industry is characterized by vigorous protection and pursuit of intellectual property rights. From time to time, third parties have asserted and may in the future assert patent, copyright, trademark, and other intellectual property rights to technologies that are important to the Company’s business and have demanded and may in the future demand that the Company license their technology. The outcome of any such litigation cannot be predicted with certainty and some such lawsuits, claims, or proceedings may be disposed of unfavorably to the Company. Generally speaking, intellectual property disputes often have a risk of injunctive relief, which, if imposed against the Company, could materially and adversely affect the Company’s financial condition or results of operations. From time to time the Company may also be involved in legal proceedings in the ordinary course of business.</w:t>
      </w:r>
    </w:p>
    <w:p>
      <w:pPr>
        <w:spacing w:after="0" w:line="21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The Company monitors the status of legal proceedings and other contingencies on an ongoing basis to assess whether loss contingencies should be recognized and disclosed in its financial statements and footnotes. The Company does not believe there are any pending legal proceedings that are reasonably possible to result in a material loss. The Company is engaged in various legal actions in the normal course of business and, while there can be no assurances, the Company believes the outcome of all pending litigation involving the Company will not have, individually or in the aggregate, a material adverse effect on its business or financial statements.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Purchase Commitments</w:t>
      </w:r>
    </w:p>
    <w:p>
      <w:pPr>
        <w:spacing w:after="0" w:line="11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The Company purchases materials primarily pursuant to individual purchase orders, some of which have underlying master purchase agreements. Some of these purchase commitments are cancellable, and some are non-cancelable, depending on the terms with each individual supplier. In the event of cancellation, the Company may be required to pay costs incurred through the date of cancellation or other fees. When cancellation would result in incurring costs or other fees, the Company has historically sought to negotiate amended terms to the original agreements and orders to limit its exposure. As such, the Company believes that purchase commitments as of any particular date may not be a reliable indicator of future liabilities.</w:t>
      </w:r>
    </w:p>
    <w:p>
      <w:pPr>
        <w:spacing w:after="0" w:line="213"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The Company maintains certain minimum purchase commitments under long-term capacity reservation agreements primarily with foundries for the purchase of wafers. Under these agreements, the Company has agreed to pay a combination of refundable deposits and prepayments to the suppliers in exchange for reserved manufacturing production capacity over the term of the agreements. During fiscal 2023, the Company recorded impairment charges of $47.5 million within cost of goods sold due to reduced overall market demand related to long-term supply capacity deposits. As of September 27, 2024, the deposits and prepayments under the long-term capacity reservation agreements were $141.7 million and $3.0 million, respectively, recorded within other current assets, and $1.3 million and $21.8 million, respectively, recorded within other long-term assets. As of September 29, 2023, the deposits and prepayments under the long-term capacity reservation agreements were $41.7 million and $1.3 million, respectively, recorded within other current assets and $16.0 million of prepayments recorded within other long-term assets.</w:t>
      </w:r>
    </w:p>
    <w:p>
      <w:pPr>
        <w:spacing w:after="0" w:line="211" w:lineRule="exact"/>
        <w:rPr>
          <w:sz w:val="20"/>
          <w:szCs w:val="20"/>
          <w:color w:val="auto"/>
        </w:rPr>
      </w:pPr>
    </w:p>
    <w:p>
      <w:pPr>
        <w:ind w:left="440" w:hanging="435"/>
        <w:spacing w:after="0"/>
        <w:tabs>
          <w:tab w:leader="none" w:pos="440"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GUARANTEES AND INDEMNITIES</w:t>
      </w:r>
    </w:p>
    <w:p>
      <w:pPr>
        <w:spacing w:after="0" w:line="24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has made no significant contractual guarantees for the benefit of third parties. However, the Company generally indemnifies its customers from third-party intellectual property infringement litigation claims related to its products and, on occasion, also provides other indemnities related to product sales. In connection with certain facility leases, the Company has indemnified its lessors for certain claims arising from the facility or the lease.</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84455</wp:posOffset>
            </wp:positionV>
            <wp:extent cx="7161530"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The Company indemnifies its directors and officers to the maximum extent permitted under the laws of the state of Delaware. The duration of the indemnities varies and in many cases is indefinite. The indemnities to customers in connection with product sales generally are subject to limits based upon the amount of the related product sales and in many cases are subject to geographic and other restrictions. In certain instances, the Company’s indemnities do not provide for any limitation of the maximum potential future payments the Company could be obligated to make. The Company has not recorded any liability for these indemnities in the accompanying consolidated balance sheets and does not expect that such obligations will have a material adverse impact on its financial statements.</w:t>
      </w:r>
    </w:p>
    <w:p>
      <w:pPr>
        <w:spacing w:after="0" w:line="211" w:lineRule="exact"/>
        <w:rPr>
          <w:sz w:val="20"/>
          <w:szCs w:val="20"/>
          <w:color w:val="auto"/>
        </w:rPr>
      </w:pPr>
    </w:p>
    <w:p>
      <w:pPr>
        <w:ind w:left="440" w:hanging="435"/>
        <w:spacing w:after="0"/>
        <w:tabs>
          <w:tab w:leader="none" w:pos="440"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EARNINGS PER SHARE</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diluted earnings per share (in millions, except per share amounts):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57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Fiscal Years Ended</w:t>
            </w: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5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0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September 27, 2024</w:t>
            </w:r>
          </w:p>
        </w:tc>
        <w:tc>
          <w:tcPr>
            <w:tcW w:w="180" w:type="dxa"/>
            <w:vAlign w:val="bottom"/>
          </w:tcPr>
          <w:p>
            <w:pPr>
              <w:spacing w:after="0"/>
              <w:rPr>
                <w:sz w:val="17"/>
                <w:szCs w:val="17"/>
                <w:color w:val="auto"/>
              </w:rPr>
            </w:pPr>
          </w:p>
        </w:tc>
        <w:tc>
          <w:tcPr>
            <w:tcW w:w="170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September 29, 2023</w:t>
            </w:r>
          </w:p>
        </w:tc>
        <w:tc>
          <w:tcPr>
            <w:tcW w:w="160" w:type="dxa"/>
            <w:vAlign w:val="bottom"/>
          </w:tcPr>
          <w:p>
            <w:pPr>
              <w:spacing w:after="0"/>
              <w:rPr>
                <w:sz w:val="17"/>
                <w:szCs w:val="17"/>
                <w:color w:val="auto"/>
              </w:rPr>
            </w:pPr>
          </w:p>
        </w:tc>
        <w:tc>
          <w:tcPr>
            <w:tcW w:w="1600" w:type="dxa"/>
            <w:vAlign w:val="bottom"/>
          </w:tcPr>
          <w:p>
            <w:pPr>
              <w:jc w:val="right"/>
              <w:ind w:right="134"/>
              <w:spacing w:after="0"/>
              <w:rPr>
                <w:sz w:val="20"/>
                <w:szCs w:val="20"/>
                <w:color w:val="auto"/>
              </w:rPr>
            </w:pPr>
            <w:r>
              <w:rPr>
                <w:rFonts w:ascii="Times New Roman" w:cs="Times New Roman" w:eastAsia="Times New Roman" w:hAnsi="Times New Roman"/>
                <w:sz w:val="16"/>
                <w:szCs w:val="16"/>
                <w:b w:val="1"/>
                <w:bCs w:val="1"/>
                <w:color w:val="auto"/>
              </w:rPr>
              <w:t>September 30, 2022</w:t>
            </w:r>
          </w:p>
        </w:tc>
        <w:tc>
          <w:tcPr>
            <w:tcW w:w="0" w:type="dxa"/>
            <w:vAlign w:val="bottom"/>
          </w:tcPr>
          <w:p>
            <w:pPr>
              <w:spacing w:after="0"/>
              <w:rPr>
                <w:sz w:val="1"/>
                <w:szCs w:val="1"/>
                <w:color w:val="auto"/>
              </w:rPr>
            </w:pPr>
          </w:p>
        </w:tc>
      </w:tr>
      <w:tr>
        <w:trPr>
          <w:trHeight w:val="242"/>
        </w:trPr>
        <w:tc>
          <w:tcPr>
            <w:tcW w:w="5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596.0</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982.8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1,275.2</w:t>
            </w:r>
          </w:p>
        </w:tc>
        <w:tc>
          <w:tcPr>
            <w:tcW w:w="0" w:type="dxa"/>
            <w:vAlign w:val="bottom"/>
          </w:tcPr>
          <w:p>
            <w:pPr>
              <w:spacing w:after="0"/>
              <w:rPr>
                <w:sz w:val="1"/>
                <w:szCs w:val="1"/>
                <w:color w:val="auto"/>
              </w:rPr>
            </w:pP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 – basic</w:t>
            </w: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160.1</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162.4</w:t>
            </w:r>
          </w:p>
        </w:tc>
        <w:tc>
          <w:tcPr>
            <w:tcW w:w="0" w:type="dxa"/>
            <w:vAlign w:val="bottom"/>
          </w:tcPr>
          <w:p>
            <w:pPr>
              <w:spacing w:after="0"/>
              <w:rPr>
                <w:sz w:val="1"/>
                <w:szCs w:val="1"/>
                <w:color w:val="auto"/>
              </w:rPr>
            </w:pPr>
          </w:p>
        </w:tc>
      </w:tr>
      <w:tr>
        <w:trPr>
          <w:trHeight w:val="223"/>
        </w:trPr>
        <w:tc>
          <w:tcPr>
            <w:tcW w:w="57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Dilutive effect of equity-based awards</w:t>
            </w:r>
          </w:p>
        </w:tc>
        <w:tc>
          <w:tcPr>
            <w:tcW w:w="16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0" w:type="dxa"/>
            <w:vAlign w:val="bottom"/>
          </w:tcPr>
          <w:p>
            <w:pPr>
              <w:spacing w:after="0"/>
              <w:rPr>
                <w:sz w:val="1"/>
                <w:szCs w:val="1"/>
                <w:color w:val="auto"/>
              </w:rPr>
            </w:pPr>
          </w:p>
        </w:tc>
      </w:tr>
      <w:tr>
        <w:trPr>
          <w:trHeight w:val="241"/>
        </w:trPr>
        <w:tc>
          <w:tcPr>
            <w:tcW w:w="5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 – diluted</w:t>
            </w:r>
          </w:p>
        </w:tc>
        <w:tc>
          <w:tcPr>
            <w:tcW w:w="160" w:type="dxa"/>
            <w:vAlign w:val="bottom"/>
            <w:tcBorders>
              <w:bottom w:val="single" w:sz="8" w:color="auto"/>
            </w:tcBorders>
            <w:shd w:val="clear" w:color="auto" w:fill="CCEEFF"/>
          </w:tcPr>
          <w:p>
            <w:pPr>
              <w:spacing w:after="0"/>
              <w:rPr>
                <w:sz w:val="20"/>
                <w:szCs w:val="20"/>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161.5</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160.3</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163.3</w:t>
            </w:r>
          </w:p>
        </w:tc>
        <w:tc>
          <w:tcPr>
            <w:tcW w:w="0" w:type="dxa"/>
            <w:vAlign w:val="bottom"/>
          </w:tcPr>
          <w:p>
            <w:pPr>
              <w:spacing w:after="0"/>
              <w:rPr>
                <w:sz w:val="1"/>
                <w:szCs w:val="1"/>
                <w:color w:val="auto"/>
              </w:rPr>
            </w:pP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5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per share – basic</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w:t>
            </w:r>
          </w:p>
        </w:tc>
        <w:tc>
          <w:tcPr>
            <w:tcW w:w="0" w:type="dxa"/>
            <w:vAlign w:val="bottom"/>
          </w:tcPr>
          <w:p>
            <w:pPr>
              <w:spacing w:after="0"/>
              <w:rPr>
                <w:sz w:val="1"/>
                <w:szCs w:val="1"/>
                <w:color w:val="auto"/>
              </w:rPr>
            </w:pPr>
          </w:p>
        </w:tc>
      </w:tr>
      <w:tr>
        <w:trPr>
          <w:trHeight w:val="20"/>
        </w:trPr>
        <w:tc>
          <w:tcPr>
            <w:tcW w:w="57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Net income per share – diluted</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740" w:type="dxa"/>
            <w:vAlign w:val="bottom"/>
            <w:vMerge w:val="continue"/>
          </w:tcPr>
          <w:p>
            <w:pPr>
              <w:spacing w:after="0"/>
              <w:rPr>
                <w:sz w:val="17"/>
                <w:szCs w:val="17"/>
                <w:color w:val="auto"/>
              </w:rPr>
            </w:pPr>
          </w:p>
        </w:tc>
        <w:tc>
          <w:tcPr>
            <w:tcW w:w="160" w:type="dxa"/>
            <w:vAlign w:val="bottom"/>
            <w:tcBorders>
              <w:bottom w:val="single" w:sz="8" w:color="auto"/>
            </w:tcBorders>
          </w:tcPr>
          <w:p>
            <w:pPr>
              <w:jc w:val="right"/>
              <w:spacing w:after="0" w:line="195" w:lineRule="exact"/>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tcPr>
          <w:p>
            <w:pPr>
              <w:jc w:val="right"/>
              <w:spacing w:after="0" w:line="195" w:lineRule="exact"/>
              <w:rPr>
                <w:sz w:val="20"/>
                <w:szCs w:val="20"/>
                <w:color w:val="auto"/>
              </w:rPr>
            </w:pPr>
            <w:r>
              <w:rPr>
                <w:rFonts w:ascii="Times New Roman" w:cs="Times New Roman" w:eastAsia="Times New Roman" w:hAnsi="Times New Roman"/>
                <w:sz w:val="18"/>
                <w:szCs w:val="18"/>
                <w:color w:val="auto"/>
              </w:rPr>
              <w:t>3.69</w:t>
            </w:r>
          </w:p>
        </w:tc>
        <w:tc>
          <w:tcPr>
            <w:tcW w:w="80" w:type="dxa"/>
            <w:vAlign w:val="bottom"/>
          </w:tcPr>
          <w:p>
            <w:pPr>
              <w:spacing w:after="0"/>
              <w:rPr>
                <w:sz w:val="17"/>
                <w:szCs w:val="17"/>
                <w:color w:val="auto"/>
              </w:rPr>
            </w:pPr>
          </w:p>
        </w:tc>
        <w:tc>
          <w:tcPr>
            <w:tcW w:w="180" w:type="dxa"/>
            <w:vAlign w:val="bottom"/>
            <w:tcBorders>
              <w:bottom w:val="single" w:sz="8" w:color="auto"/>
            </w:tcBorders>
          </w:tcPr>
          <w:p>
            <w:pPr>
              <w:jc w:val="right"/>
              <w:spacing w:after="0" w:line="195" w:lineRule="exact"/>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auto"/>
            </w:tcBorders>
          </w:tcPr>
          <w:p>
            <w:pPr>
              <w:jc w:val="right"/>
              <w:spacing w:after="0" w:line="195" w:lineRule="exact"/>
              <w:rPr>
                <w:sz w:val="20"/>
                <w:szCs w:val="20"/>
                <w:color w:val="auto"/>
              </w:rPr>
            </w:pPr>
            <w:r>
              <w:rPr>
                <w:rFonts w:ascii="Times New Roman" w:cs="Times New Roman" w:eastAsia="Times New Roman" w:hAnsi="Times New Roman"/>
                <w:sz w:val="18"/>
                <w:szCs w:val="18"/>
                <w:color w:val="auto"/>
              </w:rPr>
              <w:t>6.13</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line="195" w:lineRule="exact"/>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tcPr>
          <w:p>
            <w:pPr>
              <w:jc w:val="right"/>
              <w:spacing w:after="0" w:line="195" w:lineRule="exact"/>
              <w:rPr>
                <w:sz w:val="20"/>
                <w:szCs w:val="20"/>
                <w:color w:val="auto"/>
              </w:rPr>
            </w:pPr>
            <w:r>
              <w:rPr>
                <w:rFonts w:ascii="Times New Roman" w:cs="Times New Roman" w:eastAsia="Times New Roman" w:hAnsi="Times New Roman"/>
                <w:sz w:val="18"/>
                <w:szCs w:val="18"/>
                <w:color w:val="auto"/>
              </w:rPr>
              <w:t>7.81</w:t>
            </w:r>
          </w:p>
        </w:tc>
        <w:tc>
          <w:tcPr>
            <w:tcW w:w="0" w:type="dxa"/>
            <w:vAlign w:val="bottom"/>
          </w:tcPr>
          <w:p>
            <w:pPr>
              <w:spacing w:after="0"/>
              <w:rPr>
                <w:sz w:val="1"/>
                <w:szCs w:val="1"/>
                <w:color w:val="auto"/>
              </w:rPr>
            </w:pPr>
          </w:p>
        </w:tc>
      </w:tr>
      <w:tr>
        <w:trPr>
          <w:trHeight w:val="20"/>
        </w:trPr>
        <w:tc>
          <w:tcPr>
            <w:tcW w:w="57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57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Anti-dilutive common stock equivalents</w:t>
            </w:r>
          </w:p>
        </w:tc>
        <w:tc>
          <w:tcPr>
            <w:tcW w:w="160" w:type="dxa"/>
            <w:vAlign w:val="bottom"/>
          </w:tcPr>
          <w:p>
            <w:pPr>
              <w:spacing w:after="0"/>
              <w:rPr>
                <w:sz w:val="19"/>
                <w:szCs w:val="19"/>
                <w:color w:val="auto"/>
              </w:rPr>
            </w:pPr>
          </w:p>
        </w:tc>
        <w:tc>
          <w:tcPr>
            <w:tcW w:w="1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bl>
    <w:p>
      <w:pPr>
        <w:spacing w:after="0" w:line="305"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Basic earnings per share are calculated by dividing net income by the weighted average number of shares of the Company’s common stock outstanding during the period. The calculation of diluted earnings per share includes the dilutive effect of equity-based awards that were outstanding during fiscal 2024, fiscal 2023, and fiscal 2022, using the treasury stock method. Shares issuable upon the vesting of performance stock awards are likewise included in the calculation of diluted earnings per share as of the date the condition(s) have been satisfied, assuming the end of the reporting period was the end of the contingency period. Certain of the Company’s outstanding share-based awards, noted in the table above, were excluded because they were anti-dilutive, but they could become dilutive in the future.</w:t>
      </w:r>
    </w:p>
    <w:p>
      <w:pPr>
        <w:spacing w:after="0" w:line="211" w:lineRule="exact"/>
        <w:rPr>
          <w:sz w:val="20"/>
          <w:szCs w:val="20"/>
          <w:color w:val="auto"/>
        </w:rPr>
      </w:pPr>
    </w:p>
    <w:p>
      <w:pPr>
        <w:ind w:left="440" w:hanging="435"/>
        <w:spacing w:after="0"/>
        <w:tabs>
          <w:tab w:leader="none" w:pos="440"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SEGMENT INFORMATION AND CONCENTRATIONS</w:t>
      </w:r>
    </w:p>
    <w:p>
      <w:pPr>
        <w:spacing w:after="0" w:line="241"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The Company has a single reportable operating segment which designs, develops, manufactures, and markets similar proprietary semiconductor products, including intellectual property. In reaching this conclusion, management considers the definition of the chief operating decision maker (“</w:t>
      </w:r>
      <w:r>
        <w:rPr>
          <w:rFonts w:ascii="Times New Roman" w:cs="Times New Roman" w:eastAsia="Times New Roman" w:hAnsi="Times New Roman"/>
          <w:sz w:val="18"/>
          <w:szCs w:val="18"/>
          <w:color w:val="010000"/>
        </w:rPr>
        <w:t>CODM</w:t>
      </w:r>
      <w:r>
        <w:rPr>
          <w:rFonts w:ascii="Times New Roman" w:cs="Times New Roman" w:eastAsia="Times New Roman" w:hAnsi="Times New Roman"/>
          <w:sz w:val="18"/>
          <w:szCs w:val="18"/>
          <w:color w:val="auto"/>
        </w:rPr>
        <w:t>”), how the business is defined by the CODM, the nature of the information provided to the CODM, and how that information is used to make operating decisions, allocate resources, and assess performance. The Company’s CODM is the president and chief executive officer. The results of operations provided to and analyzed by the CODM are at the consolidated level and accordingly, key resource decisions and assessment of performance are performed at the consolidated level. The Company assesses its determination of operating segments at least annually.</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Disaggregation of Revenue and Geographic Information</w:t>
      </w:r>
    </w:p>
    <w:p>
      <w:pPr>
        <w:spacing w:after="0" w:line="11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presents net revenue by geographic area, based upon the location of the OEMs’ headquarters, and by sales channel, as it believes that doing so best depicts how the nature, amount, timing, and uncertainty of revenue and cash flows are affected by economic factors. Individually insignificant OEMs are presented based upon the location of the Company’s direct customer, which is typically a distributor.</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84455</wp:posOffset>
            </wp:positionV>
            <wp:extent cx="7161530"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revenue by geographic area is as follows (in millions):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57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Fiscal Years Ended</w:t>
            </w: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5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0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September 27, 2024</w:t>
            </w:r>
          </w:p>
        </w:tc>
        <w:tc>
          <w:tcPr>
            <w:tcW w:w="180" w:type="dxa"/>
            <w:vAlign w:val="bottom"/>
          </w:tcPr>
          <w:p>
            <w:pPr>
              <w:spacing w:after="0"/>
              <w:rPr>
                <w:sz w:val="17"/>
                <w:szCs w:val="17"/>
                <w:color w:val="auto"/>
              </w:rPr>
            </w:pPr>
          </w:p>
        </w:tc>
        <w:tc>
          <w:tcPr>
            <w:tcW w:w="170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September 29, 2023</w:t>
            </w:r>
          </w:p>
        </w:tc>
        <w:tc>
          <w:tcPr>
            <w:tcW w:w="160" w:type="dxa"/>
            <w:vAlign w:val="bottom"/>
          </w:tcPr>
          <w:p>
            <w:pPr>
              <w:spacing w:after="0"/>
              <w:rPr>
                <w:sz w:val="17"/>
                <w:szCs w:val="17"/>
                <w:color w:val="auto"/>
              </w:rPr>
            </w:pPr>
          </w:p>
        </w:tc>
        <w:tc>
          <w:tcPr>
            <w:tcW w:w="1600" w:type="dxa"/>
            <w:vAlign w:val="bottom"/>
          </w:tcPr>
          <w:p>
            <w:pPr>
              <w:jc w:val="right"/>
              <w:ind w:right="134"/>
              <w:spacing w:after="0"/>
              <w:rPr>
                <w:sz w:val="20"/>
                <w:szCs w:val="20"/>
                <w:color w:val="auto"/>
              </w:rPr>
            </w:pPr>
            <w:r>
              <w:rPr>
                <w:rFonts w:ascii="Times New Roman" w:cs="Times New Roman" w:eastAsia="Times New Roman" w:hAnsi="Times New Roman"/>
                <w:sz w:val="16"/>
                <w:szCs w:val="16"/>
                <w:b w:val="1"/>
                <w:bCs w:val="1"/>
                <w:color w:val="auto"/>
              </w:rPr>
              <w:t>September 30, 2022</w:t>
            </w:r>
          </w:p>
        </w:tc>
        <w:tc>
          <w:tcPr>
            <w:tcW w:w="0" w:type="dxa"/>
            <w:vAlign w:val="bottom"/>
          </w:tcPr>
          <w:p>
            <w:pPr>
              <w:spacing w:after="0"/>
              <w:rPr>
                <w:sz w:val="1"/>
                <w:szCs w:val="1"/>
                <w:color w:val="auto"/>
              </w:rPr>
            </w:pPr>
          </w:p>
        </w:tc>
      </w:tr>
      <w:tr>
        <w:trPr>
          <w:trHeight w:val="217"/>
        </w:trPr>
        <w:tc>
          <w:tcPr>
            <w:tcW w:w="5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3,202.2</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3,603.9</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3,685.7</w:t>
            </w:r>
          </w:p>
        </w:tc>
        <w:tc>
          <w:tcPr>
            <w:tcW w:w="0" w:type="dxa"/>
            <w:vAlign w:val="bottom"/>
          </w:tcPr>
          <w:p>
            <w:pPr>
              <w:spacing w:after="0"/>
              <w:rPr>
                <w:sz w:val="1"/>
                <w:szCs w:val="1"/>
                <w:color w:val="auto"/>
              </w:rPr>
            </w:pPr>
          </w:p>
        </w:tc>
      </w:tr>
      <w:tr>
        <w:trPr>
          <w:trHeight w:val="223"/>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Taiwan</w:t>
            </w: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317.5</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430.4</w:t>
            </w:r>
          </w:p>
        </w:tc>
        <w:tc>
          <w:tcPr>
            <w:tcW w:w="0" w:type="dxa"/>
            <w:vAlign w:val="bottom"/>
          </w:tcPr>
          <w:p>
            <w:pPr>
              <w:spacing w:after="0"/>
              <w:rPr>
                <w:sz w:val="1"/>
                <w:szCs w:val="1"/>
                <w:color w:val="auto"/>
              </w:rPr>
            </w:pPr>
          </w:p>
        </w:tc>
      </w:tr>
      <w:tr>
        <w:trPr>
          <w:trHeight w:val="223"/>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303.4</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599.6</w:t>
            </w:r>
          </w:p>
        </w:tc>
        <w:tc>
          <w:tcPr>
            <w:tcW w:w="0" w:type="dxa"/>
            <w:vAlign w:val="bottom"/>
          </w:tcPr>
          <w:p>
            <w:pPr>
              <w:spacing w:after="0"/>
              <w:rPr>
                <w:sz w:val="1"/>
                <w:szCs w:val="1"/>
                <w:color w:val="auto"/>
              </w:rPr>
            </w:pPr>
          </w:p>
        </w:tc>
      </w:tr>
      <w:tr>
        <w:trPr>
          <w:trHeight w:val="223"/>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South Korea</w:t>
            </w: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203.9</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458.2</w:t>
            </w:r>
          </w:p>
        </w:tc>
        <w:tc>
          <w:tcPr>
            <w:tcW w:w="0" w:type="dxa"/>
            <w:vAlign w:val="bottom"/>
          </w:tcPr>
          <w:p>
            <w:pPr>
              <w:spacing w:after="0"/>
              <w:rPr>
                <w:sz w:val="1"/>
                <w:szCs w:val="1"/>
                <w:color w:val="auto"/>
              </w:rPr>
            </w:pPr>
          </w:p>
        </w:tc>
      </w:tr>
      <w:tr>
        <w:trPr>
          <w:trHeight w:val="223"/>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Europe, Middle East, and Africa</w:t>
            </w: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114.5</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235.8</w:t>
            </w:r>
          </w:p>
        </w:tc>
        <w:tc>
          <w:tcPr>
            <w:tcW w:w="0" w:type="dxa"/>
            <w:vAlign w:val="bottom"/>
          </w:tcPr>
          <w:p>
            <w:pPr>
              <w:spacing w:after="0"/>
              <w:rPr>
                <w:sz w:val="1"/>
                <w:szCs w:val="1"/>
                <w:color w:val="auto"/>
              </w:rPr>
            </w:pPr>
          </w:p>
        </w:tc>
      </w:tr>
      <w:tr>
        <w:trPr>
          <w:trHeight w:val="223"/>
        </w:trPr>
        <w:tc>
          <w:tcPr>
            <w:tcW w:w="5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Asia-Pacific</w:t>
            </w:r>
          </w:p>
        </w:tc>
        <w:tc>
          <w:tcPr>
            <w:tcW w:w="16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63.3</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75.8</w:t>
            </w:r>
          </w:p>
        </w:tc>
        <w:tc>
          <w:tcPr>
            <w:tcW w:w="0" w:type="dxa"/>
            <w:vAlign w:val="bottom"/>
          </w:tcPr>
          <w:p>
            <w:pPr>
              <w:spacing w:after="0"/>
              <w:rPr>
                <w:sz w:val="1"/>
                <w:szCs w:val="1"/>
                <w:color w:val="auto"/>
              </w:rPr>
            </w:pPr>
          </w:p>
        </w:tc>
      </w:tr>
      <w:tr>
        <w:trPr>
          <w:trHeight w:val="241"/>
        </w:trPr>
        <w:tc>
          <w:tcPr>
            <w:tcW w:w="57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net revenue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4,178.0</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4,772.4</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5,485.5</w:t>
            </w:r>
          </w:p>
        </w:tc>
        <w:tc>
          <w:tcPr>
            <w:tcW w:w="0" w:type="dxa"/>
            <w:vAlign w:val="bottom"/>
          </w:tcPr>
          <w:p>
            <w:pPr>
              <w:spacing w:after="0"/>
              <w:rPr>
                <w:sz w:val="1"/>
                <w:szCs w:val="1"/>
                <w:color w:val="auto"/>
              </w:rPr>
            </w:pPr>
          </w:p>
        </w:tc>
      </w:tr>
      <w:tr>
        <w:trPr>
          <w:trHeight w:val="20"/>
        </w:trPr>
        <w:tc>
          <w:tcPr>
            <w:tcW w:w="57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Net revenue by sales channel is as follows (in millions):</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0"/>
        </w:trPr>
        <w:tc>
          <w:tcPr>
            <w:tcW w:w="574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57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Fiscal Years Ended</w:t>
            </w:r>
          </w:p>
        </w:tc>
        <w:tc>
          <w:tcPr>
            <w:tcW w:w="16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5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0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September 27, 2024</w:t>
            </w:r>
          </w:p>
        </w:tc>
        <w:tc>
          <w:tcPr>
            <w:tcW w:w="180" w:type="dxa"/>
            <w:vAlign w:val="bottom"/>
          </w:tcPr>
          <w:p>
            <w:pPr>
              <w:spacing w:after="0"/>
              <w:rPr>
                <w:sz w:val="17"/>
                <w:szCs w:val="17"/>
                <w:color w:val="auto"/>
              </w:rPr>
            </w:pPr>
          </w:p>
        </w:tc>
        <w:tc>
          <w:tcPr>
            <w:tcW w:w="170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September 29, 2023</w:t>
            </w:r>
          </w:p>
        </w:tc>
        <w:tc>
          <w:tcPr>
            <w:tcW w:w="160" w:type="dxa"/>
            <w:vAlign w:val="bottom"/>
          </w:tcPr>
          <w:p>
            <w:pPr>
              <w:spacing w:after="0"/>
              <w:rPr>
                <w:sz w:val="17"/>
                <w:szCs w:val="17"/>
                <w:color w:val="auto"/>
              </w:rPr>
            </w:pPr>
          </w:p>
        </w:tc>
        <w:tc>
          <w:tcPr>
            <w:tcW w:w="1600" w:type="dxa"/>
            <w:vAlign w:val="bottom"/>
          </w:tcPr>
          <w:p>
            <w:pPr>
              <w:jc w:val="right"/>
              <w:ind w:right="134"/>
              <w:spacing w:after="0"/>
              <w:rPr>
                <w:sz w:val="20"/>
                <w:szCs w:val="20"/>
                <w:color w:val="auto"/>
              </w:rPr>
            </w:pPr>
            <w:r>
              <w:rPr>
                <w:rFonts w:ascii="Times New Roman" w:cs="Times New Roman" w:eastAsia="Times New Roman" w:hAnsi="Times New Roman"/>
                <w:sz w:val="16"/>
                <w:szCs w:val="16"/>
                <w:b w:val="1"/>
                <w:bCs w:val="1"/>
                <w:color w:val="auto"/>
              </w:rPr>
              <w:t>September 30, 2022</w:t>
            </w:r>
          </w:p>
        </w:tc>
        <w:tc>
          <w:tcPr>
            <w:tcW w:w="0" w:type="dxa"/>
            <w:vAlign w:val="bottom"/>
          </w:tcPr>
          <w:p>
            <w:pPr>
              <w:spacing w:after="0"/>
              <w:rPr>
                <w:sz w:val="1"/>
                <w:szCs w:val="1"/>
                <w:color w:val="auto"/>
              </w:rPr>
            </w:pPr>
          </w:p>
        </w:tc>
      </w:tr>
      <w:tr>
        <w:trPr>
          <w:trHeight w:val="217"/>
        </w:trPr>
        <w:tc>
          <w:tcPr>
            <w:tcW w:w="5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Distributors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3,622.6</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4,235.7</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4,488.1</w:t>
            </w:r>
          </w:p>
        </w:tc>
        <w:tc>
          <w:tcPr>
            <w:tcW w:w="0" w:type="dxa"/>
            <w:vAlign w:val="bottom"/>
          </w:tcPr>
          <w:p>
            <w:pPr>
              <w:spacing w:after="0"/>
              <w:rPr>
                <w:sz w:val="1"/>
                <w:szCs w:val="1"/>
                <w:color w:val="auto"/>
              </w:rPr>
            </w:pPr>
          </w:p>
        </w:tc>
      </w:tr>
      <w:tr>
        <w:trPr>
          <w:trHeight w:val="223"/>
        </w:trPr>
        <w:tc>
          <w:tcPr>
            <w:tcW w:w="5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Direct customers</w:t>
            </w:r>
          </w:p>
        </w:tc>
        <w:tc>
          <w:tcPr>
            <w:tcW w:w="16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555.4</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536.7</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997.4</w:t>
            </w:r>
          </w:p>
        </w:tc>
        <w:tc>
          <w:tcPr>
            <w:tcW w:w="0" w:type="dxa"/>
            <w:vAlign w:val="bottom"/>
          </w:tcPr>
          <w:p>
            <w:pPr>
              <w:spacing w:after="0"/>
              <w:rPr>
                <w:sz w:val="1"/>
                <w:szCs w:val="1"/>
                <w:color w:val="auto"/>
              </w:rPr>
            </w:pPr>
          </w:p>
        </w:tc>
      </w:tr>
      <w:tr>
        <w:trPr>
          <w:trHeight w:val="241"/>
        </w:trPr>
        <w:tc>
          <w:tcPr>
            <w:tcW w:w="57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net revenue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4,178.0</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4,772.4</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5,485.5</w:t>
            </w:r>
          </w:p>
        </w:tc>
        <w:tc>
          <w:tcPr>
            <w:tcW w:w="0" w:type="dxa"/>
            <w:vAlign w:val="bottom"/>
          </w:tcPr>
          <w:p>
            <w:pPr>
              <w:spacing w:after="0"/>
              <w:rPr>
                <w:sz w:val="1"/>
                <w:szCs w:val="1"/>
                <w:color w:val="auto"/>
              </w:rPr>
            </w:pP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The Company’s revenue from external customers is generated principally from the sale of semiconductor products. Accordingly, the Company considers its product offerings to be similar in nature and therefore not segregated for reporting purposes.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plant, and equipment, net based on the physical locations within the indicated geographic areas are as follows (in millions):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76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As of</w:t>
            </w:r>
          </w:p>
        </w:tc>
        <w:tc>
          <w:tcPr>
            <w:tcW w:w="1600" w:type="dxa"/>
            <w:vAlign w:val="bottom"/>
            <w:tcBorders>
              <w:bottom w:val="single" w:sz="8" w:color="auto"/>
            </w:tcBorders>
          </w:tcPr>
          <w:p>
            <w:pPr>
              <w:spacing w:after="0"/>
              <w:rPr>
                <w:sz w:val="18"/>
                <w:szCs w:val="18"/>
                <w:color w:val="auto"/>
              </w:rPr>
            </w:pPr>
          </w:p>
        </w:tc>
      </w:tr>
      <w:tr>
        <w:trPr>
          <w:trHeight w:val="205"/>
        </w:trPr>
        <w:tc>
          <w:tcPr>
            <w:tcW w:w="7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0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September 27, 2024</w:t>
            </w:r>
          </w:p>
        </w:tc>
        <w:tc>
          <w:tcPr>
            <w:tcW w:w="160" w:type="dxa"/>
            <w:vAlign w:val="bottom"/>
          </w:tcPr>
          <w:p>
            <w:pPr>
              <w:spacing w:after="0"/>
              <w:rPr>
                <w:sz w:val="17"/>
                <w:szCs w:val="17"/>
                <w:color w:val="auto"/>
              </w:rPr>
            </w:pPr>
          </w:p>
        </w:tc>
        <w:tc>
          <w:tcPr>
            <w:tcW w:w="1600" w:type="dxa"/>
            <w:vAlign w:val="bottom"/>
          </w:tcPr>
          <w:p>
            <w:pPr>
              <w:jc w:val="right"/>
              <w:ind w:right="134"/>
              <w:spacing w:after="0"/>
              <w:rPr>
                <w:sz w:val="20"/>
                <w:szCs w:val="20"/>
                <w:color w:val="auto"/>
              </w:rPr>
            </w:pPr>
            <w:r>
              <w:rPr>
                <w:rFonts w:ascii="Times New Roman" w:cs="Times New Roman" w:eastAsia="Times New Roman" w:hAnsi="Times New Roman"/>
                <w:sz w:val="16"/>
                <w:szCs w:val="16"/>
                <w:b w:val="1"/>
                <w:bCs w:val="1"/>
                <w:color w:val="auto"/>
              </w:rPr>
              <w:t>September 29, 2023</w:t>
            </w:r>
          </w:p>
        </w:tc>
      </w:tr>
      <w:tr>
        <w:trPr>
          <w:trHeight w:val="217"/>
        </w:trPr>
        <w:tc>
          <w:tcPr>
            <w:tcW w:w="7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Japan</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526.1</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606.4</w:t>
            </w:r>
          </w:p>
        </w:tc>
      </w:tr>
      <w:tr>
        <w:trPr>
          <w:trHeight w:val="223"/>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Singapore</w:t>
            </w: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307.5</w:t>
            </w:r>
          </w:p>
        </w:tc>
      </w:tr>
      <w:tr>
        <w:trPr>
          <w:trHeight w:val="223"/>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Mexico</w:t>
            </w: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233.1</w:t>
            </w:r>
          </w:p>
        </w:tc>
      </w:tr>
      <w:tr>
        <w:trPr>
          <w:trHeight w:val="223"/>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219.7</w:t>
            </w:r>
          </w:p>
        </w:tc>
      </w:tr>
      <w:tr>
        <w:trPr>
          <w:trHeight w:val="223"/>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 of world</w:t>
            </w:r>
          </w:p>
        </w:tc>
        <w:tc>
          <w:tcPr>
            <w:tcW w:w="18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w:t>
            </w:r>
          </w:p>
        </w:tc>
      </w:tr>
      <w:tr>
        <w:trPr>
          <w:trHeight w:val="216"/>
        </w:trPr>
        <w:tc>
          <w:tcPr>
            <w:tcW w:w="76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property, plant, and equipment, net</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1,280.3</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1,390.1</w:t>
            </w:r>
          </w:p>
        </w:tc>
      </w:tr>
      <w:tr>
        <w:trPr>
          <w:trHeight w:val="20"/>
        </w:trPr>
        <w:tc>
          <w:tcPr>
            <w:tcW w:w="76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Concentrations</w:t>
      </w:r>
    </w:p>
    <w:p>
      <w:pPr>
        <w:spacing w:after="0" w:line="11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 of credit risk consist principally of trade accounts receivable. Trade accounts receivable are primarily derived from sales to manufacturers of communications and consumer products and electronic component distributors. The Company performs ongoing credit evaluations of customers.</w:t>
      </w:r>
    </w:p>
    <w:p>
      <w:pPr>
        <w:spacing w:after="0" w:line="20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During fiscal 2024, fiscal 2023, and fiscal 2022, Apple, through sales to multiple distributors, contract manufacturers, and direct sales for multiple applications including smartphones, tablets, desktop, and notebook computers, watches and other devices, in the aggregate accounted for 69%, 66%, and 58% of the Company’s net revenue, respectively.</w:t>
      </w:r>
    </w:p>
    <w:p>
      <w:pPr>
        <w:spacing w:after="0" w:line="20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The Company’s three largest accounts receivable balances comprised 80% and 83% of aggregate gross accounts receivable as of September 27, 2024 and September 29, 2023, respectively.</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84455</wp:posOffset>
            </wp:positionV>
            <wp:extent cx="7161530"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88"/>
              </w:rPr>
              <w:t>15.</w:t>
            </w:r>
          </w:p>
        </w:tc>
        <w:tc>
          <w:tcPr>
            <w:tcW w:w="56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SUPPLEMENTAL FINANCIAL INFORMATION</w:t>
            </w:r>
          </w:p>
        </w:tc>
        <w:tc>
          <w:tcPr>
            <w:tcW w:w="1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6"/>
        </w:trPr>
        <w:tc>
          <w:tcPr>
            <w:tcW w:w="5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current assets consist of the following (in millions):</w:t>
            </w:r>
          </w:p>
        </w:tc>
        <w:tc>
          <w:tcPr>
            <w:tcW w:w="1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220" w:type="dxa"/>
            <w:vAlign w:val="bottom"/>
          </w:tcPr>
          <w:p>
            <w:pPr>
              <w:spacing w:after="0"/>
              <w:rPr>
                <w:sz w:val="24"/>
                <w:szCs w:val="24"/>
                <w:color w:val="auto"/>
              </w:rPr>
            </w:pPr>
          </w:p>
        </w:tc>
        <w:tc>
          <w:tcPr>
            <w:tcW w:w="56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gridSpan w:val="5"/>
          </w:tcPr>
          <w:p>
            <w:pPr>
              <w:ind w:left="1480"/>
              <w:spacing w:after="0"/>
              <w:rPr>
                <w:sz w:val="20"/>
                <w:szCs w:val="20"/>
                <w:color w:val="auto"/>
              </w:rPr>
            </w:pPr>
            <w:r>
              <w:rPr>
                <w:rFonts w:ascii="Times New Roman" w:cs="Times New Roman" w:eastAsia="Times New Roman" w:hAnsi="Times New Roman"/>
                <w:sz w:val="16"/>
                <w:szCs w:val="16"/>
                <w:b w:val="1"/>
                <w:bCs w:val="1"/>
                <w:color w:val="auto"/>
              </w:rPr>
              <w:t>As of</w:t>
            </w:r>
          </w:p>
        </w:tc>
        <w:tc>
          <w:tcPr>
            <w:tcW w:w="15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220" w:type="dxa"/>
            <w:vAlign w:val="bottom"/>
          </w:tcPr>
          <w:p>
            <w:pPr>
              <w:spacing w:after="0"/>
              <w:rPr>
                <w:sz w:val="17"/>
                <w:szCs w:val="17"/>
                <w:color w:val="auto"/>
              </w:rPr>
            </w:pPr>
          </w:p>
        </w:tc>
        <w:tc>
          <w:tcPr>
            <w:tcW w:w="56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00" w:type="dxa"/>
            <w:vAlign w:val="bottom"/>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September 27, 2024</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tcPr>
          <w:p>
            <w:pPr>
              <w:jc w:val="right"/>
              <w:ind w:right="134"/>
              <w:spacing w:after="0"/>
              <w:rPr>
                <w:sz w:val="20"/>
                <w:szCs w:val="20"/>
                <w:color w:val="auto"/>
              </w:rPr>
            </w:pPr>
            <w:r>
              <w:rPr>
                <w:rFonts w:ascii="Times New Roman" w:cs="Times New Roman" w:eastAsia="Times New Roman" w:hAnsi="Times New Roman"/>
                <w:sz w:val="16"/>
                <w:szCs w:val="16"/>
                <w:b w:val="1"/>
                <w:bCs w:val="1"/>
                <w:color w:val="auto"/>
              </w:rPr>
              <w:t>September 29, 2023</w:t>
            </w:r>
          </w:p>
        </w:tc>
        <w:tc>
          <w:tcPr>
            <w:tcW w:w="0" w:type="dxa"/>
            <w:vAlign w:val="bottom"/>
          </w:tcPr>
          <w:p>
            <w:pPr>
              <w:spacing w:after="0"/>
              <w:rPr>
                <w:sz w:val="1"/>
                <w:szCs w:val="1"/>
                <w:color w:val="auto"/>
              </w:rPr>
            </w:pPr>
          </w:p>
        </w:tc>
      </w:tr>
      <w:tr>
        <w:trPr>
          <w:trHeight w:val="217"/>
        </w:trPr>
        <w:tc>
          <w:tcPr>
            <w:tcW w:w="588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expenses</w:t>
            </w:r>
          </w:p>
        </w:tc>
        <w:tc>
          <w:tcPr>
            <w:tcW w:w="16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234.8</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306.0</w:t>
            </w:r>
          </w:p>
        </w:tc>
        <w:tc>
          <w:tcPr>
            <w:tcW w:w="0" w:type="dxa"/>
            <w:vAlign w:val="bottom"/>
          </w:tcPr>
          <w:p>
            <w:pPr>
              <w:spacing w:after="0"/>
              <w:rPr>
                <w:sz w:val="1"/>
                <w:szCs w:val="1"/>
                <w:color w:val="auto"/>
              </w:rPr>
            </w:pPr>
          </w:p>
        </w:tc>
      </w:tr>
      <w:tr>
        <w:trPr>
          <w:trHeight w:val="223"/>
        </w:trPr>
        <w:tc>
          <w:tcPr>
            <w:tcW w:w="58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66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249.9</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155.1</w:t>
            </w:r>
          </w:p>
        </w:tc>
        <w:tc>
          <w:tcPr>
            <w:tcW w:w="0" w:type="dxa"/>
            <w:vAlign w:val="bottom"/>
          </w:tcPr>
          <w:p>
            <w:pPr>
              <w:spacing w:after="0"/>
              <w:rPr>
                <w:sz w:val="1"/>
                <w:szCs w:val="1"/>
                <w:color w:val="auto"/>
              </w:rPr>
            </w:pPr>
          </w:p>
        </w:tc>
      </w:tr>
      <w:tr>
        <w:trPr>
          <w:trHeight w:val="241"/>
        </w:trPr>
        <w:tc>
          <w:tcPr>
            <w:tcW w:w="220" w:type="dxa"/>
            <w:vAlign w:val="bottom"/>
            <w:tcBorders>
              <w:bottom w:val="single" w:sz="8" w:color="CCEEFF"/>
            </w:tcBorders>
            <w:shd w:val="clear" w:color="auto" w:fill="CCEEFF"/>
          </w:tcPr>
          <w:p>
            <w:pPr>
              <w:spacing w:after="0"/>
              <w:rPr>
                <w:sz w:val="20"/>
                <w:szCs w:val="20"/>
                <w:color w:val="auto"/>
              </w:rPr>
            </w:pPr>
          </w:p>
        </w:tc>
        <w:tc>
          <w:tcPr>
            <w:tcW w:w="5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other current assets</w:t>
            </w:r>
          </w:p>
        </w:tc>
        <w:tc>
          <w:tcPr>
            <w:tcW w:w="166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484.7</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461.1</w:t>
            </w:r>
          </w:p>
        </w:tc>
        <w:tc>
          <w:tcPr>
            <w:tcW w:w="0" w:type="dxa"/>
            <w:vAlign w:val="bottom"/>
          </w:tcPr>
          <w:p>
            <w:pPr>
              <w:spacing w:after="0"/>
              <w:rPr>
                <w:sz w:val="1"/>
                <w:szCs w:val="1"/>
                <w:color w:val="auto"/>
              </w:rPr>
            </w:pPr>
          </w:p>
        </w:tc>
      </w:tr>
      <w:tr>
        <w:trPr>
          <w:trHeight w:val="20"/>
        </w:trPr>
        <w:tc>
          <w:tcPr>
            <w:tcW w:w="588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color w:val="auto"/>
              </w:rPr>
              <w:t>Other current liabilities consist of the following (in millions):</w:t>
            </w:r>
          </w:p>
        </w:tc>
        <w:tc>
          <w:tcPr>
            <w:tcW w:w="16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0"/>
        </w:trPr>
        <w:tc>
          <w:tcPr>
            <w:tcW w:w="5880" w:type="dxa"/>
            <w:vAlign w:val="bottom"/>
            <w:gridSpan w:val="2"/>
            <w:vMerge w:val="continue"/>
          </w:tcPr>
          <w:p>
            <w:pPr>
              <w:spacing w:after="0"/>
              <w:rPr>
                <w:sz w:val="24"/>
                <w:szCs w:val="24"/>
                <w:color w:val="auto"/>
              </w:rPr>
            </w:pPr>
          </w:p>
        </w:tc>
        <w:tc>
          <w:tcPr>
            <w:tcW w:w="1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220" w:type="dxa"/>
            <w:vAlign w:val="bottom"/>
          </w:tcPr>
          <w:p>
            <w:pPr>
              <w:spacing w:after="0"/>
              <w:rPr>
                <w:sz w:val="24"/>
                <w:szCs w:val="24"/>
                <w:color w:val="auto"/>
              </w:rPr>
            </w:pPr>
          </w:p>
        </w:tc>
        <w:tc>
          <w:tcPr>
            <w:tcW w:w="56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gridSpan w:val="5"/>
          </w:tcPr>
          <w:p>
            <w:pPr>
              <w:ind w:left="1480"/>
              <w:spacing w:after="0"/>
              <w:rPr>
                <w:sz w:val="20"/>
                <w:szCs w:val="20"/>
                <w:color w:val="auto"/>
              </w:rPr>
            </w:pPr>
            <w:r>
              <w:rPr>
                <w:rFonts w:ascii="Times New Roman" w:cs="Times New Roman" w:eastAsia="Times New Roman" w:hAnsi="Times New Roman"/>
                <w:sz w:val="16"/>
                <w:szCs w:val="16"/>
                <w:b w:val="1"/>
                <w:bCs w:val="1"/>
                <w:color w:val="auto"/>
              </w:rPr>
              <w:t>As of</w:t>
            </w:r>
          </w:p>
        </w:tc>
        <w:tc>
          <w:tcPr>
            <w:tcW w:w="15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220" w:type="dxa"/>
            <w:vAlign w:val="bottom"/>
          </w:tcPr>
          <w:p>
            <w:pPr>
              <w:spacing w:after="0"/>
              <w:rPr>
                <w:sz w:val="17"/>
                <w:szCs w:val="17"/>
                <w:color w:val="auto"/>
              </w:rPr>
            </w:pPr>
          </w:p>
        </w:tc>
        <w:tc>
          <w:tcPr>
            <w:tcW w:w="56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00" w:type="dxa"/>
            <w:vAlign w:val="bottom"/>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September 27, 2024</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tcPr>
          <w:p>
            <w:pPr>
              <w:jc w:val="right"/>
              <w:ind w:right="134"/>
              <w:spacing w:after="0"/>
              <w:rPr>
                <w:sz w:val="20"/>
                <w:szCs w:val="20"/>
                <w:color w:val="auto"/>
              </w:rPr>
            </w:pPr>
            <w:r>
              <w:rPr>
                <w:rFonts w:ascii="Times New Roman" w:cs="Times New Roman" w:eastAsia="Times New Roman" w:hAnsi="Times New Roman"/>
                <w:sz w:val="16"/>
                <w:szCs w:val="16"/>
                <w:b w:val="1"/>
                <w:bCs w:val="1"/>
                <w:color w:val="auto"/>
              </w:rPr>
              <w:t>September 29, 2023</w:t>
            </w:r>
          </w:p>
        </w:tc>
        <w:tc>
          <w:tcPr>
            <w:tcW w:w="0" w:type="dxa"/>
            <w:vAlign w:val="bottom"/>
          </w:tcPr>
          <w:p>
            <w:pPr>
              <w:spacing w:after="0"/>
              <w:rPr>
                <w:sz w:val="1"/>
                <w:szCs w:val="1"/>
                <w:color w:val="auto"/>
              </w:rPr>
            </w:pPr>
          </w:p>
        </w:tc>
      </w:tr>
      <w:tr>
        <w:trPr>
          <w:trHeight w:val="217"/>
        </w:trPr>
        <w:tc>
          <w:tcPr>
            <w:tcW w:w="588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customer liabilities</w:t>
            </w:r>
          </w:p>
        </w:tc>
        <w:tc>
          <w:tcPr>
            <w:tcW w:w="16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192.2</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270.9</w:t>
            </w:r>
          </w:p>
        </w:tc>
        <w:tc>
          <w:tcPr>
            <w:tcW w:w="0" w:type="dxa"/>
            <w:vAlign w:val="bottom"/>
          </w:tcPr>
          <w:p>
            <w:pPr>
              <w:spacing w:after="0"/>
              <w:rPr>
                <w:sz w:val="1"/>
                <w:szCs w:val="1"/>
                <w:color w:val="auto"/>
              </w:rPr>
            </w:pPr>
          </w:p>
        </w:tc>
      </w:tr>
      <w:tr>
        <w:trPr>
          <w:trHeight w:val="223"/>
        </w:trPr>
        <w:tc>
          <w:tcPr>
            <w:tcW w:w="5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Accrued taxes</w:t>
            </w:r>
          </w:p>
        </w:tc>
        <w:tc>
          <w:tcPr>
            <w:tcW w:w="1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w:t>
            </w:r>
          </w:p>
        </w:tc>
        <w:tc>
          <w:tcPr>
            <w:tcW w:w="0" w:type="dxa"/>
            <w:vAlign w:val="bottom"/>
          </w:tcPr>
          <w:p>
            <w:pPr>
              <w:spacing w:after="0"/>
              <w:rPr>
                <w:sz w:val="1"/>
                <w:szCs w:val="1"/>
                <w:color w:val="auto"/>
              </w:rPr>
            </w:pPr>
          </w:p>
        </w:tc>
      </w:tr>
      <w:tr>
        <w:trPr>
          <w:trHeight w:val="223"/>
        </w:trPr>
        <w:tc>
          <w:tcPr>
            <w:tcW w:w="5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operating lease liabilities</w:t>
            </w:r>
          </w:p>
        </w:tc>
        <w:tc>
          <w:tcPr>
            <w:tcW w:w="16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0" w:type="dxa"/>
            <w:vAlign w:val="bottom"/>
          </w:tcPr>
          <w:p>
            <w:pPr>
              <w:spacing w:after="0"/>
              <w:rPr>
                <w:sz w:val="1"/>
                <w:szCs w:val="1"/>
                <w:color w:val="auto"/>
              </w:rPr>
            </w:pPr>
          </w:p>
        </w:tc>
      </w:tr>
      <w:tr>
        <w:trPr>
          <w:trHeight w:val="223"/>
        </w:trPr>
        <w:tc>
          <w:tcPr>
            <w:tcW w:w="58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66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44.8</w:t>
            </w:r>
          </w:p>
        </w:tc>
        <w:tc>
          <w:tcPr>
            <w:tcW w:w="0" w:type="dxa"/>
            <w:vAlign w:val="bottom"/>
          </w:tcPr>
          <w:p>
            <w:pPr>
              <w:spacing w:after="0"/>
              <w:rPr>
                <w:sz w:val="1"/>
                <w:szCs w:val="1"/>
                <w:color w:val="auto"/>
              </w:rPr>
            </w:pPr>
          </w:p>
        </w:tc>
      </w:tr>
      <w:tr>
        <w:trPr>
          <w:trHeight w:val="241"/>
        </w:trPr>
        <w:tc>
          <w:tcPr>
            <w:tcW w:w="220" w:type="dxa"/>
            <w:vAlign w:val="bottom"/>
            <w:tcBorders>
              <w:bottom w:val="single" w:sz="8" w:color="CCEEFF"/>
            </w:tcBorders>
            <w:shd w:val="clear" w:color="auto" w:fill="CCEEFF"/>
          </w:tcPr>
          <w:p>
            <w:pPr>
              <w:spacing w:after="0"/>
              <w:rPr>
                <w:sz w:val="20"/>
                <w:szCs w:val="20"/>
                <w:color w:val="auto"/>
              </w:rPr>
            </w:pPr>
          </w:p>
        </w:tc>
        <w:tc>
          <w:tcPr>
            <w:tcW w:w="5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other current liabilities</w:t>
            </w:r>
          </w:p>
        </w:tc>
        <w:tc>
          <w:tcPr>
            <w:tcW w:w="166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303.0</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402.8</w:t>
            </w:r>
          </w:p>
        </w:tc>
        <w:tc>
          <w:tcPr>
            <w:tcW w:w="0" w:type="dxa"/>
            <w:vAlign w:val="bottom"/>
          </w:tcPr>
          <w:p>
            <w:pPr>
              <w:spacing w:after="0"/>
              <w:rPr>
                <w:sz w:val="1"/>
                <w:szCs w:val="1"/>
                <w:color w:val="auto"/>
              </w:rPr>
            </w:pPr>
          </w:p>
        </w:tc>
      </w:tr>
      <w:tr>
        <w:trPr>
          <w:trHeight w:val="20"/>
        </w:trPr>
        <w:tc>
          <w:tcPr>
            <w:tcW w:w="2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w w:val="88"/>
              </w:rPr>
              <w:t>16.</w:t>
            </w:r>
          </w:p>
        </w:tc>
        <w:tc>
          <w:tcPr>
            <w:tcW w:w="5660" w:type="dxa"/>
            <w:vAlign w:val="bottom"/>
            <w:tcBorders>
              <w:top w:val="single" w:sz="8" w:color="CCEEFF"/>
              <w:bottom w:val="single" w:sz="8" w:color="CCEEFF"/>
            </w:tcBorders>
            <w:vMerge w:val="restart"/>
          </w:tcPr>
          <w:p>
            <w:pPr>
              <w:ind w:left="180"/>
              <w:spacing w:after="0"/>
              <w:rPr>
                <w:sz w:val="20"/>
                <w:szCs w:val="20"/>
                <w:color w:val="auto"/>
              </w:rPr>
            </w:pPr>
            <w:r>
              <w:rPr>
                <w:rFonts w:ascii="Times New Roman" w:cs="Times New Roman" w:eastAsia="Times New Roman" w:hAnsi="Times New Roman"/>
                <w:sz w:val="18"/>
                <w:szCs w:val="18"/>
                <w:b w:val="1"/>
                <w:bCs w:val="1"/>
                <w:color w:val="auto"/>
              </w:rPr>
              <w:t>DEBT</w:t>
            </w:r>
          </w:p>
        </w:tc>
        <w:tc>
          <w:tcPr>
            <w:tcW w:w="16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7"/>
        </w:trPr>
        <w:tc>
          <w:tcPr>
            <w:tcW w:w="220" w:type="dxa"/>
            <w:vAlign w:val="bottom"/>
            <w:vMerge w:val="continue"/>
          </w:tcPr>
          <w:p>
            <w:pPr>
              <w:spacing w:after="0"/>
              <w:rPr>
                <w:sz w:val="24"/>
                <w:szCs w:val="24"/>
                <w:color w:val="auto"/>
              </w:rPr>
            </w:pPr>
          </w:p>
        </w:tc>
        <w:tc>
          <w:tcPr>
            <w:tcW w:w="5660" w:type="dxa"/>
            <w:vAlign w:val="bottom"/>
            <w:vMerge w:val="continue"/>
          </w:tcPr>
          <w:p>
            <w:pPr>
              <w:spacing w:after="0"/>
              <w:rPr>
                <w:sz w:val="24"/>
                <w:szCs w:val="24"/>
                <w:color w:val="auto"/>
              </w:rPr>
            </w:pPr>
          </w:p>
        </w:tc>
        <w:tc>
          <w:tcPr>
            <w:tcW w:w="1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5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Debt consists of the following (in millions, except percentages):</w:t>
            </w:r>
          </w:p>
        </w:tc>
        <w:tc>
          <w:tcPr>
            <w:tcW w:w="1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9"/>
        </w:trPr>
        <w:tc>
          <w:tcPr>
            <w:tcW w:w="220" w:type="dxa"/>
            <w:vAlign w:val="bottom"/>
          </w:tcPr>
          <w:p>
            <w:pPr>
              <w:spacing w:after="0"/>
              <w:rPr>
                <w:sz w:val="24"/>
                <w:szCs w:val="24"/>
                <w:color w:val="auto"/>
              </w:rPr>
            </w:pPr>
          </w:p>
        </w:tc>
        <w:tc>
          <w:tcPr>
            <w:tcW w:w="56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gridSpan w:val="5"/>
          </w:tcPr>
          <w:p>
            <w:pPr>
              <w:ind w:left="1480"/>
              <w:spacing w:after="0"/>
              <w:rPr>
                <w:sz w:val="20"/>
                <w:szCs w:val="20"/>
                <w:color w:val="auto"/>
              </w:rPr>
            </w:pPr>
            <w:r>
              <w:rPr>
                <w:rFonts w:ascii="Times New Roman" w:cs="Times New Roman" w:eastAsia="Times New Roman" w:hAnsi="Times New Roman"/>
                <w:sz w:val="16"/>
                <w:szCs w:val="16"/>
                <w:b w:val="1"/>
                <w:bCs w:val="1"/>
                <w:color w:val="auto"/>
              </w:rPr>
              <w:t>As of</w:t>
            </w:r>
          </w:p>
        </w:tc>
        <w:tc>
          <w:tcPr>
            <w:tcW w:w="15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220" w:type="dxa"/>
            <w:vAlign w:val="bottom"/>
          </w:tcPr>
          <w:p>
            <w:pPr>
              <w:spacing w:after="0"/>
              <w:rPr>
                <w:sz w:val="19"/>
                <w:szCs w:val="19"/>
                <w:color w:val="auto"/>
              </w:rPr>
            </w:pPr>
          </w:p>
        </w:tc>
        <w:tc>
          <w:tcPr>
            <w:tcW w:w="5660" w:type="dxa"/>
            <w:vAlign w:val="bottom"/>
          </w:tcPr>
          <w:p>
            <w:pPr>
              <w:spacing w:after="0"/>
              <w:rPr>
                <w:sz w:val="19"/>
                <w:szCs w:val="19"/>
                <w:color w:val="auto"/>
              </w:rPr>
            </w:pPr>
          </w:p>
        </w:tc>
        <w:tc>
          <w:tcPr>
            <w:tcW w:w="172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Effective Interest Rate</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00" w:type="dxa"/>
            <w:vAlign w:val="bottom"/>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rPr>
              <w:t>September 27, 2024</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tcPr>
          <w:p>
            <w:pPr>
              <w:jc w:val="right"/>
              <w:ind w:right="134"/>
              <w:spacing w:after="0"/>
              <w:rPr>
                <w:sz w:val="20"/>
                <w:szCs w:val="20"/>
                <w:color w:val="auto"/>
              </w:rPr>
            </w:pPr>
            <w:r>
              <w:rPr>
                <w:rFonts w:ascii="Times New Roman" w:cs="Times New Roman" w:eastAsia="Times New Roman" w:hAnsi="Times New Roman"/>
                <w:sz w:val="16"/>
                <w:szCs w:val="16"/>
                <w:b w:val="1"/>
                <w:bCs w:val="1"/>
                <w:color w:val="auto"/>
              </w:rPr>
              <w:t>September 29, 2023</w:t>
            </w:r>
          </w:p>
        </w:tc>
        <w:tc>
          <w:tcPr>
            <w:tcW w:w="0" w:type="dxa"/>
            <w:vAlign w:val="bottom"/>
          </w:tcPr>
          <w:p>
            <w:pPr>
              <w:spacing w:after="0"/>
              <w:rPr>
                <w:sz w:val="1"/>
                <w:szCs w:val="1"/>
                <w:color w:val="auto"/>
              </w:rPr>
            </w:pPr>
          </w:p>
        </w:tc>
      </w:tr>
      <w:tr>
        <w:trPr>
          <w:trHeight w:val="219"/>
        </w:trPr>
        <w:tc>
          <w:tcPr>
            <w:tcW w:w="588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1.80% Senior Notes due 2026</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1.97 %</w:t>
            </w: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0" w:type="dxa"/>
            <w:vAlign w:val="bottom"/>
          </w:tcPr>
          <w:p>
            <w:pPr>
              <w:spacing w:after="0"/>
              <w:rPr>
                <w:sz w:val="1"/>
                <w:szCs w:val="1"/>
                <w:color w:val="auto"/>
              </w:rPr>
            </w:pPr>
          </w:p>
        </w:tc>
      </w:tr>
      <w:tr>
        <w:trPr>
          <w:trHeight w:val="223"/>
        </w:trPr>
        <w:tc>
          <w:tcPr>
            <w:tcW w:w="5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3.00% Senior Notes due 2031</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3.13 %</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0" w:type="dxa"/>
            <w:vAlign w:val="bottom"/>
          </w:tcPr>
          <w:p>
            <w:pPr>
              <w:spacing w:after="0"/>
              <w:rPr>
                <w:sz w:val="1"/>
                <w:szCs w:val="1"/>
                <w:color w:val="auto"/>
              </w:rPr>
            </w:pPr>
          </w:p>
        </w:tc>
      </w:tr>
      <w:tr>
        <w:trPr>
          <w:trHeight w:val="223"/>
        </w:trPr>
        <w:tc>
          <w:tcPr>
            <w:tcW w:w="5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Term Loans due 2024</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7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0" w:type="dxa"/>
            <w:vAlign w:val="bottom"/>
          </w:tcPr>
          <w:p>
            <w:pPr>
              <w:spacing w:after="0"/>
              <w:rPr>
                <w:sz w:val="1"/>
                <w:szCs w:val="1"/>
                <w:color w:val="auto"/>
              </w:rPr>
            </w:pPr>
          </w:p>
        </w:tc>
      </w:tr>
      <w:tr>
        <w:trPr>
          <w:trHeight w:val="223"/>
        </w:trPr>
        <w:tc>
          <w:tcPr>
            <w:tcW w:w="58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Unamortized debt discount and issuance costs</w:t>
            </w:r>
          </w:p>
        </w:tc>
        <w:tc>
          <w:tcPr>
            <w:tcW w:w="166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16"/>
        </w:trPr>
        <w:tc>
          <w:tcPr>
            <w:tcW w:w="5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debt</w:t>
            </w:r>
          </w:p>
        </w:tc>
        <w:tc>
          <w:tcPr>
            <w:tcW w:w="1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994.3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1,292.3</w:t>
            </w:r>
          </w:p>
        </w:tc>
        <w:tc>
          <w:tcPr>
            <w:tcW w:w="0" w:type="dxa"/>
            <w:vAlign w:val="bottom"/>
          </w:tcPr>
          <w:p>
            <w:pPr>
              <w:spacing w:after="0"/>
              <w:rPr>
                <w:sz w:val="1"/>
                <w:szCs w:val="1"/>
                <w:color w:val="auto"/>
              </w:rPr>
            </w:pPr>
          </w:p>
        </w:tc>
      </w:tr>
      <w:tr>
        <w:trPr>
          <w:trHeight w:val="223"/>
        </w:trPr>
        <w:tc>
          <w:tcPr>
            <w:tcW w:w="58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Less: current portion of long-term debt</w:t>
            </w:r>
          </w:p>
        </w:tc>
        <w:tc>
          <w:tcPr>
            <w:tcW w:w="1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(299.4)</w:t>
            </w:r>
          </w:p>
        </w:tc>
        <w:tc>
          <w:tcPr>
            <w:tcW w:w="0" w:type="dxa"/>
            <w:vAlign w:val="bottom"/>
          </w:tcPr>
          <w:p>
            <w:pPr>
              <w:spacing w:after="0"/>
              <w:rPr>
                <w:sz w:val="1"/>
                <w:szCs w:val="1"/>
                <w:color w:val="auto"/>
              </w:rPr>
            </w:pPr>
          </w:p>
        </w:tc>
      </w:tr>
      <w:tr>
        <w:trPr>
          <w:trHeight w:val="241"/>
        </w:trPr>
        <w:tc>
          <w:tcPr>
            <w:tcW w:w="588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long-term debt</w:t>
            </w:r>
          </w:p>
        </w:tc>
        <w:tc>
          <w:tcPr>
            <w:tcW w:w="1660" w:type="dxa"/>
            <w:vAlign w:val="bottom"/>
            <w:tcBorders>
              <w:top w:val="single" w:sz="8" w:color="CCEEFF"/>
              <w:bottom w:val="single" w:sz="8" w:color="CCEEFF"/>
            </w:tcBorders>
            <w:shd w:val="clear" w:color="auto" w:fill="CCEEFF"/>
          </w:tcPr>
          <w:p>
            <w:pPr>
              <w:spacing w:after="0"/>
              <w:rPr>
                <w:sz w:val="20"/>
                <w:szCs w:val="20"/>
                <w:color w:val="auto"/>
              </w:rPr>
            </w:pP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4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994.3</w:t>
            </w: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992.9</w:t>
            </w:r>
          </w:p>
        </w:tc>
        <w:tc>
          <w:tcPr>
            <w:tcW w:w="0" w:type="dxa"/>
            <w:vAlign w:val="bottom"/>
          </w:tcPr>
          <w:p>
            <w:pPr>
              <w:spacing w:after="0"/>
              <w:rPr>
                <w:sz w:val="1"/>
                <w:szCs w:val="1"/>
                <w:color w:val="auto"/>
              </w:rPr>
            </w:pPr>
          </w:p>
        </w:tc>
      </w:tr>
      <w:tr>
        <w:trPr>
          <w:trHeight w:val="20"/>
        </w:trPr>
        <w:tc>
          <w:tcPr>
            <w:tcW w:w="220" w:type="dxa"/>
            <w:vAlign w:val="bottom"/>
            <w:tcBorders>
              <w:top w:val="single" w:sz="8" w:color="CCEEFF"/>
            </w:tcBorders>
          </w:tcPr>
          <w:p>
            <w:pPr>
              <w:spacing w:after="0" w:line="20" w:lineRule="exact"/>
              <w:rPr>
                <w:sz w:val="1"/>
                <w:szCs w:val="1"/>
                <w:color w:val="auto"/>
              </w:rPr>
            </w:pPr>
          </w:p>
        </w:tc>
        <w:tc>
          <w:tcPr>
            <w:tcW w:w="566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In fiscal 2023, the effective interest rate of the Terms Loans due in 2024 was 6.37%.</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Senior Notes</w:t>
      </w:r>
    </w:p>
    <w:p>
      <w:pPr>
        <w:spacing w:after="0" w:line="112"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On May 26, 2021, the Company issued $500.0 million of its 0.90% Senior Notes due 2023 (the “2023 Notes”), $500.0 million of its 1.80% Senior Notes due 2026 (the “2026 Notes”), and $500.0 million of its 3.00% Senior Notes due 2031 (the “2031 Notes” and, together with the 2026 Notes, the “Notes”). During fiscal 2023, the Company repaid $500.0 million of the 2023 Notes at maturity. The Notes are senior unsecured obligations of the Company and rank equally in right of payment with all of its existing and future senior unsecured debt but effectively junior to any of the Company’s senior secured debt to the extent of the value of collateral securing such debt and are structurally subordinated to all existing and future obligations of the Company’s subsidiaries. The Notes will mature on each respective maturity date, unless earlier redeemed in accordance with their terms. Interest on the Notes is payable on June 1 and December 1 of each year.</w:t>
      </w:r>
    </w:p>
    <w:p>
      <w:pPr>
        <w:spacing w:after="0" w:line="216"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The Company may redeem all or a portion of the 2026 Notes and the 2031 Notes at any time and from time to time prior to maturity, in whole or in part, for cash at the applicable redemption prices set forth in the respective supplemental indenture. If the Company undergoes a change of control repurchase event, as defined in the indenture governing the Notes (as supplemented, the “Indenture”), holders may require the Company to repurchase the Notes in whole or in part for cash at a price equal to 101% of the principal amount of the Notes to be purchased, plus any accrued and unpaid interest. As of September 27, 2024, the Company considered the likelihood of acceleration related to the 2026 and 2031 Notes and recorded the Notes as long-term debt. The Notes are recorded net of discount and issuance costs, which are amortized to interest expense over the respective terms of these borrowings.</w:t>
      </w: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84455</wp:posOffset>
            </wp:positionV>
            <wp:extent cx="7161530"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Indenture contains customary events of default, including failure to make required payments of principal and interest, certain events of bankruptcy and insolvency, and default in the performance or breach of any covenant or warranty contained in the Indenture or the Notes. As of September 27, 2024, the Company was in compliance with all debt covenants under the Senior Notes.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Term Credit Agreement</w:t>
      </w:r>
    </w:p>
    <w:p>
      <w:pPr>
        <w:spacing w:after="0" w:line="112"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6"/>
          <w:szCs w:val="16"/>
          <w:color w:val="auto"/>
        </w:rPr>
        <w:t>On May 21, 2021, the Company entered into a term credit agreement (as amended, the “Term Credit Agreement”) providing for a $1.0 billion term loan facility (the “Term Loan Facility”). On July 26, 2021, the Company borrowed $1.0 billion in aggregate principal amount of term loans (the “Term Loans”) under the Term Loan Facility to finance a portion of the purchase price for the acquisition of the Infrastructure and Automotive business of Silicon Laboratories Inc. and to pay fees and expenses incurred in connection therewith. During fiscal 2024, fiscal 2023, and fiscal 2022, the Company repaid $300.0 million, $400.0 million, and $50.0 million, respectively, of outstanding borrowings under the Term Loans. The Term Credit Agreement expired on July 26, 2024.</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Revolving Credit Agreement</w:t>
      </w:r>
    </w:p>
    <w:p>
      <w:pPr>
        <w:spacing w:after="0" w:line="11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May 21, 2021, the Company entered into a revolving credit agreement (as amended, the “Revolving Credit Agreement”) providing for a $750.0 million revolving credit facility (the “Revolver”). The proceeds of the Revolver will be used for general corporate purposes and working capital needs of the Company and its subsidiaries.</w:t>
      </w:r>
    </w:p>
    <w:p>
      <w:pPr>
        <w:spacing w:after="0" w:line="20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Revolver provides for revolving credit borrowings and letters of credit, with sublimits for letters of credit. The Revolver may be increased in specified circumstances by up to $250.0 million at the discretion of the lenders. The Revolver matures on July 26, 2026, and all unpaid borrowings, together with accrued and unpaid interest thereon, are repayable at maturity.</w:t>
      </w:r>
    </w:p>
    <w:p>
      <w:pPr>
        <w:spacing w:after="0" w:line="207"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6"/>
          <w:szCs w:val="16"/>
          <w:color w:val="auto"/>
        </w:rPr>
        <w:t>The Revolving Credit Agreement contains customary representations and warranties and covenants, including restrictions on the incurrence of indebtedness by non-guarantor subsidiaries and the creation of liens, and a financial covenant consisting of a limitation on leverage, defined as consolidated total indebtedness divided by consolidated earnings before interest, taxes, depreciation, and amortization for the period of four consecutive quarters not to exceed a ratio of 3.0 to 1.0. As of September 27, 2024, there were no borrowings outstanding and the Company was in compliance with all debt covenants under the Revolver.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None.</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1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evaluated the effectiveness of our disclosure controls and procedures as of September 27, 2024.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well-designed and operated, can provide only reasonable assurance of achieving their objectives, and management necessarily applies its judgment in evaluating the cost-benefit relationship of possible controls and procedures. Based on management’s evaluation of our disclosure controls and procedures as of September 27, 2024, our chief executive officer and chief financial officer concluded that, as of such date, our disclosure controls and procedures were effective at the reasonable assurance level.</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Management’s Annual Report on Internal Control Over Financial Reporting</w:t>
      </w:r>
    </w:p>
    <w:p>
      <w:pPr>
        <w:spacing w:after="0" w:line="11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management of the Company is responsible for establishing and maintaining adequate internal control over financial reporting for the Company. Internal control over financial reporting is defined in Rule 13a-15(f) or 15d-15(f) promulgated under the Exchange Act as a process designed by, or under the supervision of, the Company’s principal executive and principal</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84455</wp:posOffset>
            </wp:positionV>
            <wp:extent cx="7161530"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financial officers and effected by the Company’s Board of Directors, management and other personnel, to provide reasonable assurance regarding the reliability of financial reporting and the preparation of financial statements for external purposes in accordance with generally accepted accounting principles and includes those policies and procedures that:</w:t>
      </w:r>
    </w:p>
    <w:p>
      <w:pPr>
        <w:spacing w:after="0" w:line="207" w:lineRule="exact"/>
        <w:rPr>
          <w:sz w:val="20"/>
          <w:szCs w:val="20"/>
          <w:color w:val="auto"/>
        </w:rPr>
      </w:pPr>
    </w:p>
    <w:p>
      <w:pPr>
        <w:ind w:left="640" w:hanging="320"/>
        <w:spacing w:after="0" w:line="267" w:lineRule="auto"/>
        <w:tabs>
          <w:tab w:leader="none" w:pos="63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Pertain to the maintenance of records that in reasonable detail accurately and fairly reflect the transactions and dispositions of the assets of the Company;</w:t>
      </w:r>
    </w:p>
    <w:p>
      <w:pPr>
        <w:spacing w:after="0" w:line="195" w:lineRule="exact"/>
        <w:rPr>
          <w:rFonts w:ascii="Times New Roman" w:cs="Times New Roman" w:eastAsia="Times New Roman" w:hAnsi="Times New Roman"/>
          <w:sz w:val="18"/>
          <w:szCs w:val="18"/>
          <w:color w:val="auto"/>
        </w:rPr>
      </w:pPr>
    </w:p>
    <w:p>
      <w:pPr>
        <w:jc w:val="both"/>
        <w:ind w:left="640" w:hanging="320"/>
        <w:spacing w:after="0" w:line="255" w:lineRule="auto"/>
        <w:tabs>
          <w:tab w:leader="none" w:pos="63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w:t>
      </w:r>
    </w:p>
    <w:p>
      <w:pPr>
        <w:spacing w:after="0" w:line="206" w:lineRule="exact"/>
        <w:rPr>
          <w:rFonts w:ascii="Times New Roman" w:cs="Times New Roman" w:eastAsia="Times New Roman" w:hAnsi="Times New Roman"/>
          <w:sz w:val="18"/>
          <w:szCs w:val="18"/>
          <w:color w:val="auto"/>
        </w:rPr>
      </w:pPr>
    </w:p>
    <w:p>
      <w:pPr>
        <w:ind w:left="640" w:hanging="320"/>
        <w:spacing w:after="0" w:line="267" w:lineRule="auto"/>
        <w:tabs>
          <w:tab w:leader="none" w:pos="63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regarding prevention or timely detection of unauthorized acquisition, use, or disposition of the Company’s assets that could have a material effect on the financial statements.</w:t>
      </w:r>
    </w:p>
    <w:p>
      <w:pPr>
        <w:spacing w:after="0" w:line="19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Company’s management assessed the effectiveness of the Company’s internal control over financial reporting as of September 27, 2024. In making this assessment, the Company’s management used the criteria set forth by the Committee of Sponsoring Organizations of the Treadway Commission (COSO) 2013 Internal Control-Integrated Framework.</w:t>
      </w:r>
    </w:p>
    <w:p>
      <w:pPr>
        <w:spacing w:after="0" w:line="20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Based on their assessment, management concluded that, as of September 27, 2024, the Company’s internal control over financial reporting is effective based on those criteria.</w:t>
      </w:r>
    </w:p>
    <w:p>
      <w:pPr>
        <w:spacing w:after="0" w:line="19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The Company’s independent registered public accounting firm has issued an audit report on the effectiveness of the Company’s internal control over financial reporting as stated within their report which appears herein.</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1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During the third quarter of fiscal 2024, we completed the implementation of our new enterprise resource planning (“ERP”) system and have modified certain existing internal control processes and procedures related to the new system. These changes did not materially affect our internal control over financial reporting (as defined in Rules 13a-15(f) and 15d-15(f) of the Exchange Act) during the fourth quarter of fiscal 2024. As we add new functionality under this ERP system, we will continue to assess the impact on our internal control over financial reporting.</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 and Officer Trading Arrangements</w:t>
      </w:r>
    </w:p>
    <w:p>
      <w:pPr>
        <w:spacing w:after="0" w:line="11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None of our directors or officers adopted or terminated a Rule 10b5-1 trading arrangement (as defined in Item 408(a)(i) of Regulation S-K) or adopted or terminated a non-Rule 10b5-1 trading arrangement (as defined in Item 408(c) of Regulation S-K) during the fourth quarter of fiscal 2024.</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Principal Accounting Officer Transition</w:t>
      </w:r>
    </w:p>
    <w:p>
      <w:pPr>
        <w:spacing w:after="0" w:line="112"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6"/>
          <w:szCs w:val="16"/>
          <w:color w:val="auto"/>
        </w:rPr>
        <w:t>On November 11, 2024, Philip Carter notified the Company of his intention to resign from his position as Vice President, Corporate Controller and principal accounting officer (“PAO”) of the Company to pursue another opportunity. Mr. Carter’s departure is not due to any disagreement with the Company on any matter relating to the Company’s financial statements, internal control over financial reporting, operations, policies or practices. Mr. Carter will continue to serve as PAO of the Company through November 15, 2024. Effective upon Mr. Carter’s resignation, Kris Sennesael, age 55, Senior Vice President and Chief Financial Officer of the Company, a role he has held since he joined the Company in August 2016, will assume the role of PAO of the Company.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76200</wp:posOffset>
            </wp:positionV>
            <wp:extent cx="7161530"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24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information under the captions “Directors and Executive Officers,” “Corporate Governance─Committees of the Board of Directors,” and “Other Matters— Delinquent Section 16(a) Reports,” if applicable, in our definitive proxy statement for the 2025 Annual Meeting of Stockholders is incorporated herein by reference.</w:t>
      </w:r>
    </w:p>
    <w:p>
      <w:pPr>
        <w:spacing w:after="0" w:line="20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We have adopted a written code of business conduct and ethics that applies to our directors, officers, and employees, including our principal executive officer, principal financial officer, principal accounting officer or controller, or persons performing similar functions. We make available our code of business conduct and ethics free of charge through our website at www.skyworksinc.com. We intend to disclose any amendments to, or waivers from, our code of business conduct and ethics that are required to be publicly disclosed by posting any such amendment or waivers on our website pursuant to SEC requirements and rules of the Nasdaq Global Select Market.</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241" w:lineRule="exact"/>
        <w:rPr>
          <w:sz w:val="20"/>
          <w:szCs w:val="20"/>
          <w:color w:val="auto"/>
        </w:rPr>
      </w:pPr>
    </w:p>
    <w:p>
      <w:pPr>
        <w:ind w:right="140"/>
        <w:spacing w:after="0" w:line="267" w:lineRule="auto"/>
        <w:rPr>
          <w:sz w:val="20"/>
          <w:szCs w:val="20"/>
          <w:color w:val="auto"/>
        </w:rPr>
      </w:pPr>
      <w:r>
        <w:rPr>
          <w:rFonts w:ascii="Times New Roman" w:cs="Times New Roman" w:eastAsia="Times New Roman" w:hAnsi="Times New Roman"/>
          <w:sz w:val="18"/>
          <w:szCs w:val="18"/>
          <w:color w:val="auto"/>
        </w:rPr>
        <w:t>Information required by this item (other than the information required by Item 402(v) of Regulation S-K) is contained in our definitive proxy statement for the 2025 Annual Meeting of Stockholders to be filed with the SEC and is incorporated herein by reference.</w:t>
      </w:r>
    </w:p>
    <w:p>
      <w:pPr>
        <w:spacing w:after="0" w:line="194" w:lineRule="exact"/>
        <w:rPr>
          <w:sz w:val="20"/>
          <w:szCs w:val="20"/>
          <w:color w:val="auto"/>
        </w:rPr>
      </w:pPr>
    </w:p>
    <w:p>
      <w:pPr>
        <w:ind w:right="860"/>
        <w:spacing w:after="0" w:line="270" w:lineRule="auto"/>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193"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8"/>
          <w:szCs w:val="18"/>
          <w:color w:val="auto"/>
        </w:rPr>
        <w:t>Information required by this item is contained in our definitive proxy statement for the 2025 Annual Meeting of Stockholders to be filed with the SEC and is incorporated herein by reference.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241"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8"/>
          <w:szCs w:val="18"/>
          <w:color w:val="auto"/>
        </w:rPr>
        <w:t>Information required by this item is contained in our definitive proxy statement for the 2025 Annual Meeting of Stockholders to be filed with the SEC and is incorporated herein by reference.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ACCOUNTING FEES AND SERVICES.</w:t>
      </w:r>
    </w:p>
    <w:p>
      <w:pPr>
        <w:spacing w:after="0" w:line="241"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8"/>
          <w:szCs w:val="18"/>
          <w:color w:val="auto"/>
        </w:rPr>
        <w:t>Information required by this item is contained in our definitive proxy statement for the 2025 Annual Meeting of Stockholders to be filed with the SEC and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84455</wp:posOffset>
            </wp:positionV>
            <wp:extent cx="7161530"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FINANCIAL STATEMENT SCHEDULES.</w:t>
      </w:r>
    </w:p>
    <w:p>
      <w:pPr>
        <w:spacing w:after="0" w:line="241" w:lineRule="exact"/>
        <w:rPr>
          <w:sz w:val="20"/>
          <w:szCs w:val="20"/>
          <w:color w:val="auto"/>
        </w:rPr>
      </w:pPr>
    </w:p>
    <w:tbl>
      <w:tblPr>
        <w:tblLayout w:type="fixed"/>
        <w:tblInd w:w="40" w:type="dxa"/>
        <w:tblCellMar>
          <w:top w:w="0" w:type="dxa"/>
          <w:left w:w="0" w:type="dxa"/>
          <w:bottom w:w="0" w:type="dxa"/>
          <w:right w:w="0" w:type="dxa"/>
        </w:tblCellMar>
      </w:tblPr>
      <w:tr>
        <w:trPr>
          <w:trHeight w:val="228"/>
        </w:trPr>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(a)</w:t>
            </w:r>
          </w:p>
        </w:tc>
        <w:tc>
          <w:tcPr>
            <w:tcW w:w="77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The following are filed as part of this Annual Report on Form 10-K:</w:t>
            </w:r>
          </w:p>
        </w:tc>
        <w:tc>
          <w:tcPr>
            <w:tcW w:w="1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r>
      <w:tr>
        <w:trPr>
          <w:trHeight w:val="481"/>
        </w:trPr>
        <w:tc>
          <w:tcPr>
            <w:tcW w:w="8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  Index to Financial Statements</w:t>
            </w:r>
          </w:p>
        </w:tc>
        <w:tc>
          <w:tcPr>
            <w:tcW w:w="2680" w:type="dxa"/>
            <w:vAlign w:val="bottom"/>
            <w:gridSpan w:val="5"/>
          </w:tcPr>
          <w:p>
            <w:pPr>
              <w:ind w:left="840"/>
              <w:spacing w:after="0"/>
              <w:rPr>
                <w:sz w:val="20"/>
                <w:szCs w:val="20"/>
                <w:color w:val="auto"/>
              </w:rPr>
            </w:pPr>
            <w:r>
              <w:rPr>
                <w:rFonts w:ascii="Times New Roman" w:cs="Times New Roman" w:eastAsia="Times New Roman" w:hAnsi="Times New Roman"/>
                <w:sz w:val="18"/>
                <w:szCs w:val="18"/>
                <w:color w:val="auto"/>
                <w:w w:val="95"/>
              </w:rPr>
              <w:t>Page number in this report</w:t>
            </w:r>
          </w:p>
        </w:tc>
      </w:tr>
      <w:tr>
        <w:trPr>
          <w:trHeight w:val="189"/>
        </w:trPr>
        <w:tc>
          <w:tcPr>
            <w:tcW w:w="260" w:type="dxa"/>
            <w:vAlign w:val="bottom"/>
          </w:tcPr>
          <w:p>
            <w:pPr>
              <w:spacing w:after="0"/>
              <w:rPr>
                <w:sz w:val="16"/>
                <w:szCs w:val="16"/>
                <w:color w:val="auto"/>
              </w:rPr>
            </w:pPr>
          </w:p>
        </w:tc>
        <w:tc>
          <w:tcPr>
            <w:tcW w:w="7780" w:type="dxa"/>
            <w:vAlign w:val="bottom"/>
          </w:tcPr>
          <w:p>
            <w:pPr>
              <w:ind w:left="80"/>
              <w:spacing w:after="0" w:line="189" w:lineRule="exact"/>
              <w:rPr>
                <w:sz w:val="20"/>
                <w:szCs w:val="20"/>
                <w:color w:val="auto"/>
              </w:rPr>
            </w:pPr>
            <w:r>
              <w:rPr>
                <w:rFonts w:ascii="Times New Roman" w:cs="Times New Roman" w:eastAsia="Times New Roman" w:hAnsi="Times New Roman"/>
                <w:sz w:val="18"/>
                <w:szCs w:val="18"/>
                <w:color w:val="auto"/>
              </w:rPr>
              <w:t>Report of Independent Registered Public Accounting Firm (PCAOB ID: 185)</w:t>
            </w:r>
          </w:p>
        </w:tc>
        <w:tc>
          <w:tcPr>
            <w:tcW w:w="2680" w:type="dxa"/>
            <w:vAlign w:val="bottom"/>
            <w:gridSpan w:val="5"/>
          </w:tcPr>
          <w:p>
            <w:pPr>
              <w:ind w:left="840"/>
              <w:spacing w:after="0" w:line="189" w:lineRule="exact"/>
              <w:rPr>
                <w:sz w:val="20"/>
                <w:szCs w:val="20"/>
                <w:color w:val="auto"/>
              </w:rPr>
            </w:pP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color w:val="0000FF"/>
              </w:rPr>
              <w:t>38</w:t>
            </w:r>
          </w:p>
        </w:tc>
      </w:tr>
      <w:tr>
        <w:trPr>
          <w:trHeight w:val="20"/>
        </w:trPr>
        <w:tc>
          <w:tcPr>
            <w:tcW w:w="260" w:type="dxa"/>
            <w:vAlign w:val="bottom"/>
          </w:tcPr>
          <w:p>
            <w:pPr>
              <w:spacing w:after="0" w:line="20" w:lineRule="exact"/>
              <w:rPr>
                <w:sz w:val="1"/>
                <w:szCs w:val="1"/>
                <w:color w:val="auto"/>
              </w:rPr>
            </w:pPr>
          </w:p>
        </w:tc>
        <w:tc>
          <w:tcPr>
            <w:tcW w:w="77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203"/>
        </w:trPr>
        <w:tc>
          <w:tcPr>
            <w:tcW w:w="260" w:type="dxa"/>
            <w:vAlign w:val="bottom"/>
          </w:tcPr>
          <w:p>
            <w:pPr>
              <w:spacing w:after="0"/>
              <w:rPr>
                <w:sz w:val="17"/>
                <w:szCs w:val="17"/>
                <w:color w:val="auto"/>
              </w:rPr>
            </w:pPr>
          </w:p>
        </w:tc>
        <w:tc>
          <w:tcPr>
            <w:tcW w:w="7780" w:type="dxa"/>
            <w:vAlign w:val="bottom"/>
          </w:tcPr>
          <w:p>
            <w:pPr>
              <w:ind w:left="80"/>
              <w:spacing w:after="0" w:line="203" w:lineRule="exact"/>
              <w:rPr>
                <w:sz w:val="20"/>
                <w:szCs w:val="20"/>
                <w:color w:val="auto"/>
              </w:rPr>
            </w:pPr>
            <w:r>
              <w:rPr>
                <w:rFonts w:ascii="Times New Roman" w:cs="Times New Roman" w:eastAsia="Times New Roman" w:hAnsi="Times New Roman"/>
                <w:sz w:val="18"/>
                <w:szCs w:val="18"/>
                <w:color w:val="auto"/>
              </w:rPr>
              <w:t>Consolidated Statements of Operations for the three years ended September 27, 2024</w:t>
            </w:r>
          </w:p>
        </w:tc>
        <w:tc>
          <w:tcPr>
            <w:tcW w:w="2680" w:type="dxa"/>
            <w:vAlign w:val="bottom"/>
            <w:gridSpan w:val="5"/>
          </w:tcPr>
          <w:p>
            <w:pPr>
              <w:ind w:left="840"/>
              <w:spacing w:after="0" w:line="203" w:lineRule="exact"/>
              <w:rPr>
                <w:sz w:val="20"/>
                <w:szCs w:val="20"/>
                <w:color w:val="auto"/>
              </w:rPr>
            </w:pP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color w:val="0000FF"/>
              </w:rPr>
              <w:t>40</w:t>
            </w:r>
          </w:p>
        </w:tc>
      </w:tr>
      <w:tr>
        <w:trPr>
          <w:trHeight w:val="20"/>
        </w:trPr>
        <w:tc>
          <w:tcPr>
            <w:tcW w:w="260" w:type="dxa"/>
            <w:vAlign w:val="bottom"/>
          </w:tcPr>
          <w:p>
            <w:pPr>
              <w:spacing w:after="0" w:line="20" w:lineRule="exact"/>
              <w:rPr>
                <w:sz w:val="1"/>
                <w:szCs w:val="1"/>
                <w:color w:val="auto"/>
              </w:rPr>
            </w:pPr>
          </w:p>
        </w:tc>
        <w:tc>
          <w:tcPr>
            <w:tcW w:w="77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203"/>
        </w:trPr>
        <w:tc>
          <w:tcPr>
            <w:tcW w:w="260" w:type="dxa"/>
            <w:vAlign w:val="bottom"/>
          </w:tcPr>
          <w:p>
            <w:pPr>
              <w:spacing w:after="0"/>
              <w:rPr>
                <w:sz w:val="17"/>
                <w:szCs w:val="17"/>
                <w:color w:val="auto"/>
              </w:rPr>
            </w:pPr>
          </w:p>
        </w:tc>
        <w:tc>
          <w:tcPr>
            <w:tcW w:w="7780" w:type="dxa"/>
            <w:vAlign w:val="bottom"/>
          </w:tcPr>
          <w:p>
            <w:pPr>
              <w:ind w:left="80"/>
              <w:spacing w:after="0" w:line="203" w:lineRule="exact"/>
              <w:rPr>
                <w:sz w:val="20"/>
                <w:szCs w:val="20"/>
                <w:color w:val="auto"/>
              </w:rPr>
            </w:pPr>
            <w:r>
              <w:rPr>
                <w:rFonts w:ascii="Times New Roman" w:cs="Times New Roman" w:eastAsia="Times New Roman" w:hAnsi="Times New Roman"/>
                <w:sz w:val="18"/>
                <w:szCs w:val="18"/>
                <w:color w:val="auto"/>
              </w:rPr>
              <w:t>Consolidated Statements of Comprehensive Income for the three years ended September 27, 2024</w:t>
            </w:r>
          </w:p>
        </w:tc>
        <w:tc>
          <w:tcPr>
            <w:tcW w:w="2680" w:type="dxa"/>
            <w:vAlign w:val="bottom"/>
            <w:gridSpan w:val="5"/>
          </w:tcPr>
          <w:p>
            <w:pPr>
              <w:ind w:left="840"/>
              <w:spacing w:after="0" w:line="203" w:lineRule="exact"/>
              <w:rPr>
                <w:sz w:val="20"/>
                <w:szCs w:val="20"/>
                <w:color w:val="auto"/>
              </w:rPr>
            </w:pP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color w:val="0000FF"/>
              </w:rPr>
              <w:t>41</w:t>
            </w:r>
          </w:p>
        </w:tc>
      </w:tr>
      <w:tr>
        <w:trPr>
          <w:trHeight w:val="20"/>
        </w:trPr>
        <w:tc>
          <w:tcPr>
            <w:tcW w:w="260" w:type="dxa"/>
            <w:vAlign w:val="bottom"/>
          </w:tcPr>
          <w:p>
            <w:pPr>
              <w:spacing w:after="0" w:line="20" w:lineRule="exact"/>
              <w:rPr>
                <w:sz w:val="1"/>
                <w:szCs w:val="1"/>
                <w:color w:val="auto"/>
              </w:rPr>
            </w:pPr>
          </w:p>
        </w:tc>
        <w:tc>
          <w:tcPr>
            <w:tcW w:w="77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203"/>
        </w:trPr>
        <w:tc>
          <w:tcPr>
            <w:tcW w:w="260" w:type="dxa"/>
            <w:vAlign w:val="bottom"/>
          </w:tcPr>
          <w:p>
            <w:pPr>
              <w:spacing w:after="0"/>
              <w:rPr>
                <w:sz w:val="17"/>
                <w:szCs w:val="17"/>
                <w:color w:val="auto"/>
              </w:rPr>
            </w:pPr>
          </w:p>
        </w:tc>
        <w:tc>
          <w:tcPr>
            <w:tcW w:w="7780" w:type="dxa"/>
            <w:vAlign w:val="bottom"/>
          </w:tcPr>
          <w:p>
            <w:pPr>
              <w:ind w:left="80"/>
              <w:spacing w:after="0" w:line="203" w:lineRule="exact"/>
              <w:rPr>
                <w:sz w:val="20"/>
                <w:szCs w:val="20"/>
                <w:color w:val="auto"/>
              </w:rPr>
            </w:pPr>
            <w:r>
              <w:rPr>
                <w:rFonts w:ascii="Times New Roman" w:cs="Times New Roman" w:eastAsia="Times New Roman" w:hAnsi="Times New Roman"/>
                <w:sz w:val="18"/>
                <w:szCs w:val="18"/>
                <w:color w:val="auto"/>
              </w:rPr>
              <w:t>Consolidated Balance Sheets at September 27, 2024, and September 29, 2023</w:t>
            </w:r>
          </w:p>
        </w:tc>
        <w:tc>
          <w:tcPr>
            <w:tcW w:w="2680" w:type="dxa"/>
            <w:vAlign w:val="bottom"/>
            <w:gridSpan w:val="5"/>
          </w:tcPr>
          <w:p>
            <w:pPr>
              <w:ind w:left="840"/>
              <w:spacing w:after="0" w:line="203" w:lineRule="exact"/>
              <w:rPr>
                <w:sz w:val="20"/>
                <w:szCs w:val="20"/>
                <w:color w:val="auto"/>
              </w:rPr>
            </w:pP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color w:val="0000FF"/>
              </w:rPr>
              <w:t>42</w:t>
            </w:r>
          </w:p>
        </w:tc>
      </w:tr>
      <w:tr>
        <w:trPr>
          <w:trHeight w:val="20"/>
        </w:trPr>
        <w:tc>
          <w:tcPr>
            <w:tcW w:w="260" w:type="dxa"/>
            <w:vAlign w:val="bottom"/>
          </w:tcPr>
          <w:p>
            <w:pPr>
              <w:spacing w:after="0" w:line="20" w:lineRule="exact"/>
              <w:rPr>
                <w:sz w:val="1"/>
                <w:szCs w:val="1"/>
                <w:color w:val="auto"/>
              </w:rPr>
            </w:pPr>
          </w:p>
        </w:tc>
        <w:tc>
          <w:tcPr>
            <w:tcW w:w="77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203"/>
        </w:trPr>
        <w:tc>
          <w:tcPr>
            <w:tcW w:w="260" w:type="dxa"/>
            <w:vAlign w:val="bottom"/>
          </w:tcPr>
          <w:p>
            <w:pPr>
              <w:spacing w:after="0"/>
              <w:rPr>
                <w:sz w:val="17"/>
                <w:szCs w:val="17"/>
                <w:color w:val="auto"/>
              </w:rPr>
            </w:pPr>
          </w:p>
        </w:tc>
        <w:tc>
          <w:tcPr>
            <w:tcW w:w="7780" w:type="dxa"/>
            <w:vAlign w:val="bottom"/>
          </w:tcPr>
          <w:p>
            <w:pPr>
              <w:ind w:left="80"/>
              <w:spacing w:after="0" w:line="203" w:lineRule="exact"/>
              <w:rPr>
                <w:sz w:val="20"/>
                <w:szCs w:val="20"/>
                <w:color w:val="auto"/>
              </w:rPr>
            </w:pPr>
            <w:r>
              <w:rPr>
                <w:rFonts w:ascii="Times New Roman" w:cs="Times New Roman" w:eastAsia="Times New Roman" w:hAnsi="Times New Roman"/>
                <w:sz w:val="18"/>
                <w:szCs w:val="18"/>
                <w:color w:val="auto"/>
              </w:rPr>
              <w:t>Consolidated Statements of Cash Flows for the three years ended September 27, 2024</w:t>
            </w:r>
          </w:p>
        </w:tc>
        <w:tc>
          <w:tcPr>
            <w:tcW w:w="2680" w:type="dxa"/>
            <w:vAlign w:val="bottom"/>
            <w:gridSpan w:val="5"/>
          </w:tcPr>
          <w:p>
            <w:pPr>
              <w:ind w:left="840"/>
              <w:spacing w:after="0" w:line="203" w:lineRule="exact"/>
              <w:rPr>
                <w:sz w:val="20"/>
                <w:szCs w:val="20"/>
                <w:color w:val="auto"/>
              </w:rPr>
            </w:pP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color w:val="0000FF"/>
              </w:rPr>
              <w:t>43</w:t>
            </w:r>
          </w:p>
        </w:tc>
      </w:tr>
      <w:tr>
        <w:trPr>
          <w:trHeight w:val="20"/>
        </w:trPr>
        <w:tc>
          <w:tcPr>
            <w:tcW w:w="260" w:type="dxa"/>
            <w:vAlign w:val="bottom"/>
          </w:tcPr>
          <w:p>
            <w:pPr>
              <w:spacing w:after="0" w:line="20" w:lineRule="exact"/>
              <w:rPr>
                <w:sz w:val="1"/>
                <w:szCs w:val="1"/>
                <w:color w:val="auto"/>
              </w:rPr>
            </w:pPr>
          </w:p>
        </w:tc>
        <w:tc>
          <w:tcPr>
            <w:tcW w:w="77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203"/>
        </w:trPr>
        <w:tc>
          <w:tcPr>
            <w:tcW w:w="260" w:type="dxa"/>
            <w:vAlign w:val="bottom"/>
          </w:tcPr>
          <w:p>
            <w:pPr>
              <w:spacing w:after="0"/>
              <w:rPr>
                <w:sz w:val="17"/>
                <w:szCs w:val="17"/>
                <w:color w:val="auto"/>
              </w:rPr>
            </w:pPr>
          </w:p>
        </w:tc>
        <w:tc>
          <w:tcPr>
            <w:tcW w:w="7780" w:type="dxa"/>
            <w:vAlign w:val="bottom"/>
          </w:tcPr>
          <w:p>
            <w:pPr>
              <w:ind w:left="80"/>
              <w:spacing w:after="0" w:line="203" w:lineRule="exact"/>
              <w:rPr>
                <w:sz w:val="20"/>
                <w:szCs w:val="20"/>
                <w:color w:val="auto"/>
              </w:rPr>
            </w:pPr>
            <w:r>
              <w:rPr>
                <w:rFonts w:ascii="Times New Roman" w:cs="Times New Roman" w:eastAsia="Times New Roman" w:hAnsi="Times New Roman"/>
                <w:sz w:val="18"/>
                <w:szCs w:val="18"/>
                <w:color w:val="auto"/>
              </w:rPr>
              <w:t>Consolidated Statements of Stockholders’ Equity for the three years ended September 27, 2024</w:t>
            </w:r>
          </w:p>
        </w:tc>
        <w:tc>
          <w:tcPr>
            <w:tcW w:w="2680" w:type="dxa"/>
            <w:vAlign w:val="bottom"/>
            <w:gridSpan w:val="5"/>
          </w:tcPr>
          <w:p>
            <w:pPr>
              <w:ind w:left="840"/>
              <w:spacing w:after="0" w:line="203" w:lineRule="exact"/>
              <w:rPr>
                <w:sz w:val="20"/>
                <w:szCs w:val="20"/>
                <w:color w:val="auto"/>
              </w:rPr>
            </w:pP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color w:val="0000FF"/>
              </w:rPr>
              <w:t>44</w:t>
            </w:r>
          </w:p>
        </w:tc>
      </w:tr>
      <w:tr>
        <w:trPr>
          <w:trHeight w:val="20"/>
        </w:trPr>
        <w:tc>
          <w:tcPr>
            <w:tcW w:w="260" w:type="dxa"/>
            <w:vAlign w:val="bottom"/>
          </w:tcPr>
          <w:p>
            <w:pPr>
              <w:spacing w:after="0" w:line="20" w:lineRule="exact"/>
              <w:rPr>
                <w:sz w:val="1"/>
                <w:szCs w:val="1"/>
                <w:color w:val="auto"/>
              </w:rPr>
            </w:pPr>
          </w:p>
        </w:tc>
        <w:tc>
          <w:tcPr>
            <w:tcW w:w="77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203"/>
        </w:trPr>
        <w:tc>
          <w:tcPr>
            <w:tcW w:w="260" w:type="dxa"/>
            <w:vAlign w:val="bottom"/>
          </w:tcPr>
          <w:p>
            <w:pPr>
              <w:spacing w:after="0"/>
              <w:rPr>
                <w:sz w:val="17"/>
                <w:szCs w:val="17"/>
                <w:color w:val="auto"/>
              </w:rPr>
            </w:pPr>
          </w:p>
        </w:tc>
        <w:tc>
          <w:tcPr>
            <w:tcW w:w="7780" w:type="dxa"/>
            <w:vAlign w:val="bottom"/>
          </w:tcPr>
          <w:p>
            <w:pPr>
              <w:ind w:left="80"/>
              <w:spacing w:after="0" w:line="203" w:lineRule="exact"/>
              <w:rPr>
                <w:sz w:val="20"/>
                <w:szCs w:val="20"/>
                <w:color w:val="auto"/>
              </w:rPr>
            </w:pPr>
            <w:r>
              <w:rPr>
                <w:rFonts w:ascii="Times New Roman" w:cs="Times New Roman" w:eastAsia="Times New Roman" w:hAnsi="Times New Roman"/>
                <w:sz w:val="18"/>
                <w:szCs w:val="18"/>
                <w:color w:val="auto"/>
              </w:rPr>
              <w:t>Notes to Consolidated Financial Statements</w:t>
            </w:r>
          </w:p>
        </w:tc>
        <w:tc>
          <w:tcPr>
            <w:tcW w:w="2680" w:type="dxa"/>
            <w:vAlign w:val="bottom"/>
            <w:gridSpan w:val="5"/>
          </w:tcPr>
          <w:p>
            <w:pPr>
              <w:ind w:left="840"/>
              <w:spacing w:after="0" w:line="203" w:lineRule="exact"/>
              <w:rPr>
                <w:sz w:val="20"/>
                <w:szCs w:val="20"/>
                <w:color w:val="auto"/>
              </w:rPr>
            </w:pP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color w:val="0000FF"/>
              </w:rPr>
              <w:t>45</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color w:val="0000FF"/>
              </w:rPr>
              <w:t>63</w:t>
            </w:r>
          </w:p>
        </w:tc>
      </w:tr>
      <w:tr>
        <w:trPr>
          <w:trHeight w:val="20"/>
        </w:trPr>
        <w:tc>
          <w:tcPr>
            <w:tcW w:w="260" w:type="dxa"/>
            <w:vAlign w:val="bottom"/>
          </w:tcPr>
          <w:p>
            <w:pPr>
              <w:spacing w:after="0" w:line="20" w:lineRule="exact"/>
              <w:rPr>
                <w:sz w:val="1"/>
                <w:szCs w:val="1"/>
                <w:color w:val="auto"/>
              </w:rPr>
            </w:pPr>
          </w:p>
        </w:tc>
        <w:tc>
          <w:tcPr>
            <w:tcW w:w="77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bl>
    <w:p>
      <w:pPr>
        <w:spacing w:after="0" w:line="284" w:lineRule="exact"/>
        <w:rPr>
          <w:sz w:val="20"/>
          <w:szCs w:val="20"/>
          <w:color w:val="auto"/>
        </w:rPr>
      </w:pPr>
    </w:p>
    <w:p>
      <w:pPr>
        <w:ind w:left="380" w:hanging="318"/>
        <w:spacing w:after="0"/>
        <w:tabs>
          <w:tab w:leader="none" w:pos="3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schedule listed below is filed as part of this Annual Report on Form 10-K:</w:t>
      </w:r>
    </w:p>
    <w:p>
      <w:pPr>
        <w:spacing w:after="0" w:line="20" w:lineRule="exact"/>
        <w:rPr>
          <w:rFonts w:ascii="Times New Roman" w:cs="Times New Roman" w:eastAsia="Times New Roman" w:hAnsi="Times New Roman"/>
          <w:sz w:val="18"/>
          <w:szCs w:val="18"/>
          <w:color w:val="auto"/>
        </w:rPr>
      </w:pPr>
    </w:p>
    <w:p>
      <w:pPr>
        <w:ind w:left="380" w:right="2360"/>
        <w:spacing w:after="0" w:line="22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required schedule information is included in the Notes to Consolidated Financial Statements or is omitted because it is either not required or not applicable.</w:t>
      </w:r>
    </w:p>
    <w:p>
      <w:pPr>
        <w:spacing w:after="0" w:line="8" w:lineRule="exact"/>
        <w:rPr>
          <w:rFonts w:ascii="Times New Roman" w:cs="Times New Roman" w:eastAsia="Times New Roman" w:hAnsi="Times New Roman"/>
          <w:sz w:val="18"/>
          <w:szCs w:val="18"/>
          <w:color w:val="auto"/>
        </w:rPr>
      </w:pPr>
    </w:p>
    <w:p>
      <w:pPr>
        <w:ind w:left="380" w:right="2360" w:hanging="318"/>
        <w:spacing w:after="0" w:line="231" w:lineRule="auto"/>
        <w:tabs>
          <w:tab w:leader="none" w:pos="3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Exhibits listed in the Exhibit Index immediately following this Item 15 are filed as a part of this Annual Report on Form 10-K.</w:t>
      </w:r>
    </w:p>
    <w:p>
      <w:pPr>
        <w:spacing w:after="0" w:line="324" w:lineRule="exact"/>
        <w:rPr>
          <w:sz w:val="20"/>
          <w:szCs w:val="20"/>
          <w:color w:val="auto"/>
        </w:rPr>
      </w:pPr>
    </w:p>
    <w:p>
      <w:pPr>
        <w:ind w:left="600" w:hanging="556"/>
        <w:spacing w:after="0"/>
        <w:tabs>
          <w:tab w:leader="none" w:pos="6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39" w:lineRule="exact"/>
        <w:rPr>
          <w:sz w:val="20"/>
          <w:szCs w:val="20"/>
          <w:color w:val="auto"/>
        </w:rPr>
      </w:pPr>
    </w:p>
    <w:p>
      <w:pPr>
        <w:ind w:left="320"/>
        <w:spacing w:after="0" w:line="267" w:lineRule="auto"/>
        <w:rPr>
          <w:sz w:val="20"/>
          <w:szCs w:val="20"/>
          <w:color w:val="auto"/>
        </w:rPr>
      </w:pPr>
      <w:r>
        <w:rPr>
          <w:rFonts w:ascii="Times New Roman" w:cs="Times New Roman" w:eastAsia="Times New Roman" w:hAnsi="Times New Roman"/>
          <w:sz w:val="18"/>
          <w:szCs w:val="18"/>
          <w:color w:val="auto"/>
        </w:rPr>
        <w:t>The exhibits required by Item 601 of Regulation S-K are filed herewith and incorporated by reference herein. The response to this portion of Item 15 is submitted under Item 15 (a) (3).</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84455</wp:posOffset>
            </wp:positionV>
            <wp:extent cx="7161530"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97"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280" w:type="dxa"/>
            <w:vAlign w:val="bottom"/>
            <w:gridSpan w:val="3"/>
          </w:tcPr>
          <w:p>
            <w:pPr>
              <w:ind w:left="82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Filed</w:t>
            </w:r>
          </w:p>
        </w:tc>
        <w:tc>
          <w:tcPr>
            <w:tcW w:w="0" w:type="dxa"/>
            <w:vAlign w:val="bottom"/>
          </w:tcPr>
          <w:p>
            <w:pPr>
              <w:spacing w:after="0"/>
              <w:rPr>
                <w:sz w:val="1"/>
                <w:szCs w:val="1"/>
                <w:color w:val="auto"/>
              </w:rPr>
            </w:pPr>
          </w:p>
        </w:tc>
      </w:tr>
      <w:tr>
        <w:trPr>
          <w:trHeight w:val="50"/>
        </w:trPr>
        <w:tc>
          <w:tcPr>
            <w:tcW w:w="1300" w:type="dxa"/>
            <w:vAlign w:val="bottom"/>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Exhibit Number</w:t>
            </w:r>
          </w:p>
        </w:tc>
        <w:tc>
          <w:tcPr>
            <w:tcW w:w="6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3060" w:type="dxa"/>
            <w:vAlign w:val="bottom"/>
            <w:gridSpan w:val="29"/>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960" w:type="dxa"/>
            <w:vAlign w:val="bottom"/>
            <w:vMerge w:val="restart"/>
          </w:tcPr>
          <w:p>
            <w:pPr>
              <w:jc w:val="center"/>
              <w:ind w:right="13"/>
              <w:spacing w:after="0"/>
              <w:rPr>
                <w:sz w:val="20"/>
                <w:szCs w:val="20"/>
                <w:color w:val="auto"/>
              </w:rPr>
            </w:pPr>
            <w:r>
              <w:rPr>
                <w:rFonts w:ascii="Times New Roman" w:cs="Times New Roman" w:eastAsia="Times New Roman" w:hAnsi="Times New Roman"/>
                <w:sz w:val="14"/>
                <w:szCs w:val="14"/>
                <w:b w:val="1"/>
                <w:bCs w:val="1"/>
                <w:color w:val="auto"/>
              </w:rPr>
              <w:t>Form</w:t>
            </w: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File No.</w:t>
            </w:r>
          </w:p>
        </w:tc>
        <w:tc>
          <w:tcPr>
            <w:tcW w:w="920" w:type="dxa"/>
            <w:vAlign w:val="bottom"/>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160" w:type="dxa"/>
            <w:vAlign w:val="bottom"/>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8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4"/>
        </w:trPr>
        <w:tc>
          <w:tcPr>
            <w:tcW w:w="1300" w:type="dxa"/>
            <w:vAlign w:val="bottom"/>
            <w:tcBorders>
              <w:bottom w:val="single" w:sz="8" w:color="auto"/>
            </w:tcBorders>
            <w:vMerge w:val="continue"/>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060" w:type="dxa"/>
            <w:vAlign w:val="bottom"/>
            <w:tcBorders>
              <w:bottom w:val="single" w:sz="8" w:color="auto"/>
            </w:tcBorders>
            <w:gridSpan w:val="29"/>
            <w:vMerge w:val="continue"/>
          </w:tcPr>
          <w:p>
            <w:pPr>
              <w:spacing w:after="0"/>
              <w:rPr>
                <w:sz w:val="15"/>
                <w:szCs w:val="15"/>
                <w:color w:val="auto"/>
              </w:rPr>
            </w:pPr>
          </w:p>
        </w:tc>
        <w:tc>
          <w:tcPr>
            <w:tcW w:w="960" w:type="dxa"/>
            <w:vAlign w:val="bottom"/>
            <w:tcBorders>
              <w:bottom w:val="single" w:sz="8" w:color="auto"/>
            </w:tcBorders>
            <w:vMerge w:val="continue"/>
          </w:tcPr>
          <w:p>
            <w:pPr>
              <w:spacing w:after="0"/>
              <w:rPr>
                <w:sz w:val="15"/>
                <w:szCs w:val="15"/>
                <w:color w:val="auto"/>
              </w:rPr>
            </w:pPr>
          </w:p>
        </w:tc>
        <w:tc>
          <w:tcPr>
            <w:tcW w:w="1200" w:type="dxa"/>
            <w:vAlign w:val="bottom"/>
            <w:tcBorders>
              <w:bottom w:val="single" w:sz="8" w:color="auto"/>
            </w:tcBorders>
            <w:vMerge w:val="continue"/>
          </w:tcPr>
          <w:p>
            <w:pPr>
              <w:spacing w:after="0"/>
              <w:rPr>
                <w:sz w:val="15"/>
                <w:szCs w:val="15"/>
                <w:color w:val="auto"/>
              </w:rPr>
            </w:pPr>
          </w:p>
        </w:tc>
        <w:tc>
          <w:tcPr>
            <w:tcW w:w="920" w:type="dxa"/>
            <w:vAlign w:val="bottom"/>
            <w:tcBorders>
              <w:bottom w:val="single" w:sz="8" w:color="auto"/>
            </w:tcBorders>
            <w:vMerge w:val="continue"/>
          </w:tcPr>
          <w:p>
            <w:pPr>
              <w:spacing w:after="0"/>
              <w:rPr>
                <w:sz w:val="15"/>
                <w:szCs w:val="15"/>
                <w:color w:val="auto"/>
              </w:rPr>
            </w:pPr>
          </w:p>
        </w:tc>
        <w:tc>
          <w:tcPr>
            <w:tcW w:w="1160" w:type="dxa"/>
            <w:vAlign w:val="bottom"/>
            <w:tcBorders>
              <w:bottom w:val="single" w:sz="8" w:color="auto"/>
            </w:tcBorders>
            <w:vMerge w:val="continue"/>
          </w:tcPr>
          <w:p>
            <w:pPr>
              <w:spacing w:after="0"/>
              <w:rPr>
                <w:sz w:val="15"/>
                <w:szCs w:val="15"/>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Herewith</w:t>
            </w:r>
          </w:p>
        </w:tc>
        <w:tc>
          <w:tcPr>
            <w:tcW w:w="0" w:type="dxa"/>
            <w:vAlign w:val="bottom"/>
          </w:tcPr>
          <w:p>
            <w:pPr>
              <w:spacing w:after="0"/>
              <w:rPr>
                <w:sz w:val="1"/>
                <w:szCs w:val="1"/>
                <w:color w:val="auto"/>
              </w:rPr>
            </w:pPr>
          </w:p>
        </w:tc>
      </w:tr>
      <w:tr>
        <w:trPr>
          <w:trHeight w:val="177"/>
        </w:trPr>
        <w:tc>
          <w:tcPr>
            <w:tcW w:w="130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w w:val="96"/>
              </w:rPr>
              <w:t>2.1^</w:t>
            </w:r>
          </w:p>
        </w:tc>
        <w:tc>
          <w:tcPr>
            <w:tcW w:w="4340" w:type="dxa"/>
            <w:vAlign w:val="bottom"/>
            <w:gridSpan w:val="34"/>
          </w:tcPr>
          <w:p>
            <w:pPr>
              <w:spacing w:after="0" w:line="177" w:lineRule="exact"/>
              <w:rPr>
                <w:rFonts w:ascii="Times New Roman" w:cs="Times New Roman" w:eastAsia="Times New Roman" w:hAnsi="Times New Roman"/>
                <w:sz w:val="18"/>
                <w:szCs w:val="18"/>
                <w:color w:val="0000FF"/>
              </w:rPr>
            </w:pPr>
            <w:hyperlink r:id="rId81">
              <w:r>
                <w:rPr>
                  <w:rFonts w:ascii="Times New Roman" w:cs="Times New Roman" w:eastAsia="Times New Roman" w:hAnsi="Times New Roman"/>
                  <w:sz w:val="18"/>
                  <w:szCs w:val="18"/>
                  <w:color w:val="0000FF"/>
                </w:rPr>
                <w:t>Asset Purchase Agreement, dated as of April 22, 2021, by</w:t>
              </w:r>
            </w:hyperlink>
          </w:p>
        </w:tc>
        <w:tc>
          <w:tcPr>
            <w:tcW w:w="960" w:type="dxa"/>
            <w:vAlign w:val="bottom"/>
          </w:tcPr>
          <w:p>
            <w:pPr>
              <w:jc w:val="center"/>
              <w:ind w:right="13"/>
              <w:spacing w:after="0" w:line="177" w:lineRule="exact"/>
              <w:rPr>
                <w:sz w:val="20"/>
                <w:szCs w:val="20"/>
                <w:color w:val="auto"/>
              </w:rPr>
            </w:pPr>
            <w:r>
              <w:rPr>
                <w:rFonts w:ascii="Times New Roman" w:cs="Times New Roman" w:eastAsia="Times New Roman" w:hAnsi="Times New Roman"/>
                <w:sz w:val="18"/>
                <w:szCs w:val="18"/>
                <w:color w:val="auto"/>
                <w:w w:val="92"/>
              </w:rPr>
              <w:t>8-K</w:t>
            </w:r>
          </w:p>
        </w:tc>
        <w:tc>
          <w:tcPr>
            <w:tcW w:w="120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w w:val="97"/>
              </w:rPr>
              <w:t>001-05560</w:t>
            </w:r>
          </w:p>
        </w:tc>
        <w:tc>
          <w:tcPr>
            <w:tcW w:w="92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w w:val="97"/>
              </w:rPr>
              <w:t>2.1</w:t>
            </w:r>
          </w:p>
        </w:tc>
        <w:tc>
          <w:tcPr>
            <w:tcW w:w="116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w w:val="95"/>
              </w:rPr>
              <w:t>4/22/2021</w:t>
            </w: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1"/>
        </w:trPr>
        <w:tc>
          <w:tcPr>
            <w:tcW w:w="1300" w:type="dxa"/>
            <w:vAlign w:val="bottom"/>
          </w:tcPr>
          <w:p>
            <w:pPr>
              <w:spacing w:after="0"/>
              <w:rPr>
                <w:sz w:val="13"/>
                <w:szCs w:val="13"/>
                <w:color w:val="auto"/>
              </w:rPr>
            </w:pPr>
          </w:p>
        </w:tc>
        <w:tc>
          <w:tcPr>
            <w:tcW w:w="4120" w:type="dxa"/>
            <w:vAlign w:val="bottom"/>
            <w:tcBorders>
              <w:top w:val="single" w:sz="8" w:color="0000FF"/>
            </w:tcBorders>
            <w:gridSpan w:val="28"/>
          </w:tcPr>
          <w:p>
            <w:pPr>
              <w:spacing w:after="0" w:line="151" w:lineRule="exact"/>
              <w:rPr>
                <w:rFonts w:ascii="Times New Roman" w:cs="Times New Roman" w:eastAsia="Times New Roman" w:hAnsi="Times New Roman"/>
                <w:sz w:val="16"/>
                <w:szCs w:val="16"/>
                <w:color w:val="0000FF"/>
              </w:rPr>
            </w:pPr>
            <w:hyperlink r:id="rId81">
              <w:r>
                <w:rPr>
                  <w:rFonts w:ascii="Times New Roman" w:cs="Times New Roman" w:eastAsia="Times New Roman" w:hAnsi="Times New Roman"/>
                  <w:sz w:val="16"/>
                  <w:szCs w:val="16"/>
                  <w:color w:val="0000FF"/>
                </w:rPr>
                <w:t>and between Skyworks Solutions, Inc., and Silicon</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1300" w:type="dxa"/>
            <w:vAlign w:val="bottom"/>
          </w:tcPr>
          <w:p>
            <w:pPr>
              <w:spacing w:after="0"/>
              <w:rPr>
                <w:sz w:val="14"/>
                <w:szCs w:val="14"/>
                <w:color w:val="auto"/>
              </w:rPr>
            </w:pPr>
          </w:p>
        </w:tc>
        <w:tc>
          <w:tcPr>
            <w:tcW w:w="3580" w:type="dxa"/>
            <w:vAlign w:val="bottom"/>
            <w:tcBorders>
              <w:top w:val="single" w:sz="8" w:color="0000FF"/>
            </w:tcBorders>
            <w:gridSpan w:val="14"/>
          </w:tcPr>
          <w:p>
            <w:pPr>
              <w:spacing w:after="0" w:line="164" w:lineRule="exact"/>
              <w:rPr>
                <w:rFonts w:ascii="Times New Roman" w:cs="Times New Roman" w:eastAsia="Times New Roman" w:hAnsi="Times New Roman"/>
                <w:sz w:val="18"/>
                <w:szCs w:val="18"/>
                <w:color w:val="0000FF"/>
              </w:rPr>
            </w:pPr>
            <w:hyperlink r:id="rId81">
              <w:r>
                <w:rPr>
                  <w:rFonts w:ascii="Times New Roman" w:cs="Times New Roman" w:eastAsia="Times New Roman" w:hAnsi="Times New Roman"/>
                  <w:sz w:val="18"/>
                  <w:szCs w:val="18"/>
                  <w:color w:val="0000FF"/>
                </w:rPr>
                <w:t>Laboratories Inc.</w:t>
              </w:r>
            </w:hyperlink>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300" w:type="dxa"/>
            <w:vAlign w:val="bottom"/>
          </w:tcPr>
          <w:p>
            <w:pPr>
              <w:jc w:val="center"/>
              <w:spacing w:after="0" w:line="203" w:lineRule="exact"/>
              <w:rPr>
                <w:sz w:val="20"/>
                <w:szCs w:val="20"/>
                <w:color w:val="auto"/>
              </w:rPr>
            </w:pPr>
            <w:r>
              <w:rPr>
                <w:rFonts w:ascii="Times New Roman" w:cs="Times New Roman" w:eastAsia="Times New Roman" w:hAnsi="Times New Roman"/>
                <w:sz w:val="18"/>
                <w:szCs w:val="18"/>
                <w:color w:val="auto"/>
                <w:w w:val="97"/>
              </w:rPr>
              <w:t>3.1</w:t>
            </w:r>
          </w:p>
        </w:tc>
        <w:tc>
          <w:tcPr>
            <w:tcW w:w="2580" w:type="dxa"/>
            <w:vAlign w:val="bottom"/>
            <w:tcBorders>
              <w:bottom w:val="single" w:sz="8" w:color="0000FF"/>
            </w:tcBorders>
            <w:gridSpan w:val="7"/>
          </w:tcPr>
          <w:p>
            <w:pPr>
              <w:spacing w:after="0" w:line="203" w:lineRule="exact"/>
              <w:rPr>
                <w:rFonts w:ascii="Times New Roman" w:cs="Times New Roman" w:eastAsia="Times New Roman" w:hAnsi="Times New Roman"/>
                <w:sz w:val="18"/>
                <w:szCs w:val="18"/>
                <w:color w:val="0000FF"/>
                <w:w w:val="96"/>
              </w:rPr>
            </w:pPr>
            <w:hyperlink r:id="rId82">
              <w:r>
                <w:rPr>
                  <w:rFonts w:ascii="Times New Roman" w:cs="Times New Roman" w:eastAsia="Times New Roman" w:hAnsi="Times New Roman"/>
                  <w:sz w:val="18"/>
                  <w:szCs w:val="18"/>
                  <w:color w:val="0000FF"/>
                  <w:w w:val="96"/>
                </w:rPr>
                <w:t>Restated Certificate of Incorporation</w:t>
              </w:r>
            </w:hyperlink>
          </w:p>
        </w:tc>
        <w:tc>
          <w:tcPr>
            <w:tcW w:w="1760" w:type="dxa"/>
            <w:vAlign w:val="bottom"/>
            <w:gridSpan w:val="27"/>
          </w:tcPr>
          <w:p>
            <w:pPr>
              <w:spacing w:after="0"/>
              <w:rPr>
                <w:sz w:val="17"/>
                <w:szCs w:val="17"/>
                <w:color w:val="auto"/>
              </w:rPr>
            </w:pPr>
          </w:p>
        </w:tc>
        <w:tc>
          <w:tcPr>
            <w:tcW w:w="960" w:type="dxa"/>
            <w:vAlign w:val="bottom"/>
          </w:tcPr>
          <w:p>
            <w:pPr>
              <w:jc w:val="center"/>
              <w:spacing w:after="0" w:line="203" w:lineRule="exact"/>
              <w:rPr>
                <w:sz w:val="20"/>
                <w:szCs w:val="20"/>
                <w:color w:val="auto"/>
              </w:rPr>
            </w:pPr>
            <w:r>
              <w:rPr>
                <w:rFonts w:ascii="Times New Roman" w:cs="Times New Roman" w:eastAsia="Times New Roman" w:hAnsi="Times New Roman"/>
                <w:sz w:val="18"/>
                <w:szCs w:val="18"/>
                <w:color w:val="auto"/>
                <w:w w:val="97"/>
              </w:rPr>
              <w:t>10-Q</w:t>
            </w:r>
          </w:p>
        </w:tc>
        <w:tc>
          <w:tcPr>
            <w:tcW w:w="1200" w:type="dxa"/>
            <w:vAlign w:val="bottom"/>
          </w:tcPr>
          <w:p>
            <w:pPr>
              <w:jc w:val="center"/>
              <w:spacing w:after="0" w:line="203" w:lineRule="exact"/>
              <w:rPr>
                <w:sz w:val="20"/>
                <w:szCs w:val="20"/>
                <w:color w:val="auto"/>
              </w:rPr>
            </w:pPr>
            <w:r>
              <w:rPr>
                <w:rFonts w:ascii="Times New Roman" w:cs="Times New Roman" w:eastAsia="Times New Roman" w:hAnsi="Times New Roman"/>
                <w:sz w:val="18"/>
                <w:szCs w:val="18"/>
                <w:color w:val="auto"/>
                <w:w w:val="97"/>
              </w:rPr>
              <w:t>001-05560</w:t>
            </w:r>
          </w:p>
        </w:tc>
        <w:tc>
          <w:tcPr>
            <w:tcW w:w="920" w:type="dxa"/>
            <w:vAlign w:val="bottom"/>
          </w:tcPr>
          <w:p>
            <w:pPr>
              <w:jc w:val="center"/>
              <w:spacing w:after="0" w:line="203" w:lineRule="exact"/>
              <w:rPr>
                <w:sz w:val="20"/>
                <w:szCs w:val="20"/>
                <w:color w:val="auto"/>
              </w:rPr>
            </w:pPr>
            <w:r>
              <w:rPr>
                <w:rFonts w:ascii="Times New Roman" w:cs="Times New Roman" w:eastAsia="Times New Roman" w:hAnsi="Times New Roman"/>
                <w:sz w:val="18"/>
                <w:szCs w:val="18"/>
                <w:color w:val="auto"/>
                <w:w w:val="97"/>
              </w:rPr>
              <w:t>3.1</w:t>
            </w:r>
          </w:p>
        </w:tc>
        <w:tc>
          <w:tcPr>
            <w:tcW w:w="1160" w:type="dxa"/>
            <w:vAlign w:val="bottom"/>
          </w:tcPr>
          <w:p>
            <w:pPr>
              <w:jc w:val="center"/>
              <w:spacing w:after="0" w:line="203" w:lineRule="exact"/>
              <w:rPr>
                <w:sz w:val="20"/>
                <w:szCs w:val="20"/>
                <w:color w:val="auto"/>
              </w:rPr>
            </w:pPr>
            <w:r>
              <w:rPr>
                <w:rFonts w:ascii="Times New Roman" w:cs="Times New Roman" w:eastAsia="Times New Roman" w:hAnsi="Times New Roman"/>
                <w:sz w:val="18"/>
                <w:szCs w:val="18"/>
                <w:color w:val="auto"/>
                <w:w w:val="96"/>
              </w:rPr>
              <w:t>8/8/2023</w:t>
            </w: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00" w:type="dxa"/>
            <w:vAlign w:val="bottom"/>
          </w:tcPr>
          <w:p>
            <w:pPr>
              <w:jc w:val="center"/>
              <w:spacing w:after="0" w:line="203" w:lineRule="exact"/>
              <w:rPr>
                <w:sz w:val="20"/>
                <w:szCs w:val="20"/>
                <w:color w:val="auto"/>
              </w:rPr>
            </w:pPr>
            <w:r>
              <w:rPr>
                <w:rFonts w:ascii="Times New Roman" w:cs="Times New Roman" w:eastAsia="Times New Roman" w:hAnsi="Times New Roman"/>
                <w:sz w:val="18"/>
                <w:szCs w:val="18"/>
                <w:color w:val="auto"/>
                <w:w w:val="97"/>
              </w:rPr>
              <w:t>3.2</w:t>
            </w:r>
          </w:p>
        </w:tc>
        <w:tc>
          <w:tcPr>
            <w:tcW w:w="4340" w:type="dxa"/>
            <w:vAlign w:val="bottom"/>
            <w:gridSpan w:val="34"/>
          </w:tcPr>
          <w:p>
            <w:pPr>
              <w:spacing w:after="0" w:line="203" w:lineRule="exact"/>
              <w:rPr>
                <w:rFonts w:ascii="Times New Roman" w:cs="Times New Roman" w:eastAsia="Times New Roman" w:hAnsi="Times New Roman"/>
                <w:sz w:val="18"/>
                <w:szCs w:val="18"/>
                <w:color w:val="0000FF"/>
              </w:rPr>
            </w:pPr>
            <w:hyperlink r:id="rId83">
              <w:r>
                <w:rPr>
                  <w:rFonts w:ascii="Times New Roman" w:cs="Times New Roman" w:eastAsia="Times New Roman" w:hAnsi="Times New Roman"/>
                  <w:sz w:val="18"/>
                  <w:szCs w:val="18"/>
                  <w:color w:val="0000FF"/>
                </w:rPr>
                <w:t>Fourth Amended and Restated By-laws</w:t>
              </w:r>
            </w:hyperlink>
          </w:p>
        </w:tc>
        <w:tc>
          <w:tcPr>
            <w:tcW w:w="960" w:type="dxa"/>
            <w:vAlign w:val="bottom"/>
          </w:tcPr>
          <w:p>
            <w:pPr>
              <w:jc w:val="center"/>
              <w:ind w:right="13"/>
              <w:spacing w:after="0" w:line="203" w:lineRule="exact"/>
              <w:rPr>
                <w:sz w:val="20"/>
                <w:szCs w:val="20"/>
                <w:color w:val="auto"/>
              </w:rPr>
            </w:pPr>
            <w:r>
              <w:rPr>
                <w:rFonts w:ascii="Times New Roman" w:cs="Times New Roman" w:eastAsia="Times New Roman" w:hAnsi="Times New Roman"/>
                <w:sz w:val="18"/>
                <w:szCs w:val="18"/>
                <w:color w:val="auto"/>
                <w:w w:val="92"/>
              </w:rPr>
              <w:t>8-K</w:t>
            </w:r>
          </w:p>
        </w:tc>
        <w:tc>
          <w:tcPr>
            <w:tcW w:w="1200" w:type="dxa"/>
            <w:vAlign w:val="bottom"/>
          </w:tcPr>
          <w:p>
            <w:pPr>
              <w:jc w:val="center"/>
              <w:spacing w:after="0" w:line="203" w:lineRule="exact"/>
              <w:rPr>
                <w:sz w:val="20"/>
                <w:szCs w:val="20"/>
                <w:color w:val="auto"/>
              </w:rPr>
            </w:pPr>
            <w:r>
              <w:rPr>
                <w:rFonts w:ascii="Times New Roman" w:cs="Times New Roman" w:eastAsia="Times New Roman" w:hAnsi="Times New Roman"/>
                <w:sz w:val="18"/>
                <w:szCs w:val="18"/>
                <w:color w:val="auto"/>
                <w:w w:val="97"/>
              </w:rPr>
              <w:t>001-05560</w:t>
            </w:r>
          </w:p>
        </w:tc>
        <w:tc>
          <w:tcPr>
            <w:tcW w:w="920" w:type="dxa"/>
            <w:vAlign w:val="bottom"/>
          </w:tcPr>
          <w:p>
            <w:pPr>
              <w:jc w:val="center"/>
              <w:spacing w:after="0" w:line="203" w:lineRule="exact"/>
              <w:rPr>
                <w:sz w:val="20"/>
                <w:szCs w:val="20"/>
                <w:color w:val="auto"/>
              </w:rPr>
            </w:pPr>
            <w:r>
              <w:rPr>
                <w:rFonts w:ascii="Times New Roman" w:cs="Times New Roman" w:eastAsia="Times New Roman" w:hAnsi="Times New Roman"/>
                <w:sz w:val="18"/>
                <w:szCs w:val="18"/>
                <w:color w:val="auto"/>
                <w:w w:val="97"/>
              </w:rPr>
              <w:t>3.1</w:t>
            </w:r>
          </w:p>
        </w:tc>
        <w:tc>
          <w:tcPr>
            <w:tcW w:w="1160" w:type="dxa"/>
            <w:vAlign w:val="bottom"/>
          </w:tcPr>
          <w:p>
            <w:pPr>
              <w:jc w:val="center"/>
              <w:spacing w:after="0" w:line="203" w:lineRule="exact"/>
              <w:rPr>
                <w:sz w:val="20"/>
                <w:szCs w:val="20"/>
                <w:color w:val="auto"/>
              </w:rPr>
            </w:pPr>
            <w:r>
              <w:rPr>
                <w:rFonts w:ascii="Times New Roman" w:cs="Times New Roman" w:eastAsia="Times New Roman" w:hAnsi="Times New Roman"/>
                <w:sz w:val="18"/>
                <w:szCs w:val="18"/>
                <w:color w:val="auto"/>
                <w:w w:val="95"/>
              </w:rPr>
              <w:t>5/12/2023</w:t>
            </w: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300" w:type="dxa"/>
            <w:vAlign w:val="bottom"/>
          </w:tcPr>
          <w:p>
            <w:pPr>
              <w:jc w:val="center"/>
              <w:spacing w:after="0" w:line="203" w:lineRule="exact"/>
              <w:rPr>
                <w:sz w:val="20"/>
                <w:szCs w:val="20"/>
                <w:color w:val="auto"/>
              </w:rPr>
            </w:pPr>
            <w:r>
              <w:rPr>
                <w:rFonts w:ascii="Times New Roman" w:cs="Times New Roman" w:eastAsia="Times New Roman" w:hAnsi="Times New Roman"/>
                <w:sz w:val="18"/>
                <w:szCs w:val="18"/>
                <w:color w:val="auto"/>
                <w:w w:val="97"/>
              </w:rPr>
              <w:t>4.1</w:t>
            </w:r>
          </w:p>
        </w:tc>
        <w:tc>
          <w:tcPr>
            <w:tcW w:w="4340" w:type="dxa"/>
            <w:vAlign w:val="bottom"/>
            <w:gridSpan w:val="34"/>
          </w:tcPr>
          <w:p>
            <w:pPr>
              <w:spacing w:after="0" w:line="203" w:lineRule="exact"/>
              <w:rPr>
                <w:rFonts w:ascii="Times New Roman" w:cs="Times New Roman" w:eastAsia="Times New Roman" w:hAnsi="Times New Roman"/>
                <w:sz w:val="18"/>
                <w:szCs w:val="18"/>
                <w:color w:val="0000FF"/>
              </w:rPr>
            </w:pPr>
            <w:hyperlink r:id="rId84">
              <w:r>
                <w:rPr>
                  <w:rFonts w:ascii="Times New Roman" w:cs="Times New Roman" w:eastAsia="Times New Roman" w:hAnsi="Times New Roman"/>
                  <w:sz w:val="18"/>
                  <w:szCs w:val="18"/>
                  <w:color w:val="0000FF"/>
                </w:rPr>
                <w:t>Specimen Certificate of Common Stock</w:t>
              </w:r>
            </w:hyperlink>
          </w:p>
        </w:tc>
        <w:tc>
          <w:tcPr>
            <w:tcW w:w="960" w:type="dxa"/>
            <w:vAlign w:val="bottom"/>
          </w:tcPr>
          <w:p>
            <w:pPr>
              <w:jc w:val="center"/>
              <w:ind w:right="13"/>
              <w:spacing w:after="0" w:line="203" w:lineRule="exact"/>
              <w:rPr>
                <w:sz w:val="20"/>
                <w:szCs w:val="20"/>
                <w:color w:val="auto"/>
              </w:rPr>
            </w:pPr>
            <w:r>
              <w:rPr>
                <w:rFonts w:ascii="Times New Roman" w:cs="Times New Roman" w:eastAsia="Times New Roman" w:hAnsi="Times New Roman"/>
                <w:sz w:val="18"/>
                <w:szCs w:val="18"/>
                <w:color w:val="auto"/>
              </w:rPr>
              <w:t>S-3</w:t>
            </w:r>
          </w:p>
        </w:tc>
        <w:tc>
          <w:tcPr>
            <w:tcW w:w="1200" w:type="dxa"/>
            <w:vAlign w:val="bottom"/>
          </w:tcPr>
          <w:p>
            <w:pPr>
              <w:jc w:val="center"/>
              <w:spacing w:after="0" w:line="203" w:lineRule="exact"/>
              <w:rPr>
                <w:sz w:val="20"/>
                <w:szCs w:val="20"/>
                <w:color w:val="auto"/>
              </w:rPr>
            </w:pPr>
            <w:r>
              <w:rPr>
                <w:rFonts w:ascii="Times New Roman" w:cs="Times New Roman" w:eastAsia="Times New Roman" w:hAnsi="Times New Roman"/>
                <w:sz w:val="18"/>
                <w:szCs w:val="18"/>
                <w:color w:val="auto"/>
                <w:w w:val="97"/>
              </w:rPr>
              <w:t>333-92394</w:t>
            </w:r>
          </w:p>
        </w:tc>
        <w:tc>
          <w:tcPr>
            <w:tcW w:w="920" w:type="dxa"/>
            <w:vAlign w:val="bottom"/>
          </w:tcPr>
          <w:p>
            <w:pPr>
              <w:jc w:val="center"/>
              <w:spacing w:after="0" w:line="203" w:lineRule="exact"/>
              <w:rPr>
                <w:sz w:val="20"/>
                <w:szCs w:val="20"/>
                <w:color w:val="auto"/>
              </w:rPr>
            </w:pPr>
            <w:r>
              <w:rPr>
                <w:rFonts w:ascii="Times New Roman" w:cs="Times New Roman" w:eastAsia="Times New Roman" w:hAnsi="Times New Roman"/>
                <w:sz w:val="18"/>
                <w:szCs w:val="18"/>
                <w:color w:val="auto"/>
                <w:w w:val="88"/>
              </w:rPr>
              <w:t>4</w:t>
            </w:r>
          </w:p>
        </w:tc>
        <w:tc>
          <w:tcPr>
            <w:tcW w:w="1160" w:type="dxa"/>
            <w:vAlign w:val="bottom"/>
          </w:tcPr>
          <w:p>
            <w:pPr>
              <w:jc w:val="center"/>
              <w:spacing w:after="0" w:line="203" w:lineRule="exact"/>
              <w:rPr>
                <w:sz w:val="20"/>
                <w:szCs w:val="20"/>
                <w:color w:val="auto"/>
              </w:rPr>
            </w:pPr>
            <w:r>
              <w:rPr>
                <w:rFonts w:ascii="Times New Roman" w:cs="Times New Roman" w:eastAsia="Times New Roman" w:hAnsi="Times New Roman"/>
                <w:sz w:val="18"/>
                <w:szCs w:val="18"/>
                <w:color w:val="auto"/>
                <w:w w:val="95"/>
              </w:rPr>
              <w:t>7/15/2002</w:t>
            </w: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00" w:type="dxa"/>
            <w:vAlign w:val="bottom"/>
          </w:tcPr>
          <w:p>
            <w:pPr>
              <w:jc w:val="center"/>
              <w:spacing w:after="0" w:line="203" w:lineRule="exact"/>
              <w:rPr>
                <w:sz w:val="20"/>
                <w:szCs w:val="20"/>
                <w:color w:val="auto"/>
              </w:rPr>
            </w:pPr>
            <w:r>
              <w:rPr>
                <w:rFonts w:ascii="Times New Roman" w:cs="Times New Roman" w:eastAsia="Times New Roman" w:hAnsi="Times New Roman"/>
                <w:sz w:val="18"/>
                <w:szCs w:val="18"/>
                <w:color w:val="auto"/>
                <w:w w:val="97"/>
              </w:rPr>
              <w:t>4.2</w:t>
            </w:r>
          </w:p>
        </w:tc>
        <w:tc>
          <w:tcPr>
            <w:tcW w:w="2800" w:type="dxa"/>
            <w:vAlign w:val="bottom"/>
            <w:tcBorders>
              <w:top w:val="single" w:sz="8" w:color="0000FF"/>
            </w:tcBorders>
            <w:gridSpan w:val="9"/>
          </w:tcPr>
          <w:p>
            <w:pPr>
              <w:spacing w:after="0" w:line="203" w:lineRule="exact"/>
              <w:rPr>
                <w:rFonts w:ascii="Times New Roman" w:cs="Times New Roman" w:eastAsia="Times New Roman" w:hAnsi="Times New Roman"/>
                <w:sz w:val="18"/>
                <w:szCs w:val="18"/>
                <w:color w:val="0000FF"/>
              </w:rPr>
            </w:pPr>
            <w:hyperlink r:id="rId85">
              <w:r>
                <w:rPr>
                  <w:rFonts w:ascii="Times New Roman" w:cs="Times New Roman" w:eastAsia="Times New Roman" w:hAnsi="Times New Roman"/>
                  <w:sz w:val="18"/>
                  <w:szCs w:val="18"/>
                  <w:color w:val="0000FF"/>
                </w:rPr>
                <w:t>Description of Capital Stock</w:t>
              </w:r>
            </w:hyperlink>
          </w:p>
        </w:tc>
        <w:tc>
          <w:tcPr>
            <w:tcW w:w="1540" w:type="dxa"/>
            <w:vAlign w:val="bottom"/>
            <w:gridSpan w:val="25"/>
          </w:tcPr>
          <w:p>
            <w:pPr>
              <w:spacing w:after="0"/>
              <w:rPr>
                <w:sz w:val="17"/>
                <w:szCs w:val="17"/>
                <w:color w:val="auto"/>
              </w:rPr>
            </w:pPr>
          </w:p>
        </w:tc>
        <w:tc>
          <w:tcPr>
            <w:tcW w:w="960" w:type="dxa"/>
            <w:vAlign w:val="bottom"/>
          </w:tcPr>
          <w:p>
            <w:pPr>
              <w:jc w:val="center"/>
              <w:spacing w:after="0" w:line="203" w:lineRule="exact"/>
              <w:rPr>
                <w:sz w:val="20"/>
                <w:szCs w:val="20"/>
                <w:color w:val="auto"/>
              </w:rPr>
            </w:pPr>
            <w:r>
              <w:rPr>
                <w:rFonts w:ascii="Times New Roman" w:cs="Times New Roman" w:eastAsia="Times New Roman" w:hAnsi="Times New Roman"/>
                <w:sz w:val="18"/>
                <w:szCs w:val="18"/>
                <w:color w:val="auto"/>
                <w:w w:val="97"/>
              </w:rPr>
              <w:t>10-K</w:t>
            </w:r>
          </w:p>
        </w:tc>
        <w:tc>
          <w:tcPr>
            <w:tcW w:w="1200" w:type="dxa"/>
            <w:vAlign w:val="bottom"/>
          </w:tcPr>
          <w:p>
            <w:pPr>
              <w:jc w:val="center"/>
              <w:spacing w:after="0" w:line="203" w:lineRule="exact"/>
              <w:rPr>
                <w:sz w:val="20"/>
                <w:szCs w:val="20"/>
                <w:color w:val="auto"/>
              </w:rPr>
            </w:pPr>
            <w:r>
              <w:rPr>
                <w:rFonts w:ascii="Times New Roman" w:cs="Times New Roman" w:eastAsia="Times New Roman" w:hAnsi="Times New Roman"/>
                <w:sz w:val="18"/>
                <w:szCs w:val="18"/>
                <w:color w:val="auto"/>
                <w:w w:val="97"/>
              </w:rPr>
              <w:t>001-05560</w:t>
            </w:r>
          </w:p>
        </w:tc>
        <w:tc>
          <w:tcPr>
            <w:tcW w:w="920" w:type="dxa"/>
            <w:vAlign w:val="bottom"/>
          </w:tcPr>
          <w:p>
            <w:pPr>
              <w:jc w:val="center"/>
              <w:spacing w:after="0" w:line="203" w:lineRule="exact"/>
              <w:rPr>
                <w:sz w:val="20"/>
                <w:szCs w:val="20"/>
                <w:color w:val="auto"/>
              </w:rPr>
            </w:pPr>
            <w:r>
              <w:rPr>
                <w:rFonts w:ascii="Times New Roman" w:cs="Times New Roman" w:eastAsia="Times New Roman" w:hAnsi="Times New Roman"/>
                <w:sz w:val="18"/>
                <w:szCs w:val="18"/>
                <w:color w:val="auto"/>
                <w:w w:val="97"/>
              </w:rPr>
              <w:t>4.2</w:t>
            </w:r>
          </w:p>
        </w:tc>
        <w:tc>
          <w:tcPr>
            <w:tcW w:w="1160" w:type="dxa"/>
            <w:vAlign w:val="bottom"/>
          </w:tcPr>
          <w:p>
            <w:pPr>
              <w:jc w:val="center"/>
              <w:spacing w:after="0" w:line="203" w:lineRule="exact"/>
              <w:rPr>
                <w:sz w:val="20"/>
                <w:szCs w:val="20"/>
                <w:color w:val="auto"/>
              </w:rPr>
            </w:pPr>
            <w:r>
              <w:rPr>
                <w:rFonts w:ascii="Times New Roman" w:cs="Times New Roman" w:eastAsia="Times New Roman" w:hAnsi="Times New Roman"/>
                <w:sz w:val="18"/>
                <w:szCs w:val="18"/>
                <w:color w:val="auto"/>
                <w:w w:val="95"/>
              </w:rPr>
              <w:t>11/14/2019</w:t>
            </w: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4.3</w:t>
            </w:r>
          </w:p>
        </w:tc>
        <w:tc>
          <w:tcPr>
            <w:tcW w:w="4340" w:type="dxa"/>
            <w:vAlign w:val="bottom"/>
            <w:gridSpan w:val="34"/>
          </w:tcPr>
          <w:p>
            <w:pPr>
              <w:spacing w:after="0"/>
              <w:rPr>
                <w:rFonts w:ascii="Times New Roman" w:cs="Times New Roman" w:eastAsia="Times New Roman" w:hAnsi="Times New Roman"/>
                <w:sz w:val="18"/>
                <w:szCs w:val="18"/>
                <w:color w:val="0000FF"/>
              </w:rPr>
            </w:pPr>
            <w:hyperlink r:id="rId86">
              <w:r>
                <w:rPr>
                  <w:rFonts w:ascii="Times New Roman" w:cs="Times New Roman" w:eastAsia="Times New Roman" w:hAnsi="Times New Roman"/>
                  <w:sz w:val="18"/>
                  <w:szCs w:val="18"/>
                  <w:color w:val="0000FF"/>
                </w:rPr>
                <w:t>Indenture, dated as of May 26, 2021, by and between the</w:t>
              </w:r>
            </w:hyperlink>
          </w:p>
        </w:tc>
        <w:tc>
          <w:tcPr>
            <w:tcW w:w="960" w:type="dxa"/>
            <w:vAlign w:val="bottom"/>
          </w:tcPr>
          <w:p>
            <w:pPr>
              <w:jc w:val="center"/>
              <w:ind w:right="13"/>
              <w:spacing w:after="0"/>
              <w:rPr>
                <w:sz w:val="20"/>
                <w:szCs w:val="20"/>
                <w:color w:val="auto"/>
              </w:rPr>
            </w:pPr>
            <w:r>
              <w:rPr>
                <w:rFonts w:ascii="Times New Roman" w:cs="Times New Roman" w:eastAsia="Times New Roman" w:hAnsi="Times New Roman"/>
                <w:sz w:val="18"/>
                <w:szCs w:val="18"/>
                <w:color w:val="auto"/>
                <w:w w:val="92"/>
              </w:rPr>
              <w:t>8-K</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001-05560</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5/26/2021</w:t>
            </w: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7"/>
        </w:trPr>
        <w:tc>
          <w:tcPr>
            <w:tcW w:w="1300" w:type="dxa"/>
            <w:vAlign w:val="bottom"/>
          </w:tcPr>
          <w:p>
            <w:pPr>
              <w:spacing w:after="0"/>
              <w:rPr>
                <w:sz w:val="15"/>
                <w:szCs w:val="15"/>
                <w:color w:val="auto"/>
              </w:rPr>
            </w:pPr>
          </w:p>
        </w:tc>
        <w:tc>
          <w:tcPr>
            <w:tcW w:w="3280" w:type="dxa"/>
            <w:vAlign w:val="bottom"/>
            <w:tcBorders>
              <w:top w:val="single" w:sz="8" w:color="0000FF"/>
              <w:bottom w:val="single" w:sz="8" w:color="0000FF"/>
            </w:tcBorders>
            <w:gridSpan w:val="11"/>
          </w:tcPr>
          <w:p>
            <w:pPr>
              <w:spacing w:after="0" w:line="177" w:lineRule="exact"/>
              <w:rPr>
                <w:rFonts w:ascii="Times New Roman" w:cs="Times New Roman" w:eastAsia="Times New Roman" w:hAnsi="Times New Roman"/>
                <w:sz w:val="18"/>
                <w:szCs w:val="18"/>
                <w:color w:val="0000FF"/>
                <w:w w:val="97"/>
              </w:rPr>
            </w:pPr>
            <w:hyperlink r:id="rId86">
              <w:r>
                <w:rPr>
                  <w:rFonts w:ascii="Times New Roman" w:cs="Times New Roman" w:eastAsia="Times New Roman" w:hAnsi="Times New Roman"/>
                  <w:sz w:val="18"/>
                  <w:szCs w:val="18"/>
                  <w:color w:val="0000FF"/>
                  <w:w w:val="97"/>
                </w:rPr>
                <w:t>Company and U.S. Bank National Association</w:t>
              </w:r>
            </w:hyperlink>
          </w:p>
        </w:tc>
        <w:tc>
          <w:tcPr>
            <w:tcW w:w="700" w:type="dxa"/>
            <w:vAlign w:val="bottom"/>
            <w:tcBorders>
              <w:top w:val="single" w:sz="8" w:color="0000FF"/>
            </w:tcBorders>
            <w:gridSpan w:val="10"/>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4.4</w:t>
            </w:r>
          </w:p>
        </w:tc>
        <w:tc>
          <w:tcPr>
            <w:tcW w:w="4340" w:type="dxa"/>
            <w:vAlign w:val="bottom"/>
            <w:gridSpan w:val="34"/>
          </w:tcPr>
          <w:p>
            <w:pPr>
              <w:spacing w:after="0"/>
              <w:rPr>
                <w:rFonts w:ascii="Times New Roman" w:cs="Times New Roman" w:eastAsia="Times New Roman" w:hAnsi="Times New Roman"/>
                <w:sz w:val="18"/>
                <w:szCs w:val="18"/>
                <w:color w:val="0000FF"/>
              </w:rPr>
            </w:pPr>
            <w:hyperlink r:id="rId87">
              <w:r>
                <w:rPr>
                  <w:rFonts w:ascii="Times New Roman" w:cs="Times New Roman" w:eastAsia="Times New Roman" w:hAnsi="Times New Roman"/>
                  <w:sz w:val="18"/>
                  <w:szCs w:val="18"/>
                  <w:color w:val="0000FF"/>
                </w:rPr>
                <w:t>First Supplemental Indenture, dated as of May 26, 2021, by</w:t>
              </w:r>
            </w:hyperlink>
          </w:p>
        </w:tc>
        <w:tc>
          <w:tcPr>
            <w:tcW w:w="960" w:type="dxa"/>
            <w:vAlign w:val="bottom"/>
          </w:tcPr>
          <w:p>
            <w:pPr>
              <w:jc w:val="center"/>
              <w:ind w:right="13"/>
              <w:spacing w:after="0"/>
              <w:rPr>
                <w:sz w:val="20"/>
                <w:szCs w:val="20"/>
                <w:color w:val="auto"/>
              </w:rPr>
            </w:pPr>
            <w:r>
              <w:rPr>
                <w:rFonts w:ascii="Times New Roman" w:cs="Times New Roman" w:eastAsia="Times New Roman" w:hAnsi="Times New Roman"/>
                <w:sz w:val="18"/>
                <w:szCs w:val="18"/>
                <w:color w:val="auto"/>
                <w:w w:val="92"/>
              </w:rPr>
              <w:t>8-K</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001-05560</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4.2</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5/26/2021</w:t>
            </w: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7"/>
        </w:trPr>
        <w:tc>
          <w:tcPr>
            <w:tcW w:w="1300" w:type="dxa"/>
            <w:vAlign w:val="bottom"/>
          </w:tcPr>
          <w:p>
            <w:pPr>
              <w:spacing w:after="0"/>
              <w:rPr>
                <w:sz w:val="15"/>
                <w:szCs w:val="15"/>
                <w:color w:val="auto"/>
              </w:rPr>
            </w:pPr>
          </w:p>
        </w:tc>
        <w:tc>
          <w:tcPr>
            <w:tcW w:w="4180" w:type="dxa"/>
            <w:vAlign w:val="bottom"/>
            <w:tcBorders>
              <w:top w:val="single" w:sz="8" w:color="0000FF"/>
            </w:tcBorders>
            <w:gridSpan w:val="31"/>
          </w:tcPr>
          <w:p>
            <w:pPr>
              <w:spacing w:after="0" w:line="177" w:lineRule="exact"/>
              <w:rPr>
                <w:rFonts w:ascii="Times New Roman" w:cs="Times New Roman" w:eastAsia="Times New Roman" w:hAnsi="Times New Roman"/>
                <w:sz w:val="18"/>
                <w:szCs w:val="18"/>
                <w:color w:val="0000FF"/>
              </w:rPr>
            </w:pPr>
            <w:hyperlink r:id="rId87">
              <w:r>
                <w:rPr>
                  <w:rFonts w:ascii="Times New Roman" w:cs="Times New Roman" w:eastAsia="Times New Roman" w:hAnsi="Times New Roman"/>
                  <w:sz w:val="18"/>
                  <w:szCs w:val="18"/>
                  <w:color w:val="0000FF"/>
                </w:rPr>
                <w:t>and between the Company and U.S. Bank National</w:t>
              </w:r>
            </w:hyperlink>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300" w:type="dxa"/>
            <w:vAlign w:val="bottom"/>
          </w:tcPr>
          <w:p>
            <w:pPr>
              <w:spacing w:after="0"/>
              <w:rPr>
                <w:sz w:val="15"/>
                <w:szCs w:val="15"/>
                <w:color w:val="auto"/>
              </w:rPr>
            </w:pPr>
          </w:p>
        </w:tc>
        <w:tc>
          <w:tcPr>
            <w:tcW w:w="840" w:type="dxa"/>
            <w:vAlign w:val="bottom"/>
            <w:tcBorders>
              <w:top w:val="single" w:sz="8" w:color="0000FF"/>
              <w:bottom w:val="single" w:sz="8" w:color="0000FF"/>
            </w:tcBorders>
            <w:gridSpan w:val="2"/>
          </w:tcPr>
          <w:p>
            <w:pPr>
              <w:spacing w:after="0" w:line="177" w:lineRule="exact"/>
              <w:rPr>
                <w:rFonts w:ascii="Times New Roman" w:cs="Times New Roman" w:eastAsia="Times New Roman" w:hAnsi="Times New Roman"/>
                <w:sz w:val="18"/>
                <w:szCs w:val="18"/>
                <w:color w:val="0000FF"/>
                <w:w w:val="96"/>
              </w:rPr>
            </w:pPr>
            <w:hyperlink r:id="rId87">
              <w:r>
                <w:rPr>
                  <w:rFonts w:ascii="Times New Roman" w:cs="Times New Roman" w:eastAsia="Times New Roman" w:hAnsi="Times New Roman"/>
                  <w:sz w:val="18"/>
                  <w:szCs w:val="18"/>
                  <w:color w:val="0000FF"/>
                  <w:w w:val="96"/>
                </w:rPr>
                <w:t>Association</w:t>
              </w:r>
            </w:hyperlink>
          </w:p>
        </w:tc>
        <w:tc>
          <w:tcPr>
            <w:tcW w:w="2760" w:type="dxa"/>
            <w:vAlign w:val="bottom"/>
            <w:tcBorders>
              <w:top w:val="single" w:sz="8" w:color="0000FF"/>
            </w:tcBorders>
            <w:gridSpan w:val="13"/>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4.5</w:t>
            </w:r>
          </w:p>
        </w:tc>
        <w:tc>
          <w:tcPr>
            <w:tcW w:w="4340" w:type="dxa"/>
            <w:vAlign w:val="bottom"/>
            <w:gridSpan w:val="34"/>
          </w:tcPr>
          <w:p>
            <w:pPr>
              <w:spacing w:after="0"/>
              <w:rPr>
                <w:rFonts w:ascii="Times New Roman" w:cs="Times New Roman" w:eastAsia="Times New Roman" w:hAnsi="Times New Roman"/>
                <w:sz w:val="18"/>
                <w:szCs w:val="18"/>
                <w:color w:val="0000FF"/>
              </w:rPr>
            </w:pPr>
            <w:hyperlink r:id="rId88">
              <w:r>
                <w:rPr>
                  <w:rFonts w:ascii="Times New Roman" w:cs="Times New Roman" w:eastAsia="Times New Roman" w:hAnsi="Times New Roman"/>
                  <w:sz w:val="18"/>
                  <w:szCs w:val="18"/>
                  <w:color w:val="0000FF"/>
                </w:rPr>
                <w:t>Second Supplemental Indenture, dated as of May 26, 2021,</w:t>
              </w:r>
            </w:hyperlink>
          </w:p>
        </w:tc>
        <w:tc>
          <w:tcPr>
            <w:tcW w:w="960" w:type="dxa"/>
            <w:vAlign w:val="bottom"/>
          </w:tcPr>
          <w:p>
            <w:pPr>
              <w:jc w:val="center"/>
              <w:ind w:right="13"/>
              <w:spacing w:after="0"/>
              <w:rPr>
                <w:sz w:val="20"/>
                <w:szCs w:val="20"/>
                <w:color w:val="auto"/>
              </w:rPr>
            </w:pPr>
            <w:r>
              <w:rPr>
                <w:rFonts w:ascii="Times New Roman" w:cs="Times New Roman" w:eastAsia="Times New Roman" w:hAnsi="Times New Roman"/>
                <w:sz w:val="18"/>
                <w:szCs w:val="18"/>
                <w:color w:val="auto"/>
                <w:w w:val="92"/>
              </w:rPr>
              <w:t>8-K</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001-05560</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4.3</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5/26/2021</w:t>
            </w: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7"/>
        </w:trPr>
        <w:tc>
          <w:tcPr>
            <w:tcW w:w="1300" w:type="dxa"/>
            <w:vAlign w:val="bottom"/>
          </w:tcPr>
          <w:p>
            <w:pPr>
              <w:spacing w:after="0"/>
              <w:rPr>
                <w:sz w:val="15"/>
                <w:szCs w:val="15"/>
                <w:color w:val="auto"/>
              </w:rPr>
            </w:pPr>
          </w:p>
        </w:tc>
        <w:tc>
          <w:tcPr>
            <w:tcW w:w="4160" w:type="dxa"/>
            <w:vAlign w:val="bottom"/>
            <w:tcBorders>
              <w:top w:val="single" w:sz="8" w:color="0000FF"/>
            </w:tcBorders>
            <w:gridSpan w:val="30"/>
          </w:tcPr>
          <w:p>
            <w:pPr>
              <w:spacing w:after="0" w:line="177" w:lineRule="exact"/>
              <w:rPr>
                <w:rFonts w:ascii="Times New Roman" w:cs="Times New Roman" w:eastAsia="Times New Roman" w:hAnsi="Times New Roman"/>
                <w:sz w:val="18"/>
                <w:szCs w:val="18"/>
                <w:color w:val="0000FF"/>
              </w:rPr>
            </w:pPr>
            <w:hyperlink r:id="rId88">
              <w:r>
                <w:rPr>
                  <w:rFonts w:ascii="Times New Roman" w:cs="Times New Roman" w:eastAsia="Times New Roman" w:hAnsi="Times New Roman"/>
                  <w:sz w:val="18"/>
                  <w:szCs w:val="18"/>
                  <w:color w:val="0000FF"/>
                </w:rPr>
                <w:t>by and between the Company and U.S. Bank National</w:t>
              </w:r>
            </w:hyperlink>
          </w:p>
        </w:tc>
        <w:tc>
          <w:tcPr>
            <w:tcW w:w="8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300" w:type="dxa"/>
            <w:vAlign w:val="bottom"/>
          </w:tcPr>
          <w:p>
            <w:pPr>
              <w:spacing w:after="0"/>
              <w:rPr>
                <w:sz w:val="15"/>
                <w:szCs w:val="15"/>
                <w:color w:val="auto"/>
              </w:rPr>
            </w:pPr>
          </w:p>
        </w:tc>
        <w:tc>
          <w:tcPr>
            <w:tcW w:w="840" w:type="dxa"/>
            <w:vAlign w:val="bottom"/>
            <w:tcBorders>
              <w:top w:val="single" w:sz="8" w:color="0000FF"/>
              <w:bottom w:val="single" w:sz="8" w:color="0000FF"/>
            </w:tcBorders>
            <w:gridSpan w:val="2"/>
          </w:tcPr>
          <w:p>
            <w:pPr>
              <w:spacing w:after="0" w:line="177" w:lineRule="exact"/>
              <w:rPr>
                <w:rFonts w:ascii="Times New Roman" w:cs="Times New Roman" w:eastAsia="Times New Roman" w:hAnsi="Times New Roman"/>
                <w:sz w:val="18"/>
                <w:szCs w:val="18"/>
                <w:color w:val="0000FF"/>
                <w:w w:val="96"/>
              </w:rPr>
            </w:pPr>
            <w:hyperlink r:id="rId88">
              <w:r>
                <w:rPr>
                  <w:rFonts w:ascii="Times New Roman" w:cs="Times New Roman" w:eastAsia="Times New Roman" w:hAnsi="Times New Roman"/>
                  <w:sz w:val="18"/>
                  <w:szCs w:val="18"/>
                  <w:color w:val="0000FF"/>
                  <w:w w:val="96"/>
                </w:rPr>
                <w:t>Association</w:t>
              </w:r>
            </w:hyperlink>
          </w:p>
        </w:tc>
        <w:tc>
          <w:tcPr>
            <w:tcW w:w="2960" w:type="dxa"/>
            <w:vAlign w:val="bottom"/>
            <w:tcBorders>
              <w:top w:val="single" w:sz="8" w:color="0000FF"/>
            </w:tcBorders>
            <w:gridSpan w:val="16"/>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10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4.6</w:t>
            </w:r>
          </w:p>
        </w:tc>
        <w:tc>
          <w:tcPr>
            <w:tcW w:w="4340" w:type="dxa"/>
            <w:vAlign w:val="bottom"/>
            <w:gridSpan w:val="34"/>
          </w:tcPr>
          <w:p>
            <w:pPr>
              <w:spacing w:after="0"/>
              <w:rPr>
                <w:rFonts w:ascii="Times New Roman" w:cs="Times New Roman" w:eastAsia="Times New Roman" w:hAnsi="Times New Roman"/>
                <w:sz w:val="18"/>
                <w:szCs w:val="18"/>
                <w:color w:val="0000FF"/>
                <w:w w:val="99"/>
              </w:rPr>
            </w:pPr>
            <w:hyperlink r:id="rId89">
              <w:r>
                <w:rPr>
                  <w:rFonts w:ascii="Times New Roman" w:cs="Times New Roman" w:eastAsia="Times New Roman" w:hAnsi="Times New Roman"/>
                  <w:sz w:val="18"/>
                  <w:szCs w:val="18"/>
                  <w:color w:val="0000FF"/>
                  <w:w w:val="99"/>
                </w:rPr>
                <w:t>Third Supplemental Indenture, dated as of May 26, 2021, by</w:t>
              </w:r>
            </w:hyperlink>
          </w:p>
        </w:tc>
        <w:tc>
          <w:tcPr>
            <w:tcW w:w="960" w:type="dxa"/>
            <w:vAlign w:val="bottom"/>
          </w:tcPr>
          <w:p>
            <w:pPr>
              <w:jc w:val="center"/>
              <w:ind w:right="13"/>
              <w:spacing w:after="0"/>
              <w:rPr>
                <w:sz w:val="20"/>
                <w:szCs w:val="20"/>
                <w:color w:val="auto"/>
              </w:rPr>
            </w:pPr>
            <w:r>
              <w:rPr>
                <w:rFonts w:ascii="Times New Roman" w:cs="Times New Roman" w:eastAsia="Times New Roman" w:hAnsi="Times New Roman"/>
                <w:sz w:val="18"/>
                <w:szCs w:val="18"/>
                <w:color w:val="auto"/>
                <w:w w:val="92"/>
              </w:rPr>
              <w:t>8-K</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001-05560</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4.4</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5/26/2021</w:t>
            </w: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7"/>
        </w:trPr>
        <w:tc>
          <w:tcPr>
            <w:tcW w:w="1300" w:type="dxa"/>
            <w:vAlign w:val="bottom"/>
          </w:tcPr>
          <w:p>
            <w:pPr>
              <w:spacing w:after="0"/>
              <w:rPr>
                <w:sz w:val="15"/>
                <w:szCs w:val="15"/>
                <w:color w:val="auto"/>
              </w:rPr>
            </w:pPr>
          </w:p>
        </w:tc>
        <w:tc>
          <w:tcPr>
            <w:tcW w:w="4240" w:type="dxa"/>
            <w:vAlign w:val="bottom"/>
            <w:tcBorders>
              <w:top w:val="single" w:sz="8" w:color="0000FF"/>
            </w:tcBorders>
            <w:gridSpan w:val="32"/>
          </w:tcPr>
          <w:p>
            <w:pPr>
              <w:spacing w:after="0" w:line="177" w:lineRule="exact"/>
              <w:rPr>
                <w:rFonts w:ascii="Times New Roman" w:cs="Times New Roman" w:eastAsia="Times New Roman" w:hAnsi="Times New Roman"/>
                <w:sz w:val="18"/>
                <w:szCs w:val="18"/>
                <w:color w:val="0000FF"/>
              </w:rPr>
            </w:pPr>
            <w:hyperlink r:id="rId89">
              <w:r>
                <w:rPr>
                  <w:rFonts w:ascii="Times New Roman" w:cs="Times New Roman" w:eastAsia="Times New Roman" w:hAnsi="Times New Roman"/>
                  <w:sz w:val="18"/>
                  <w:szCs w:val="18"/>
                  <w:color w:val="0000FF"/>
                </w:rPr>
                <w:t>and between the Company and U.S. Bank National</w:t>
              </w:r>
            </w:hyperlink>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300" w:type="dxa"/>
            <w:vAlign w:val="bottom"/>
          </w:tcPr>
          <w:p>
            <w:pPr>
              <w:spacing w:after="0"/>
              <w:rPr>
                <w:sz w:val="15"/>
                <w:szCs w:val="15"/>
                <w:color w:val="auto"/>
              </w:rPr>
            </w:pPr>
          </w:p>
        </w:tc>
        <w:tc>
          <w:tcPr>
            <w:tcW w:w="840" w:type="dxa"/>
            <w:vAlign w:val="bottom"/>
            <w:tcBorders>
              <w:top w:val="single" w:sz="8" w:color="0000FF"/>
              <w:bottom w:val="single" w:sz="8" w:color="0000FF"/>
            </w:tcBorders>
            <w:gridSpan w:val="2"/>
          </w:tcPr>
          <w:p>
            <w:pPr>
              <w:spacing w:after="0" w:line="177" w:lineRule="exact"/>
              <w:rPr>
                <w:rFonts w:ascii="Times New Roman" w:cs="Times New Roman" w:eastAsia="Times New Roman" w:hAnsi="Times New Roman"/>
                <w:sz w:val="18"/>
                <w:szCs w:val="18"/>
                <w:color w:val="0000FF"/>
                <w:w w:val="96"/>
              </w:rPr>
            </w:pPr>
            <w:hyperlink r:id="rId89">
              <w:r>
                <w:rPr>
                  <w:rFonts w:ascii="Times New Roman" w:cs="Times New Roman" w:eastAsia="Times New Roman" w:hAnsi="Times New Roman"/>
                  <w:sz w:val="18"/>
                  <w:szCs w:val="18"/>
                  <w:color w:val="0000FF"/>
                  <w:w w:val="96"/>
                </w:rPr>
                <w:t>Association</w:t>
              </w:r>
            </w:hyperlink>
          </w:p>
        </w:tc>
        <w:tc>
          <w:tcPr>
            <w:tcW w:w="2760" w:type="dxa"/>
            <w:vAlign w:val="bottom"/>
            <w:tcBorders>
              <w:top w:val="single" w:sz="8" w:color="0000FF"/>
            </w:tcBorders>
            <w:gridSpan w:val="13"/>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120" w:type="dxa"/>
            <w:vAlign w:val="bottom"/>
            <w:gridSpan w:val="4"/>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3"/>
              </w:rPr>
              <w:t>10.1*</w:t>
            </w:r>
          </w:p>
        </w:tc>
        <w:tc>
          <w:tcPr>
            <w:tcW w:w="4340" w:type="dxa"/>
            <w:vAlign w:val="bottom"/>
            <w:gridSpan w:val="34"/>
          </w:tcPr>
          <w:p>
            <w:pPr>
              <w:spacing w:after="0"/>
              <w:rPr>
                <w:rFonts w:ascii="Times New Roman" w:cs="Times New Roman" w:eastAsia="Times New Roman" w:hAnsi="Times New Roman"/>
                <w:sz w:val="18"/>
                <w:szCs w:val="18"/>
                <w:color w:val="0000FF"/>
              </w:rPr>
            </w:pPr>
            <w:hyperlink r:id="rId90">
              <w:r>
                <w:rPr>
                  <w:rFonts w:ascii="Times New Roman" w:cs="Times New Roman" w:eastAsia="Times New Roman" w:hAnsi="Times New Roman"/>
                  <w:sz w:val="18"/>
                  <w:szCs w:val="18"/>
                  <w:color w:val="0000FF"/>
                </w:rPr>
                <w:t>Skyworks Solutions, Inc. 2002 Employee Stock Purchase</w:t>
              </w:r>
            </w:hyperlink>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10-Q</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001-05560</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10.2</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7/31/2024</w:t>
            </w: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1"/>
        </w:trPr>
        <w:tc>
          <w:tcPr>
            <w:tcW w:w="1300" w:type="dxa"/>
            <w:vAlign w:val="bottom"/>
          </w:tcPr>
          <w:p>
            <w:pPr>
              <w:spacing w:after="0"/>
              <w:rPr>
                <w:sz w:val="13"/>
                <w:szCs w:val="13"/>
                <w:color w:val="auto"/>
              </w:rPr>
            </w:pPr>
          </w:p>
        </w:tc>
        <w:tc>
          <w:tcPr>
            <w:tcW w:w="1280" w:type="dxa"/>
            <w:vAlign w:val="bottom"/>
            <w:tcBorders>
              <w:top w:val="single" w:sz="8" w:color="0000FF"/>
              <w:bottom w:val="single" w:sz="8" w:color="0000FF"/>
            </w:tcBorders>
            <w:gridSpan w:val="5"/>
          </w:tcPr>
          <w:p>
            <w:pPr>
              <w:spacing w:after="0" w:line="151" w:lineRule="exact"/>
              <w:rPr>
                <w:rFonts w:ascii="Times New Roman" w:cs="Times New Roman" w:eastAsia="Times New Roman" w:hAnsi="Times New Roman"/>
                <w:sz w:val="16"/>
                <w:szCs w:val="16"/>
                <w:color w:val="0000FF"/>
              </w:rPr>
            </w:pPr>
            <w:hyperlink r:id="rId90">
              <w:r>
                <w:rPr>
                  <w:rFonts w:ascii="Times New Roman" w:cs="Times New Roman" w:eastAsia="Times New Roman" w:hAnsi="Times New Roman"/>
                  <w:sz w:val="16"/>
                  <w:szCs w:val="16"/>
                  <w:color w:val="0000FF"/>
                </w:rPr>
                <w:t>Plan, as Amended</w:t>
              </w:r>
            </w:hyperlink>
          </w:p>
        </w:tc>
        <w:tc>
          <w:tcPr>
            <w:tcW w:w="2820" w:type="dxa"/>
            <w:vAlign w:val="bottom"/>
            <w:tcBorders>
              <w:top w:val="single" w:sz="8" w:color="0000FF"/>
            </w:tcBorders>
            <w:gridSpan w:val="22"/>
          </w:tcPr>
          <w:p>
            <w:pPr>
              <w:spacing w:after="0"/>
              <w:rPr>
                <w:sz w:val="13"/>
                <w:szCs w:val="13"/>
                <w:color w:val="auto"/>
              </w:rPr>
            </w:pPr>
          </w:p>
        </w:tc>
        <w:tc>
          <w:tcPr>
            <w:tcW w:w="40" w:type="dxa"/>
            <w:vAlign w:val="bottom"/>
            <w:gridSpan w:val="2"/>
          </w:tcPr>
          <w:p>
            <w:pPr>
              <w:spacing w:after="0"/>
              <w:rPr>
                <w:sz w:val="13"/>
                <w:szCs w:val="13"/>
                <w:color w:val="auto"/>
              </w:rPr>
            </w:pPr>
          </w:p>
        </w:tc>
        <w:tc>
          <w:tcPr>
            <w:tcW w:w="120" w:type="dxa"/>
            <w:vAlign w:val="bottom"/>
            <w:gridSpan w:val="4"/>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3"/>
              </w:rPr>
              <w:t>10.2*</w:t>
            </w:r>
          </w:p>
        </w:tc>
        <w:tc>
          <w:tcPr>
            <w:tcW w:w="4340" w:type="dxa"/>
            <w:vAlign w:val="bottom"/>
            <w:gridSpan w:val="34"/>
          </w:tcPr>
          <w:p>
            <w:pPr>
              <w:spacing w:after="0"/>
              <w:rPr>
                <w:rFonts w:ascii="Times New Roman" w:cs="Times New Roman" w:eastAsia="Times New Roman" w:hAnsi="Times New Roman"/>
                <w:sz w:val="18"/>
                <w:szCs w:val="18"/>
                <w:color w:val="0000FF"/>
              </w:rPr>
            </w:pPr>
            <w:hyperlink r:id="rId91">
              <w:r>
                <w:rPr>
                  <w:rFonts w:ascii="Times New Roman" w:cs="Times New Roman" w:eastAsia="Times New Roman" w:hAnsi="Times New Roman"/>
                  <w:sz w:val="18"/>
                  <w:szCs w:val="18"/>
                  <w:color w:val="0000FF"/>
                </w:rPr>
                <w:t>Skyworks Solutions, Inc. Non-Qualified Employee Stock</w:t>
              </w:r>
            </w:hyperlink>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10-Q</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001-05560</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10.3</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7/31/2024</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1"/>
        </w:trPr>
        <w:tc>
          <w:tcPr>
            <w:tcW w:w="1300" w:type="dxa"/>
            <w:vAlign w:val="bottom"/>
          </w:tcPr>
          <w:p>
            <w:pPr>
              <w:spacing w:after="0"/>
              <w:rPr>
                <w:sz w:val="13"/>
                <w:szCs w:val="13"/>
                <w:color w:val="auto"/>
              </w:rPr>
            </w:pPr>
          </w:p>
        </w:tc>
        <w:tc>
          <w:tcPr>
            <w:tcW w:w="2000" w:type="dxa"/>
            <w:vAlign w:val="bottom"/>
            <w:tcBorders>
              <w:top w:val="single" w:sz="8" w:color="0000FF"/>
              <w:bottom w:val="single" w:sz="8" w:color="0000FF"/>
            </w:tcBorders>
            <w:gridSpan w:val="6"/>
          </w:tcPr>
          <w:p>
            <w:pPr>
              <w:spacing w:after="0" w:line="151" w:lineRule="exact"/>
              <w:rPr>
                <w:rFonts w:ascii="Times New Roman" w:cs="Times New Roman" w:eastAsia="Times New Roman" w:hAnsi="Times New Roman"/>
                <w:sz w:val="16"/>
                <w:szCs w:val="16"/>
                <w:color w:val="0000FF"/>
              </w:rPr>
            </w:pPr>
            <w:hyperlink r:id="rId91">
              <w:r>
                <w:rPr>
                  <w:rFonts w:ascii="Times New Roman" w:cs="Times New Roman" w:eastAsia="Times New Roman" w:hAnsi="Times New Roman"/>
                  <w:sz w:val="16"/>
                  <w:szCs w:val="16"/>
                  <w:color w:val="0000FF"/>
                </w:rPr>
                <w:t>Purchase Plan, as Amended</w:t>
              </w:r>
            </w:hyperlink>
          </w:p>
        </w:tc>
        <w:tc>
          <w:tcPr>
            <w:tcW w:w="2080" w:type="dxa"/>
            <w:vAlign w:val="bottom"/>
            <w:tcBorders>
              <w:top w:val="single" w:sz="8" w:color="0000FF"/>
            </w:tcBorders>
            <w:gridSpan w:val="20"/>
          </w:tcPr>
          <w:p>
            <w:pPr>
              <w:spacing w:after="0"/>
              <w:rPr>
                <w:sz w:val="13"/>
                <w:szCs w:val="13"/>
                <w:color w:val="auto"/>
              </w:rPr>
            </w:pPr>
          </w:p>
        </w:tc>
        <w:tc>
          <w:tcPr>
            <w:tcW w:w="60" w:type="dxa"/>
            <w:vAlign w:val="bottom"/>
            <w:gridSpan w:val="3"/>
          </w:tcPr>
          <w:p>
            <w:pPr>
              <w:spacing w:after="0"/>
              <w:rPr>
                <w:sz w:val="13"/>
                <w:szCs w:val="13"/>
                <w:color w:val="auto"/>
              </w:rPr>
            </w:pPr>
          </w:p>
        </w:tc>
        <w:tc>
          <w:tcPr>
            <w:tcW w:w="120" w:type="dxa"/>
            <w:vAlign w:val="bottom"/>
            <w:gridSpan w:val="4"/>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3"/>
              </w:rPr>
              <w:t>10.3*</w:t>
            </w:r>
          </w:p>
        </w:tc>
        <w:tc>
          <w:tcPr>
            <w:tcW w:w="4340" w:type="dxa"/>
            <w:vAlign w:val="bottom"/>
            <w:gridSpan w:val="34"/>
          </w:tcPr>
          <w:p>
            <w:pPr>
              <w:spacing w:after="0"/>
              <w:rPr>
                <w:rFonts w:ascii="Times New Roman" w:cs="Times New Roman" w:eastAsia="Times New Roman" w:hAnsi="Times New Roman"/>
                <w:sz w:val="18"/>
                <w:szCs w:val="18"/>
                <w:color w:val="0000FF"/>
              </w:rPr>
            </w:pPr>
            <w:hyperlink r:id="rId92">
              <w:r>
                <w:rPr>
                  <w:rFonts w:ascii="Times New Roman" w:cs="Times New Roman" w:eastAsia="Times New Roman" w:hAnsi="Times New Roman"/>
                  <w:sz w:val="18"/>
                  <w:szCs w:val="18"/>
                  <w:color w:val="0000FF"/>
                </w:rPr>
                <w:t>Skyworks Solutions, Inc. Amended and Restated 2008</w:t>
              </w:r>
            </w:hyperlink>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10-Q</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001-05560</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10.1</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5/4/2022</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1"/>
        </w:trPr>
        <w:tc>
          <w:tcPr>
            <w:tcW w:w="1300" w:type="dxa"/>
            <w:vAlign w:val="bottom"/>
          </w:tcPr>
          <w:p>
            <w:pPr>
              <w:spacing w:after="0"/>
              <w:rPr>
                <w:sz w:val="13"/>
                <w:szCs w:val="13"/>
                <w:color w:val="auto"/>
              </w:rPr>
            </w:pPr>
          </w:p>
        </w:tc>
        <w:tc>
          <w:tcPr>
            <w:tcW w:w="3440" w:type="dxa"/>
            <w:vAlign w:val="bottom"/>
            <w:tcBorders>
              <w:top w:val="single" w:sz="8" w:color="0000FF"/>
              <w:bottom w:val="single" w:sz="8" w:color="0000FF"/>
            </w:tcBorders>
            <w:gridSpan w:val="12"/>
          </w:tcPr>
          <w:p>
            <w:pPr>
              <w:spacing w:after="0" w:line="151" w:lineRule="exact"/>
              <w:rPr>
                <w:rFonts w:ascii="Times New Roman" w:cs="Times New Roman" w:eastAsia="Times New Roman" w:hAnsi="Times New Roman"/>
                <w:sz w:val="16"/>
                <w:szCs w:val="16"/>
                <w:color w:val="0000FF"/>
              </w:rPr>
            </w:pPr>
            <w:hyperlink r:id="rId92">
              <w:r>
                <w:rPr>
                  <w:rFonts w:ascii="Times New Roman" w:cs="Times New Roman" w:eastAsia="Times New Roman" w:hAnsi="Times New Roman"/>
                  <w:sz w:val="16"/>
                  <w:szCs w:val="16"/>
                  <w:color w:val="0000FF"/>
                </w:rPr>
                <w:t>Director Long-Term Incentive Plan, as Amended</w:t>
              </w:r>
            </w:hyperlink>
          </w:p>
        </w:tc>
        <w:tc>
          <w:tcPr>
            <w:tcW w:w="400" w:type="dxa"/>
            <w:vAlign w:val="bottom"/>
            <w:tcBorders>
              <w:top w:val="single" w:sz="8" w:color="0000FF"/>
            </w:tcBorders>
            <w:gridSpan w:val="8"/>
          </w:tcPr>
          <w:p>
            <w:pPr>
              <w:spacing w:after="0"/>
              <w:rPr>
                <w:sz w:val="13"/>
                <w:szCs w:val="13"/>
                <w:color w:val="auto"/>
              </w:rPr>
            </w:pPr>
          </w:p>
        </w:tc>
        <w:tc>
          <w:tcPr>
            <w:tcW w:w="1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120" w:type="dxa"/>
            <w:vAlign w:val="bottom"/>
            <w:gridSpan w:val="4"/>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3"/>
              </w:rPr>
              <w:t>10.4*</w:t>
            </w:r>
          </w:p>
        </w:tc>
        <w:tc>
          <w:tcPr>
            <w:tcW w:w="4340" w:type="dxa"/>
            <w:vAlign w:val="bottom"/>
            <w:gridSpan w:val="34"/>
          </w:tcPr>
          <w:p>
            <w:pPr>
              <w:spacing w:after="0"/>
              <w:rPr>
                <w:rFonts w:ascii="Times New Roman" w:cs="Times New Roman" w:eastAsia="Times New Roman" w:hAnsi="Times New Roman"/>
                <w:sz w:val="18"/>
                <w:szCs w:val="18"/>
                <w:color w:val="0000FF"/>
              </w:rPr>
            </w:pPr>
            <w:hyperlink r:id="rId93">
              <w:r>
                <w:rPr>
                  <w:rFonts w:ascii="Times New Roman" w:cs="Times New Roman" w:eastAsia="Times New Roman" w:hAnsi="Times New Roman"/>
                  <w:sz w:val="18"/>
                  <w:szCs w:val="18"/>
                  <w:color w:val="0000FF"/>
                </w:rPr>
                <w:t>Form of Nonstatutory Stock Option Agreement under the</w:t>
              </w:r>
            </w:hyperlink>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10-Q</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001-05560</w:t>
            </w:r>
          </w:p>
        </w:tc>
        <w:tc>
          <w:tcPr>
            <w:tcW w:w="9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10.OO</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5/7/2008</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1"/>
        </w:trPr>
        <w:tc>
          <w:tcPr>
            <w:tcW w:w="1300" w:type="dxa"/>
            <w:vAlign w:val="bottom"/>
          </w:tcPr>
          <w:p>
            <w:pPr>
              <w:spacing w:after="0"/>
              <w:rPr>
                <w:sz w:val="13"/>
                <w:szCs w:val="13"/>
                <w:color w:val="auto"/>
              </w:rPr>
            </w:pPr>
          </w:p>
        </w:tc>
        <w:tc>
          <w:tcPr>
            <w:tcW w:w="3720" w:type="dxa"/>
            <w:vAlign w:val="bottom"/>
            <w:tcBorders>
              <w:top w:val="single" w:sz="8" w:color="0000FF"/>
              <w:bottom w:val="single" w:sz="8" w:color="0000FF"/>
            </w:tcBorders>
            <w:gridSpan w:val="17"/>
          </w:tcPr>
          <w:p>
            <w:pPr>
              <w:spacing w:after="0" w:line="151" w:lineRule="exact"/>
              <w:rPr>
                <w:rFonts w:ascii="Times New Roman" w:cs="Times New Roman" w:eastAsia="Times New Roman" w:hAnsi="Times New Roman"/>
                <w:sz w:val="16"/>
                <w:szCs w:val="16"/>
                <w:color w:val="0000FF"/>
              </w:rPr>
            </w:pPr>
            <w:hyperlink r:id="rId93">
              <w:r>
                <w:rPr>
                  <w:rFonts w:ascii="Times New Roman" w:cs="Times New Roman" w:eastAsia="Times New Roman" w:hAnsi="Times New Roman"/>
                  <w:sz w:val="16"/>
                  <w:szCs w:val="16"/>
                  <w:color w:val="0000FF"/>
                </w:rPr>
                <w:t>Company’s 2008 Director Long-Term Incentive Plan</w:t>
              </w:r>
            </w:hyperlink>
          </w:p>
        </w:tc>
        <w:tc>
          <w:tcPr>
            <w:tcW w:w="320" w:type="dxa"/>
            <w:vAlign w:val="bottom"/>
            <w:tcBorders>
              <w:top w:val="single" w:sz="8" w:color="0000FF"/>
            </w:tcBorders>
            <w:gridSpan w:val="7"/>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120" w:type="dxa"/>
            <w:vAlign w:val="bottom"/>
            <w:gridSpan w:val="4"/>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3"/>
              </w:rPr>
              <w:t>10.5*</w:t>
            </w:r>
          </w:p>
        </w:tc>
        <w:tc>
          <w:tcPr>
            <w:tcW w:w="4340" w:type="dxa"/>
            <w:vAlign w:val="bottom"/>
            <w:gridSpan w:val="34"/>
          </w:tcPr>
          <w:p>
            <w:pPr>
              <w:spacing w:after="0"/>
              <w:rPr>
                <w:rFonts w:ascii="Times New Roman" w:cs="Times New Roman" w:eastAsia="Times New Roman" w:hAnsi="Times New Roman"/>
                <w:sz w:val="18"/>
                <w:szCs w:val="18"/>
                <w:color w:val="0000FF"/>
              </w:rPr>
            </w:pPr>
            <w:hyperlink r:id="rId94">
              <w:r>
                <w:rPr>
                  <w:rFonts w:ascii="Times New Roman" w:cs="Times New Roman" w:eastAsia="Times New Roman" w:hAnsi="Times New Roman"/>
                  <w:sz w:val="18"/>
                  <w:szCs w:val="18"/>
                  <w:color w:val="0000FF"/>
                </w:rPr>
                <w:t>Form of Restricted Stock Unit Agreement under the</w:t>
              </w:r>
            </w:hyperlink>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10-Q</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001-05560</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10.2</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5/4/2016</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1"/>
        </w:trPr>
        <w:tc>
          <w:tcPr>
            <w:tcW w:w="1300" w:type="dxa"/>
            <w:vAlign w:val="bottom"/>
          </w:tcPr>
          <w:p>
            <w:pPr>
              <w:spacing w:after="0"/>
              <w:rPr>
                <w:sz w:val="13"/>
                <w:szCs w:val="13"/>
                <w:color w:val="auto"/>
              </w:rPr>
            </w:pPr>
          </w:p>
        </w:tc>
        <w:tc>
          <w:tcPr>
            <w:tcW w:w="3640" w:type="dxa"/>
            <w:vAlign w:val="bottom"/>
            <w:tcBorders>
              <w:top w:val="single" w:sz="8" w:color="0000FF"/>
              <w:bottom w:val="single" w:sz="8" w:color="0000FF"/>
            </w:tcBorders>
            <w:gridSpan w:val="16"/>
          </w:tcPr>
          <w:p>
            <w:pPr>
              <w:spacing w:after="0" w:line="151" w:lineRule="exact"/>
              <w:rPr>
                <w:rFonts w:ascii="Times New Roman" w:cs="Times New Roman" w:eastAsia="Times New Roman" w:hAnsi="Times New Roman"/>
                <w:sz w:val="16"/>
                <w:szCs w:val="16"/>
                <w:color w:val="0000FF"/>
              </w:rPr>
            </w:pPr>
            <w:hyperlink r:id="rId94">
              <w:r>
                <w:rPr>
                  <w:rFonts w:ascii="Times New Roman" w:cs="Times New Roman" w:eastAsia="Times New Roman" w:hAnsi="Times New Roman"/>
                  <w:sz w:val="16"/>
                  <w:szCs w:val="16"/>
                  <w:color w:val="0000FF"/>
                </w:rPr>
                <w:t>Company’s 2008 Director Long-Term Incentive Plan</w:t>
              </w:r>
            </w:hyperlink>
          </w:p>
        </w:tc>
        <w:tc>
          <w:tcPr>
            <w:tcW w:w="80" w:type="dxa"/>
            <w:vAlign w:val="bottom"/>
            <w:tcBorders>
              <w:bottom w:val="single" w:sz="8" w:color="0000FF"/>
            </w:tcBorders>
          </w:tcPr>
          <w:p>
            <w:pPr>
              <w:spacing w:after="0"/>
              <w:rPr>
                <w:sz w:val="13"/>
                <w:szCs w:val="13"/>
                <w:color w:val="auto"/>
              </w:rPr>
            </w:pPr>
          </w:p>
        </w:tc>
        <w:tc>
          <w:tcPr>
            <w:tcW w:w="100" w:type="dxa"/>
            <w:vAlign w:val="bottom"/>
            <w:gridSpan w:val="2"/>
          </w:tcPr>
          <w:p>
            <w:pPr>
              <w:spacing w:after="0"/>
              <w:rPr>
                <w:sz w:val="13"/>
                <w:szCs w:val="13"/>
                <w:color w:val="auto"/>
              </w:rPr>
            </w:pPr>
          </w:p>
        </w:tc>
        <w:tc>
          <w:tcPr>
            <w:tcW w:w="18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c>
          <w:tcPr>
            <w:tcW w:w="120" w:type="dxa"/>
            <w:vAlign w:val="bottom"/>
            <w:gridSpan w:val="4"/>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3"/>
              </w:rPr>
              <w:t>10.6*</w:t>
            </w:r>
          </w:p>
        </w:tc>
        <w:tc>
          <w:tcPr>
            <w:tcW w:w="4340" w:type="dxa"/>
            <w:vAlign w:val="bottom"/>
            <w:gridSpan w:val="34"/>
          </w:tcPr>
          <w:p>
            <w:pPr>
              <w:spacing w:after="0"/>
              <w:rPr>
                <w:rFonts w:ascii="Times New Roman" w:cs="Times New Roman" w:eastAsia="Times New Roman" w:hAnsi="Times New Roman"/>
                <w:sz w:val="18"/>
                <w:szCs w:val="18"/>
                <w:color w:val="0000FF"/>
              </w:rPr>
            </w:pPr>
            <w:hyperlink r:id="rId95">
              <w:r>
                <w:rPr>
                  <w:rFonts w:ascii="Times New Roman" w:cs="Times New Roman" w:eastAsia="Times New Roman" w:hAnsi="Times New Roman"/>
                  <w:sz w:val="18"/>
                  <w:szCs w:val="18"/>
                  <w:color w:val="0000FF"/>
                </w:rPr>
                <w:t>Skyworks Solutions, Inc. Second Amended and Restated</w:t>
              </w:r>
            </w:hyperlink>
          </w:p>
        </w:tc>
        <w:tc>
          <w:tcPr>
            <w:tcW w:w="960" w:type="dxa"/>
            <w:vAlign w:val="bottom"/>
          </w:tcPr>
          <w:p>
            <w:pPr>
              <w:jc w:val="center"/>
              <w:ind w:right="13"/>
              <w:spacing w:after="0"/>
              <w:rPr>
                <w:sz w:val="20"/>
                <w:szCs w:val="20"/>
                <w:color w:val="auto"/>
              </w:rPr>
            </w:pPr>
            <w:r>
              <w:rPr>
                <w:rFonts w:ascii="Times New Roman" w:cs="Times New Roman" w:eastAsia="Times New Roman" w:hAnsi="Times New Roman"/>
                <w:sz w:val="18"/>
                <w:szCs w:val="18"/>
                <w:color w:val="auto"/>
                <w:w w:val="94"/>
              </w:rPr>
              <w:t>DEF 14A</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001-05560</w:t>
            </w:r>
          </w:p>
        </w:tc>
        <w:tc>
          <w:tcPr>
            <w:tcW w:w="92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3/28/2024</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7"/>
        </w:trPr>
        <w:tc>
          <w:tcPr>
            <w:tcW w:w="1300" w:type="dxa"/>
            <w:vAlign w:val="bottom"/>
          </w:tcPr>
          <w:p>
            <w:pPr>
              <w:spacing w:after="0"/>
              <w:rPr>
                <w:sz w:val="15"/>
                <w:szCs w:val="15"/>
                <w:color w:val="auto"/>
              </w:rPr>
            </w:pPr>
          </w:p>
        </w:tc>
        <w:tc>
          <w:tcPr>
            <w:tcW w:w="4000" w:type="dxa"/>
            <w:vAlign w:val="bottom"/>
            <w:tcBorders>
              <w:top w:val="single" w:sz="8" w:color="0000FF"/>
              <w:bottom w:val="single" w:sz="8" w:color="0000FF"/>
            </w:tcBorders>
            <w:gridSpan w:val="22"/>
          </w:tcPr>
          <w:p>
            <w:pPr>
              <w:spacing w:after="0" w:line="177" w:lineRule="exact"/>
              <w:rPr>
                <w:rFonts w:ascii="Times New Roman" w:cs="Times New Roman" w:eastAsia="Times New Roman" w:hAnsi="Times New Roman"/>
                <w:sz w:val="18"/>
                <w:szCs w:val="18"/>
                <w:color w:val="0000FF"/>
                <w:w w:val="93"/>
              </w:rPr>
            </w:pPr>
            <w:hyperlink r:id="rId95">
              <w:r>
                <w:rPr>
                  <w:rFonts w:ascii="Times New Roman" w:cs="Times New Roman" w:eastAsia="Times New Roman" w:hAnsi="Times New Roman"/>
                  <w:sz w:val="18"/>
                  <w:szCs w:val="18"/>
                  <w:color w:val="0000FF"/>
                  <w:w w:val="93"/>
                </w:rPr>
                <w:t>2015 Long-Term Incentive Plan (incorporated by reference</w:t>
              </w:r>
            </w:hyperlink>
          </w:p>
        </w:tc>
        <w:tc>
          <w:tcPr>
            <w:tcW w:w="20" w:type="dxa"/>
            <w:vAlign w:val="bottom"/>
            <w:tcBorders>
              <w:bottom w:val="single" w:sz="8" w:color="0000FF"/>
            </w:tcBorders>
          </w:tcPr>
          <w:p>
            <w:pPr>
              <w:spacing w:after="0"/>
              <w:rPr>
                <w:sz w:val="15"/>
                <w:szCs w:val="15"/>
                <w:color w:val="auto"/>
              </w:rPr>
            </w:pPr>
          </w:p>
        </w:tc>
        <w:tc>
          <w:tcPr>
            <w:tcW w:w="40" w:type="dxa"/>
            <w:vAlign w:val="bottom"/>
            <w:tcBorders>
              <w:bottom w:val="single" w:sz="8" w:color="0000FF"/>
            </w:tcBorders>
            <w:gridSpan w:val="2"/>
          </w:tcPr>
          <w:p>
            <w:pPr>
              <w:spacing w:after="0"/>
              <w:rPr>
                <w:sz w:val="15"/>
                <w:szCs w:val="15"/>
                <w:color w:val="auto"/>
              </w:rPr>
            </w:pPr>
          </w:p>
        </w:tc>
        <w:tc>
          <w:tcPr>
            <w:tcW w:w="80" w:type="dxa"/>
            <w:vAlign w:val="bottom"/>
            <w:tcBorders>
              <w:bottom w:val="single" w:sz="8" w:color="0000FF"/>
            </w:tcBorders>
            <w:gridSpan w:val="4"/>
          </w:tcPr>
          <w:p>
            <w:pPr>
              <w:spacing w:after="0"/>
              <w:rPr>
                <w:sz w:val="15"/>
                <w:szCs w:val="15"/>
                <w:color w:val="auto"/>
              </w:rPr>
            </w:pPr>
          </w:p>
        </w:tc>
        <w:tc>
          <w:tcPr>
            <w:tcW w:w="120" w:type="dxa"/>
            <w:vAlign w:val="bottom"/>
            <w:gridSpan w:val="4"/>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300" w:type="dxa"/>
            <w:vAlign w:val="bottom"/>
          </w:tcPr>
          <w:p>
            <w:pPr>
              <w:spacing w:after="0"/>
              <w:rPr>
                <w:sz w:val="15"/>
                <w:szCs w:val="15"/>
                <w:color w:val="auto"/>
              </w:rPr>
            </w:pPr>
          </w:p>
        </w:tc>
        <w:tc>
          <w:tcPr>
            <w:tcW w:w="4140" w:type="dxa"/>
            <w:vAlign w:val="bottom"/>
            <w:gridSpan w:val="29"/>
          </w:tcPr>
          <w:p>
            <w:pPr>
              <w:spacing w:after="0" w:line="177" w:lineRule="exact"/>
              <w:rPr>
                <w:rFonts w:ascii="Times New Roman" w:cs="Times New Roman" w:eastAsia="Times New Roman" w:hAnsi="Times New Roman"/>
                <w:sz w:val="18"/>
                <w:szCs w:val="18"/>
                <w:color w:val="0000FF"/>
              </w:rPr>
            </w:pPr>
            <w:hyperlink r:id="rId95">
              <w:r>
                <w:rPr>
                  <w:rFonts w:ascii="Times New Roman" w:cs="Times New Roman" w:eastAsia="Times New Roman" w:hAnsi="Times New Roman"/>
                  <w:sz w:val="18"/>
                  <w:szCs w:val="18"/>
                  <w:color w:val="0000FF"/>
                </w:rPr>
                <w:t>to Annex 1 to the Company's Definitive Proxy Statement</w:t>
              </w:r>
            </w:hyperlink>
          </w:p>
        </w:tc>
        <w:tc>
          <w:tcPr>
            <w:tcW w:w="120" w:type="dxa"/>
            <w:vAlign w:val="bottom"/>
            <w:gridSpan w:val="4"/>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300" w:type="dxa"/>
            <w:vAlign w:val="bottom"/>
          </w:tcPr>
          <w:p>
            <w:pPr>
              <w:spacing w:after="0"/>
              <w:rPr>
                <w:sz w:val="15"/>
                <w:szCs w:val="15"/>
                <w:color w:val="auto"/>
              </w:rPr>
            </w:pPr>
          </w:p>
        </w:tc>
        <w:tc>
          <w:tcPr>
            <w:tcW w:w="4020" w:type="dxa"/>
            <w:vAlign w:val="bottom"/>
            <w:tcBorders>
              <w:top w:val="single" w:sz="8" w:color="0000FF"/>
            </w:tcBorders>
            <w:gridSpan w:val="23"/>
          </w:tcPr>
          <w:p>
            <w:pPr>
              <w:spacing w:after="0" w:line="177" w:lineRule="exact"/>
              <w:rPr>
                <w:rFonts w:ascii="Times New Roman" w:cs="Times New Roman" w:eastAsia="Times New Roman" w:hAnsi="Times New Roman"/>
                <w:sz w:val="18"/>
                <w:szCs w:val="18"/>
                <w:color w:val="0000FF"/>
              </w:rPr>
            </w:pPr>
            <w:hyperlink r:id="rId95">
              <w:r>
                <w:rPr>
                  <w:rFonts w:ascii="Times New Roman" w:cs="Times New Roman" w:eastAsia="Times New Roman" w:hAnsi="Times New Roman"/>
                  <w:sz w:val="18"/>
                  <w:szCs w:val="18"/>
                  <w:color w:val="0000FF"/>
                </w:rPr>
                <w:t>filed with the SEC on March 28, 2024)</w:t>
              </w:r>
            </w:hyperlink>
          </w:p>
        </w:tc>
        <w:tc>
          <w:tcPr>
            <w:tcW w:w="40" w:type="dxa"/>
            <w:vAlign w:val="bottom"/>
            <w:gridSpan w:val="2"/>
          </w:tcPr>
          <w:p>
            <w:pPr>
              <w:spacing w:after="0"/>
              <w:rPr>
                <w:sz w:val="15"/>
                <w:szCs w:val="15"/>
                <w:color w:val="auto"/>
              </w:rPr>
            </w:pPr>
          </w:p>
        </w:tc>
        <w:tc>
          <w:tcPr>
            <w:tcW w:w="200" w:type="dxa"/>
            <w:vAlign w:val="bottom"/>
            <w:gridSpan w:val="8"/>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720" w:type="dxa"/>
            <w:vAlign w:val="bottom"/>
            <w:gridSpan w:val="5"/>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340" w:type="dxa"/>
            <w:vAlign w:val="bottom"/>
            <w:gridSpan w:val="6"/>
          </w:tcPr>
          <w:p>
            <w:pPr>
              <w:spacing w:after="0" w:line="20" w:lineRule="exact"/>
              <w:rPr>
                <w:sz w:val="1"/>
                <w:szCs w:val="1"/>
                <w:color w:val="auto"/>
              </w:rPr>
            </w:pPr>
          </w:p>
        </w:tc>
        <w:tc>
          <w:tcPr>
            <w:tcW w:w="240" w:type="dxa"/>
            <w:vAlign w:val="bottom"/>
            <w:gridSpan w:val="6"/>
          </w:tcPr>
          <w:p>
            <w:pPr>
              <w:spacing w:after="0" w:line="20" w:lineRule="exact"/>
              <w:rPr>
                <w:sz w:val="1"/>
                <w:szCs w:val="1"/>
                <w:color w:val="auto"/>
              </w:rPr>
            </w:pPr>
          </w:p>
        </w:tc>
        <w:tc>
          <w:tcPr>
            <w:tcW w:w="200" w:type="dxa"/>
            <w:vAlign w:val="bottom"/>
            <w:gridSpan w:val="8"/>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3"/>
              </w:rPr>
              <w:t>10.7*</w:t>
            </w:r>
          </w:p>
        </w:tc>
        <w:tc>
          <w:tcPr>
            <w:tcW w:w="4060" w:type="dxa"/>
            <w:vAlign w:val="bottom"/>
            <w:tcBorders>
              <w:bottom w:val="single" w:sz="8" w:color="0000FF"/>
            </w:tcBorders>
            <w:gridSpan w:val="25"/>
          </w:tcPr>
          <w:p>
            <w:pPr>
              <w:spacing w:after="0"/>
              <w:rPr>
                <w:sz w:val="20"/>
                <w:szCs w:val="20"/>
                <w:color w:val="auto"/>
              </w:rPr>
            </w:pPr>
            <w:r>
              <w:rPr>
                <w:rFonts w:ascii="Times New Roman" w:cs="Times New Roman" w:eastAsia="Times New Roman" w:hAnsi="Times New Roman"/>
                <w:sz w:val="18"/>
                <w:szCs w:val="18"/>
                <w:color w:val="0000FF"/>
                <w:w w:val="97"/>
              </w:rPr>
              <w:t>Form of Nonstatutory Stock Option Agreement under the</w:t>
            </w:r>
          </w:p>
        </w:tc>
        <w:tc>
          <w:tcPr>
            <w:tcW w:w="280" w:type="dxa"/>
            <w:vAlign w:val="bottom"/>
            <w:gridSpan w:val="9"/>
          </w:tcPr>
          <w:p>
            <w:pPr>
              <w:spacing w:after="0"/>
              <w:rPr>
                <w:sz w:val="19"/>
                <w:szCs w:val="19"/>
                <w:color w:val="auto"/>
              </w:rPr>
            </w:pPr>
          </w:p>
        </w:tc>
        <w:tc>
          <w:tcPr>
            <w:tcW w:w="9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151"/>
        </w:trPr>
        <w:tc>
          <w:tcPr>
            <w:tcW w:w="1300" w:type="dxa"/>
            <w:vAlign w:val="bottom"/>
          </w:tcPr>
          <w:p>
            <w:pPr>
              <w:spacing w:after="0"/>
              <w:rPr>
                <w:sz w:val="13"/>
                <w:szCs w:val="13"/>
                <w:color w:val="auto"/>
              </w:rPr>
            </w:pPr>
          </w:p>
        </w:tc>
        <w:tc>
          <w:tcPr>
            <w:tcW w:w="4340" w:type="dxa"/>
            <w:vAlign w:val="bottom"/>
            <w:gridSpan w:val="34"/>
          </w:tcPr>
          <w:p>
            <w:pPr>
              <w:spacing w:after="0" w:line="151" w:lineRule="exact"/>
              <w:rPr>
                <w:sz w:val="20"/>
                <w:szCs w:val="20"/>
                <w:color w:val="auto"/>
              </w:rPr>
            </w:pPr>
            <w:r>
              <w:rPr>
                <w:rFonts w:ascii="Times New Roman" w:cs="Times New Roman" w:eastAsia="Times New Roman" w:hAnsi="Times New Roman"/>
                <w:sz w:val="16"/>
                <w:szCs w:val="16"/>
                <w:color w:val="0000FF"/>
              </w:rPr>
              <w:t>Company’s Second Amended and Restated 2015 Long-Term</w:t>
            </w:r>
          </w:p>
        </w:tc>
        <w:tc>
          <w:tcPr>
            <w:tcW w:w="9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1300" w:type="dxa"/>
            <w:vAlign w:val="bottom"/>
          </w:tcPr>
          <w:p>
            <w:pPr>
              <w:spacing w:after="0"/>
              <w:rPr>
                <w:sz w:val="14"/>
                <w:szCs w:val="14"/>
                <w:color w:val="auto"/>
              </w:rPr>
            </w:pPr>
          </w:p>
        </w:tc>
        <w:tc>
          <w:tcPr>
            <w:tcW w:w="1020" w:type="dxa"/>
            <w:vAlign w:val="bottom"/>
            <w:tcBorders>
              <w:top w:val="single" w:sz="8" w:color="0000FF"/>
              <w:bottom w:val="single" w:sz="8" w:color="0000FF"/>
            </w:tcBorders>
            <w:gridSpan w:val="3"/>
          </w:tcPr>
          <w:p>
            <w:pPr>
              <w:spacing w:after="0" w:line="163" w:lineRule="exact"/>
              <w:rPr>
                <w:sz w:val="20"/>
                <w:szCs w:val="20"/>
                <w:color w:val="auto"/>
              </w:rPr>
            </w:pPr>
            <w:r>
              <w:rPr>
                <w:rFonts w:ascii="Times New Roman" w:cs="Times New Roman" w:eastAsia="Times New Roman" w:hAnsi="Times New Roman"/>
                <w:sz w:val="18"/>
                <w:szCs w:val="18"/>
                <w:color w:val="0000FF"/>
                <w:w w:val="96"/>
              </w:rPr>
              <w:t>Incentive Plan</w:t>
            </w:r>
          </w:p>
        </w:tc>
        <w:tc>
          <w:tcPr>
            <w:tcW w:w="3240" w:type="dxa"/>
            <w:vAlign w:val="bottom"/>
            <w:tcBorders>
              <w:top w:val="single" w:sz="8" w:color="0000FF"/>
            </w:tcBorders>
            <w:gridSpan w:val="30"/>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1300" w:type="dxa"/>
            <w:vAlign w:val="bottom"/>
          </w:tcPr>
          <w:p>
            <w:pPr>
              <w:jc w:val="center"/>
              <w:spacing w:after="0" w:line="203" w:lineRule="exact"/>
              <w:rPr>
                <w:sz w:val="20"/>
                <w:szCs w:val="20"/>
                <w:color w:val="auto"/>
              </w:rPr>
            </w:pPr>
            <w:r>
              <w:rPr>
                <w:rFonts w:ascii="Times New Roman" w:cs="Times New Roman" w:eastAsia="Times New Roman" w:hAnsi="Times New Roman"/>
                <w:sz w:val="18"/>
                <w:szCs w:val="18"/>
                <w:color w:val="auto"/>
                <w:w w:val="93"/>
              </w:rPr>
              <w:t>10.8*</w:t>
            </w:r>
          </w:p>
        </w:tc>
        <w:tc>
          <w:tcPr>
            <w:tcW w:w="4340" w:type="dxa"/>
            <w:vAlign w:val="bottom"/>
            <w:gridSpan w:val="34"/>
          </w:tcPr>
          <w:p>
            <w:pPr>
              <w:spacing w:after="0" w:line="203" w:lineRule="exact"/>
              <w:rPr>
                <w:sz w:val="20"/>
                <w:szCs w:val="20"/>
                <w:color w:val="auto"/>
              </w:rPr>
            </w:pPr>
            <w:r>
              <w:rPr>
                <w:rFonts w:ascii="Times New Roman" w:cs="Times New Roman" w:eastAsia="Times New Roman" w:hAnsi="Times New Roman"/>
                <w:sz w:val="18"/>
                <w:szCs w:val="18"/>
                <w:color w:val="0000FF"/>
              </w:rPr>
              <w:t>Form of Performance Share Agreement under the</w:t>
            </w:r>
          </w:p>
        </w:tc>
        <w:tc>
          <w:tcPr>
            <w:tcW w:w="9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80" w:type="dxa"/>
            <w:vAlign w:val="bottom"/>
          </w:tcPr>
          <w:p>
            <w:pPr>
              <w:jc w:val="center"/>
              <w:spacing w:after="0" w:line="203" w:lineRule="exact"/>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151"/>
        </w:trPr>
        <w:tc>
          <w:tcPr>
            <w:tcW w:w="1300" w:type="dxa"/>
            <w:vAlign w:val="bottom"/>
          </w:tcPr>
          <w:p>
            <w:pPr>
              <w:spacing w:after="0"/>
              <w:rPr>
                <w:sz w:val="13"/>
                <w:szCs w:val="13"/>
                <w:color w:val="auto"/>
              </w:rPr>
            </w:pPr>
          </w:p>
        </w:tc>
        <w:tc>
          <w:tcPr>
            <w:tcW w:w="3480" w:type="dxa"/>
            <w:vAlign w:val="bottom"/>
            <w:tcBorders>
              <w:top w:val="single" w:sz="8" w:color="0000FF"/>
            </w:tcBorders>
            <w:gridSpan w:val="13"/>
          </w:tcPr>
          <w:p>
            <w:pPr>
              <w:spacing w:after="0" w:line="151" w:lineRule="exact"/>
              <w:rPr>
                <w:sz w:val="20"/>
                <w:szCs w:val="20"/>
                <w:color w:val="auto"/>
              </w:rPr>
            </w:pPr>
            <w:r>
              <w:rPr>
                <w:rFonts w:ascii="Times New Roman" w:cs="Times New Roman" w:eastAsia="Times New Roman" w:hAnsi="Times New Roman"/>
                <w:sz w:val="16"/>
                <w:szCs w:val="16"/>
                <w:color w:val="0000FF"/>
              </w:rPr>
              <w:t>Company’s Second Amended and Restated 2015</w:t>
            </w:r>
          </w:p>
        </w:tc>
        <w:tc>
          <w:tcPr>
            <w:tcW w:w="860" w:type="dxa"/>
            <w:vAlign w:val="bottom"/>
            <w:gridSpan w:val="21"/>
          </w:tcPr>
          <w:p>
            <w:pPr>
              <w:spacing w:after="0" w:line="151" w:lineRule="exact"/>
              <w:rPr>
                <w:sz w:val="20"/>
                <w:szCs w:val="20"/>
                <w:color w:val="auto"/>
              </w:rPr>
            </w:pPr>
            <w:r>
              <w:rPr>
                <w:rFonts w:ascii="Times New Roman" w:cs="Times New Roman" w:eastAsia="Times New Roman" w:hAnsi="Times New Roman"/>
                <w:sz w:val="16"/>
                <w:szCs w:val="16"/>
                <w:color w:val="0000FF"/>
              </w:rPr>
              <w:t>Long-Term</w:t>
            </w:r>
          </w:p>
        </w:tc>
        <w:tc>
          <w:tcPr>
            <w:tcW w:w="9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1300" w:type="dxa"/>
            <w:vAlign w:val="bottom"/>
          </w:tcPr>
          <w:p>
            <w:pPr>
              <w:spacing w:after="0"/>
              <w:rPr>
                <w:sz w:val="14"/>
                <w:szCs w:val="14"/>
                <w:color w:val="auto"/>
              </w:rPr>
            </w:pPr>
          </w:p>
        </w:tc>
        <w:tc>
          <w:tcPr>
            <w:tcW w:w="1020" w:type="dxa"/>
            <w:vAlign w:val="bottom"/>
            <w:tcBorders>
              <w:top w:val="single" w:sz="8" w:color="0000FF"/>
              <w:bottom w:val="single" w:sz="8" w:color="0000FF"/>
            </w:tcBorders>
            <w:gridSpan w:val="3"/>
          </w:tcPr>
          <w:p>
            <w:pPr>
              <w:spacing w:after="0" w:line="163" w:lineRule="exact"/>
              <w:rPr>
                <w:sz w:val="20"/>
                <w:szCs w:val="20"/>
                <w:color w:val="auto"/>
              </w:rPr>
            </w:pPr>
            <w:r>
              <w:rPr>
                <w:rFonts w:ascii="Times New Roman" w:cs="Times New Roman" w:eastAsia="Times New Roman" w:hAnsi="Times New Roman"/>
                <w:sz w:val="18"/>
                <w:szCs w:val="18"/>
                <w:color w:val="0000FF"/>
                <w:w w:val="96"/>
              </w:rPr>
              <w:t>Incentive Plan</w:t>
            </w:r>
          </w:p>
        </w:tc>
        <w:tc>
          <w:tcPr>
            <w:tcW w:w="3240" w:type="dxa"/>
            <w:vAlign w:val="bottom"/>
            <w:tcBorders>
              <w:top w:val="single" w:sz="8" w:color="0000FF"/>
            </w:tcBorders>
            <w:gridSpan w:val="30"/>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1300" w:type="dxa"/>
            <w:vAlign w:val="bottom"/>
          </w:tcPr>
          <w:p>
            <w:pPr>
              <w:jc w:val="center"/>
              <w:spacing w:after="0" w:line="203" w:lineRule="exact"/>
              <w:rPr>
                <w:sz w:val="20"/>
                <w:szCs w:val="20"/>
                <w:color w:val="auto"/>
              </w:rPr>
            </w:pPr>
            <w:r>
              <w:rPr>
                <w:rFonts w:ascii="Times New Roman" w:cs="Times New Roman" w:eastAsia="Times New Roman" w:hAnsi="Times New Roman"/>
                <w:sz w:val="18"/>
                <w:szCs w:val="18"/>
                <w:color w:val="auto"/>
                <w:w w:val="93"/>
              </w:rPr>
              <w:t>10.9*</w:t>
            </w:r>
          </w:p>
        </w:tc>
        <w:tc>
          <w:tcPr>
            <w:tcW w:w="4340" w:type="dxa"/>
            <w:vAlign w:val="bottom"/>
            <w:gridSpan w:val="34"/>
          </w:tcPr>
          <w:p>
            <w:pPr>
              <w:spacing w:after="0" w:line="203" w:lineRule="exact"/>
              <w:rPr>
                <w:sz w:val="20"/>
                <w:szCs w:val="20"/>
                <w:color w:val="auto"/>
              </w:rPr>
            </w:pPr>
            <w:r>
              <w:rPr>
                <w:rFonts w:ascii="Times New Roman" w:cs="Times New Roman" w:eastAsia="Times New Roman" w:hAnsi="Times New Roman"/>
                <w:sz w:val="18"/>
                <w:szCs w:val="18"/>
                <w:color w:val="0000FF"/>
              </w:rPr>
              <w:t>Form of Restricted Stock Unit Agreement under the</w:t>
            </w:r>
          </w:p>
        </w:tc>
        <w:tc>
          <w:tcPr>
            <w:tcW w:w="9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80" w:type="dxa"/>
            <w:vAlign w:val="bottom"/>
          </w:tcPr>
          <w:p>
            <w:pPr>
              <w:jc w:val="center"/>
              <w:spacing w:after="0" w:line="203" w:lineRule="exact"/>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320" w:type="dxa"/>
            <w:vAlign w:val="bottom"/>
            <w:gridSpan w:val="9"/>
            <w:shd w:val="clear" w:color="auto" w:fill="0000FF"/>
          </w:tcPr>
          <w:p>
            <w:pPr>
              <w:spacing w:after="0" w:line="20" w:lineRule="exact"/>
              <w:rPr>
                <w:sz w:val="1"/>
                <w:szCs w:val="1"/>
                <w:color w:val="auto"/>
              </w:rPr>
            </w:pPr>
          </w:p>
        </w:tc>
        <w:tc>
          <w:tcPr>
            <w:tcW w:w="660" w:type="dxa"/>
            <w:vAlign w:val="bottom"/>
            <w:gridSpan w:val="6"/>
            <w:shd w:val="clear" w:color="auto" w:fill="0000FF"/>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520" w:type="dxa"/>
            <w:vAlign w:val="bottom"/>
            <w:gridSpan w:val="15"/>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1300" w:type="dxa"/>
            <w:vAlign w:val="bottom"/>
          </w:tcPr>
          <w:p>
            <w:pPr>
              <w:spacing w:after="0"/>
              <w:rPr>
                <w:sz w:val="13"/>
                <w:szCs w:val="13"/>
                <w:color w:val="auto"/>
              </w:rPr>
            </w:pPr>
          </w:p>
        </w:tc>
        <w:tc>
          <w:tcPr>
            <w:tcW w:w="4340" w:type="dxa"/>
            <w:vAlign w:val="bottom"/>
            <w:gridSpan w:val="34"/>
          </w:tcPr>
          <w:p>
            <w:pPr>
              <w:spacing w:after="0" w:line="151" w:lineRule="exact"/>
              <w:rPr>
                <w:sz w:val="20"/>
                <w:szCs w:val="20"/>
                <w:color w:val="auto"/>
              </w:rPr>
            </w:pPr>
            <w:r>
              <w:rPr>
                <w:rFonts w:ascii="Times New Roman" w:cs="Times New Roman" w:eastAsia="Times New Roman" w:hAnsi="Times New Roman"/>
                <w:sz w:val="16"/>
                <w:szCs w:val="16"/>
                <w:color w:val="0000FF"/>
              </w:rPr>
              <w:t>Company’s Second Amended and Restated 2015 Long-Term</w:t>
            </w:r>
          </w:p>
        </w:tc>
        <w:tc>
          <w:tcPr>
            <w:tcW w:w="9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1300" w:type="dxa"/>
            <w:vAlign w:val="bottom"/>
          </w:tcPr>
          <w:p>
            <w:pPr>
              <w:spacing w:after="0"/>
              <w:rPr>
                <w:sz w:val="14"/>
                <w:szCs w:val="14"/>
                <w:color w:val="auto"/>
              </w:rPr>
            </w:pPr>
          </w:p>
        </w:tc>
        <w:tc>
          <w:tcPr>
            <w:tcW w:w="1020" w:type="dxa"/>
            <w:vAlign w:val="bottom"/>
            <w:tcBorders>
              <w:top w:val="single" w:sz="8" w:color="0000FF"/>
              <w:bottom w:val="single" w:sz="8" w:color="0000FF"/>
            </w:tcBorders>
            <w:gridSpan w:val="3"/>
          </w:tcPr>
          <w:p>
            <w:pPr>
              <w:spacing w:after="0" w:line="163" w:lineRule="exact"/>
              <w:rPr>
                <w:sz w:val="20"/>
                <w:szCs w:val="20"/>
                <w:color w:val="auto"/>
              </w:rPr>
            </w:pPr>
            <w:r>
              <w:rPr>
                <w:rFonts w:ascii="Times New Roman" w:cs="Times New Roman" w:eastAsia="Times New Roman" w:hAnsi="Times New Roman"/>
                <w:sz w:val="18"/>
                <w:szCs w:val="18"/>
                <w:color w:val="0000FF"/>
                <w:w w:val="96"/>
              </w:rPr>
              <w:t>Incentive Plan</w:t>
            </w:r>
          </w:p>
        </w:tc>
        <w:tc>
          <w:tcPr>
            <w:tcW w:w="3240" w:type="dxa"/>
            <w:vAlign w:val="bottom"/>
            <w:tcBorders>
              <w:top w:val="single" w:sz="8" w:color="0000FF"/>
            </w:tcBorders>
            <w:gridSpan w:val="30"/>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1300" w:type="dxa"/>
            <w:vAlign w:val="bottom"/>
          </w:tcPr>
          <w:p>
            <w:pPr>
              <w:jc w:val="center"/>
              <w:spacing w:after="0" w:line="203" w:lineRule="exact"/>
              <w:rPr>
                <w:sz w:val="20"/>
                <w:szCs w:val="20"/>
                <w:color w:val="auto"/>
              </w:rPr>
            </w:pPr>
            <w:r>
              <w:rPr>
                <w:rFonts w:ascii="Times New Roman" w:cs="Times New Roman" w:eastAsia="Times New Roman" w:hAnsi="Times New Roman"/>
                <w:sz w:val="18"/>
                <w:szCs w:val="18"/>
                <w:color w:val="auto"/>
              </w:rPr>
              <w:t>10.10*^</w:t>
            </w:r>
          </w:p>
        </w:tc>
        <w:tc>
          <w:tcPr>
            <w:tcW w:w="2980" w:type="dxa"/>
            <w:vAlign w:val="bottom"/>
            <w:tcBorders>
              <w:bottom w:val="single" w:sz="8" w:color="0000FF"/>
            </w:tcBorders>
            <w:gridSpan w:val="10"/>
          </w:tcPr>
          <w:p>
            <w:pPr>
              <w:spacing w:after="0" w:line="203" w:lineRule="exact"/>
              <w:rPr>
                <w:rFonts w:ascii="Times New Roman" w:cs="Times New Roman" w:eastAsia="Times New Roman" w:hAnsi="Times New Roman"/>
                <w:sz w:val="18"/>
                <w:szCs w:val="18"/>
                <w:color w:val="0000FF"/>
                <w:w w:val="96"/>
              </w:rPr>
            </w:pPr>
            <w:hyperlink r:id="rId96">
              <w:r>
                <w:rPr>
                  <w:rFonts w:ascii="Times New Roman" w:cs="Times New Roman" w:eastAsia="Times New Roman" w:hAnsi="Times New Roman"/>
                  <w:sz w:val="18"/>
                  <w:szCs w:val="18"/>
                  <w:color w:val="0000FF"/>
                  <w:w w:val="96"/>
                </w:rPr>
                <w:t>Fiscal Year 2024 Executive Incentive Plan</w:t>
              </w:r>
            </w:hyperlink>
          </w:p>
        </w:tc>
        <w:tc>
          <w:tcPr>
            <w:tcW w:w="1360" w:type="dxa"/>
            <w:vAlign w:val="bottom"/>
            <w:gridSpan w:val="24"/>
          </w:tcPr>
          <w:p>
            <w:pPr>
              <w:spacing w:after="0"/>
              <w:rPr>
                <w:sz w:val="17"/>
                <w:szCs w:val="17"/>
                <w:color w:val="auto"/>
              </w:rPr>
            </w:pPr>
          </w:p>
        </w:tc>
        <w:tc>
          <w:tcPr>
            <w:tcW w:w="960" w:type="dxa"/>
            <w:vAlign w:val="bottom"/>
          </w:tcPr>
          <w:p>
            <w:pPr>
              <w:jc w:val="center"/>
              <w:spacing w:after="0" w:line="203" w:lineRule="exact"/>
              <w:rPr>
                <w:sz w:val="20"/>
                <w:szCs w:val="20"/>
                <w:color w:val="auto"/>
              </w:rPr>
            </w:pPr>
            <w:r>
              <w:rPr>
                <w:rFonts w:ascii="Times New Roman" w:cs="Times New Roman" w:eastAsia="Times New Roman" w:hAnsi="Times New Roman"/>
                <w:sz w:val="18"/>
                <w:szCs w:val="18"/>
                <w:color w:val="auto"/>
                <w:w w:val="97"/>
              </w:rPr>
              <w:t>10-Q</w:t>
            </w:r>
          </w:p>
        </w:tc>
        <w:tc>
          <w:tcPr>
            <w:tcW w:w="1200" w:type="dxa"/>
            <w:vAlign w:val="bottom"/>
          </w:tcPr>
          <w:p>
            <w:pPr>
              <w:jc w:val="center"/>
              <w:spacing w:after="0" w:line="203" w:lineRule="exact"/>
              <w:rPr>
                <w:sz w:val="20"/>
                <w:szCs w:val="20"/>
                <w:color w:val="auto"/>
              </w:rPr>
            </w:pPr>
            <w:r>
              <w:rPr>
                <w:rFonts w:ascii="Times New Roman" w:cs="Times New Roman" w:eastAsia="Times New Roman" w:hAnsi="Times New Roman"/>
                <w:sz w:val="18"/>
                <w:szCs w:val="18"/>
                <w:color w:val="auto"/>
                <w:w w:val="97"/>
              </w:rPr>
              <w:t>001-05560</w:t>
            </w:r>
          </w:p>
        </w:tc>
        <w:tc>
          <w:tcPr>
            <w:tcW w:w="920" w:type="dxa"/>
            <w:vAlign w:val="bottom"/>
          </w:tcPr>
          <w:p>
            <w:pPr>
              <w:jc w:val="center"/>
              <w:spacing w:after="0" w:line="203" w:lineRule="exact"/>
              <w:rPr>
                <w:sz w:val="20"/>
                <w:szCs w:val="20"/>
                <w:color w:val="auto"/>
              </w:rPr>
            </w:pPr>
            <w:r>
              <w:rPr>
                <w:rFonts w:ascii="Times New Roman" w:cs="Times New Roman" w:eastAsia="Times New Roman" w:hAnsi="Times New Roman"/>
                <w:sz w:val="18"/>
                <w:szCs w:val="18"/>
                <w:color w:val="auto"/>
                <w:w w:val="95"/>
              </w:rPr>
              <w:t>10.1</w:t>
            </w:r>
          </w:p>
        </w:tc>
        <w:tc>
          <w:tcPr>
            <w:tcW w:w="1160" w:type="dxa"/>
            <w:vAlign w:val="bottom"/>
          </w:tcPr>
          <w:p>
            <w:pPr>
              <w:jc w:val="center"/>
              <w:spacing w:after="0" w:line="203" w:lineRule="exact"/>
              <w:rPr>
                <w:sz w:val="20"/>
                <w:szCs w:val="20"/>
                <w:color w:val="auto"/>
              </w:rPr>
            </w:pPr>
            <w:r>
              <w:rPr>
                <w:rFonts w:ascii="Times New Roman" w:cs="Times New Roman" w:eastAsia="Times New Roman" w:hAnsi="Times New Roman"/>
                <w:sz w:val="18"/>
                <w:szCs w:val="18"/>
                <w:color w:val="auto"/>
                <w:w w:val="95"/>
              </w:rPr>
              <w:t>1/31/2024</w:t>
            </w: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00" w:type="dxa"/>
            <w:vAlign w:val="bottom"/>
          </w:tcPr>
          <w:p>
            <w:pPr>
              <w:jc w:val="center"/>
              <w:spacing w:after="0" w:line="203" w:lineRule="exact"/>
              <w:rPr>
                <w:sz w:val="20"/>
                <w:szCs w:val="20"/>
                <w:color w:val="auto"/>
              </w:rPr>
            </w:pPr>
            <w:r>
              <w:rPr>
                <w:rFonts w:ascii="Times New Roman" w:cs="Times New Roman" w:eastAsia="Times New Roman" w:hAnsi="Times New Roman"/>
                <w:sz w:val="18"/>
                <w:szCs w:val="18"/>
                <w:color w:val="auto"/>
                <w:w w:val="92"/>
              </w:rPr>
              <w:t>10.11*</w:t>
            </w:r>
          </w:p>
        </w:tc>
        <w:tc>
          <w:tcPr>
            <w:tcW w:w="4340" w:type="dxa"/>
            <w:vAlign w:val="bottom"/>
            <w:gridSpan w:val="34"/>
          </w:tcPr>
          <w:p>
            <w:pPr>
              <w:spacing w:after="0" w:line="203" w:lineRule="exact"/>
              <w:rPr>
                <w:rFonts w:ascii="Times New Roman" w:cs="Times New Roman" w:eastAsia="Times New Roman" w:hAnsi="Times New Roman"/>
                <w:sz w:val="18"/>
                <w:szCs w:val="18"/>
                <w:color w:val="0000FF"/>
              </w:rPr>
            </w:pPr>
            <w:hyperlink r:id="rId97">
              <w:r>
                <w:rPr>
                  <w:rFonts w:ascii="Times New Roman" w:cs="Times New Roman" w:eastAsia="Times New Roman" w:hAnsi="Times New Roman"/>
                  <w:sz w:val="18"/>
                  <w:szCs w:val="18"/>
                  <w:color w:val="0000FF"/>
                </w:rPr>
                <w:t>Skyworks Solutions, Inc. Cash Compensation Plan for</w:t>
              </w:r>
            </w:hyperlink>
          </w:p>
        </w:tc>
        <w:tc>
          <w:tcPr>
            <w:tcW w:w="960" w:type="dxa"/>
            <w:vAlign w:val="bottom"/>
          </w:tcPr>
          <w:p>
            <w:pPr>
              <w:jc w:val="center"/>
              <w:spacing w:after="0" w:line="203" w:lineRule="exact"/>
              <w:rPr>
                <w:sz w:val="20"/>
                <w:szCs w:val="20"/>
                <w:color w:val="auto"/>
              </w:rPr>
            </w:pPr>
            <w:r>
              <w:rPr>
                <w:rFonts w:ascii="Times New Roman" w:cs="Times New Roman" w:eastAsia="Times New Roman" w:hAnsi="Times New Roman"/>
                <w:sz w:val="18"/>
                <w:szCs w:val="18"/>
                <w:color w:val="auto"/>
                <w:w w:val="97"/>
              </w:rPr>
              <w:t>10-Q</w:t>
            </w:r>
          </w:p>
        </w:tc>
        <w:tc>
          <w:tcPr>
            <w:tcW w:w="1200" w:type="dxa"/>
            <w:vAlign w:val="bottom"/>
          </w:tcPr>
          <w:p>
            <w:pPr>
              <w:jc w:val="center"/>
              <w:spacing w:after="0" w:line="203" w:lineRule="exact"/>
              <w:rPr>
                <w:sz w:val="20"/>
                <w:szCs w:val="20"/>
                <w:color w:val="auto"/>
              </w:rPr>
            </w:pPr>
            <w:r>
              <w:rPr>
                <w:rFonts w:ascii="Times New Roman" w:cs="Times New Roman" w:eastAsia="Times New Roman" w:hAnsi="Times New Roman"/>
                <w:sz w:val="18"/>
                <w:szCs w:val="18"/>
                <w:color w:val="auto"/>
                <w:w w:val="97"/>
              </w:rPr>
              <w:t>001-05560</w:t>
            </w:r>
          </w:p>
        </w:tc>
        <w:tc>
          <w:tcPr>
            <w:tcW w:w="920" w:type="dxa"/>
            <w:vAlign w:val="bottom"/>
          </w:tcPr>
          <w:p>
            <w:pPr>
              <w:jc w:val="center"/>
              <w:spacing w:after="0" w:line="203" w:lineRule="exact"/>
              <w:rPr>
                <w:sz w:val="20"/>
                <w:szCs w:val="20"/>
                <w:color w:val="auto"/>
              </w:rPr>
            </w:pPr>
            <w:r>
              <w:rPr>
                <w:rFonts w:ascii="Times New Roman" w:cs="Times New Roman" w:eastAsia="Times New Roman" w:hAnsi="Times New Roman"/>
                <w:sz w:val="18"/>
                <w:szCs w:val="18"/>
                <w:color w:val="auto"/>
                <w:w w:val="95"/>
              </w:rPr>
              <w:t>10.1</w:t>
            </w:r>
          </w:p>
        </w:tc>
        <w:tc>
          <w:tcPr>
            <w:tcW w:w="1160" w:type="dxa"/>
            <w:vAlign w:val="bottom"/>
          </w:tcPr>
          <w:p>
            <w:pPr>
              <w:jc w:val="center"/>
              <w:spacing w:after="0" w:line="203" w:lineRule="exact"/>
              <w:rPr>
                <w:sz w:val="20"/>
                <w:szCs w:val="20"/>
                <w:color w:val="auto"/>
              </w:rPr>
            </w:pPr>
            <w:r>
              <w:rPr>
                <w:rFonts w:ascii="Times New Roman" w:cs="Times New Roman" w:eastAsia="Times New Roman" w:hAnsi="Times New Roman"/>
                <w:sz w:val="18"/>
                <w:szCs w:val="18"/>
                <w:color w:val="auto"/>
                <w:w w:val="96"/>
              </w:rPr>
              <w:t>5/1/2024</w:t>
            </w: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1"/>
        </w:trPr>
        <w:tc>
          <w:tcPr>
            <w:tcW w:w="1300" w:type="dxa"/>
            <w:vAlign w:val="bottom"/>
          </w:tcPr>
          <w:p>
            <w:pPr>
              <w:spacing w:after="0"/>
              <w:rPr>
                <w:sz w:val="13"/>
                <w:szCs w:val="13"/>
                <w:color w:val="auto"/>
              </w:rPr>
            </w:pPr>
          </w:p>
        </w:tc>
        <w:tc>
          <w:tcPr>
            <w:tcW w:w="660" w:type="dxa"/>
            <w:vAlign w:val="bottom"/>
            <w:tcBorders>
              <w:top w:val="single" w:sz="8" w:color="0000FF"/>
              <w:bottom w:val="single" w:sz="8" w:color="0000FF"/>
            </w:tcBorders>
          </w:tcPr>
          <w:p>
            <w:pPr>
              <w:spacing w:after="0" w:line="151" w:lineRule="exact"/>
              <w:rPr>
                <w:rFonts w:ascii="Times New Roman" w:cs="Times New Roman" w:eastAsia="Times New Roman" w:hAnsi="Times New Roman"/>
                <w:sz w:val="16"/>
                <w:szCs w:val="16"/>
                <w:color w:val="0000FF"/>
              </w:rPr>
            </w:pPr>
            <w:hyperlink r:id="rId97">
              <w:r>
                <w:rPr>
                  <w:rFonts w:ascii="Times New Roman" w:cs="Times New Roman" w:eastAsia="Times New Roman" w:hAnsi="Times New Roman"/>
                  <w:sz w:val="16"/>
                  <w:szCs w:val="16"/>
                  <w:color w:val="0000FF"/>
                </w:rPr>
                <w:t>Directors</w:t>
              </w:r>
            </w:hyperlink>
          </w:p>
        </w:tc>
        <w:tc>
          <w:tcPr>
            <w:tcW w:w="3160" w:type="dxa"/>
            <w:vAlign w:val="bottom"/>
            <w:tcBorders>
              <w:top w:val="single" w:sz="8" w:color="0000FF"/>
            </w:tcBorders>
            <w:gridSpan w:val="18"/>
          </w:tcPr>
          <w:p>
            <w:pPr>
              <w:spacing w:after="0"/>
              <w:rPr>
                <w:sz w:val="13"/>
                <w:szCs w:val="13"/>
                <w:color w:val="auto"/>
              </w:rPr>
            </w:pPr>
          </w:p>
        </w:tc>
        <w:tc>
          <w:tcPr>
            <w:tcW w:w="520" w:type="dxa"/>
            <w:vAlign w:val="bottom"/>
            <w:gridSpan w:val="15"/>
          </w:tcPr>
          <w:p>
            <w:pPr>
              <w:spacing w:after="0"/>
              <w:rPr>
                <w:sz w:val="13"/>
                <w:szCs w:val="13"/>
                <w:color w:val="auto"/>
              </w:rPr>
            </w:pPr>
          </w:p>
        </w:tc>
        <w:tc>
          <w:tcPr>
            <w:tcW w:w="9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8"/>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10.12*</w:t>
            </w:r>
          </w:p>
        </w:tc>
        <w:tc>
          <w:tcPr>
            <w:tcW w:w="4340" w:type="dxa"/>
            <w:vAlign w:val="bottom"/>
            <w:gridSpan w:val="34"/>
          </w:tcPr>
          <w:p>
            <w:pPr>
              <w:spacing w:after="0"/>
              <w:rPr>
                <w:rFonts w:ascii="Times New Roman" w:cs="Times New Roman" w:eastAsia="Times New Roman" w:hAnsi="Times New Roman"/>
                <w:sz w:val="18"/>
                <w:szCs w:val="18"/>
                <w:u w:val="single" w:color="auto"/>
                <w:color w:val="0000FF"/>
              </w:rPr>
            </w:pPr>
            <w:hyperlink r:id="rId98">
              <w:r>
                <w:rPr>
                  <w:rFonts w:ascii="Times New Roman" w:cs="Times New Roman" w:eastAsia="Times New Roman" w:hAnsi="Times New Roman"/>
                  <w:sz w:val="18"/>
                  <w:szCs w:val="18"/>
                  <w:u w:val="single" w:color="auto"/>
                  <w:color w:val="0000FF"/>
                </w:rPr>
                <w:t>Second Amended and Restated Change in Control /</w:t>
              </w:r>
            </w:hyperlink>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10-Q</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001-05560</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10.1</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8/8/2023</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ind w:left="1300"/>
        <w:spacing w:after="0" w:line="213" w:lineRule="auto"/>
        <w:rPr>
          <w:rFonts w:ascii="Times New Roman" w:cs="Times New Roman" w:eastAsia="Times New Roman" w:hAnsi="Times New Roman"/>
          <w:sz w:val="18"/>
          <w:szCs w:val="18"/>
          <w:u w:val="single" w:color="auto"/>
          <w:color w:val="0000FF"/>
        </w:rPr>
      </w:pPr>
      <w:hyperlink r:id="rId98">
        <w:r>
          <w:rPr>
            <w:rFonts w:ascii="Times New Roman" w:cs="Times New Roman" w:eastAsia="Times New Roman" w:hAnsi="Times New Roman"/>
            <w:sz w:val="18"/>
            <w:szCs w:val="18"/>
            <w:u w:val="single" w:color="auto"/>
            <w:color w:val="0000FF"/>
          </w:rPr>
          <w:t>Severance Agreement, dated May 10, 2023, between the</w:t>
        </w:r>
      </w:hyperlink>
    </w:p>
    <w:p>
      <w:pPr>
        <w:ind w:left="1300"/>
        <w:spacing w:after="0"/>
        <w:rPr>
          <w:rFonts w:ascii="Times New Roman" w:cs="Times New Roman" w:eastAsia="Times New Roman" w:hAnsi="Times New Roman"/>
          <w:sz w:val="18"/>
          <w:szCs w:val="18"/>
          <w:u w:val="single" w:color="auto"/>
          <w:color w:val="0000FF"/>
        </w:rPr>
      </w:pPr>
      <w:hyperlink r:id="rId98">
        <w:r>
          <w:rPr>
            <w:rFonts w:ascii="Times New Roman" w:cs="Times New Roman" w:eastAsia="Times New Roman" w:hAnsi="Times New Roman"/>
            <w:sz w:val="18"/>
            <w:szCs w:val="18"/>
            <w:u w:val="single" w:color="auto"/>
            <w:color w:val="0000FF"/>
          </w:rPr>
          <w:t>Company and Liam Griffin</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67310</wp:posOffset>
            </wp:positionV>
            <wp:extent cx="7161530"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0760"/>
          </w:cols>
          <w:pgMar w:left="320" w:top="126" w:right="81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3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340" w:type="dxa"/>
            <w:vAlign w:val="bottom"/>
            <w:gridSpan w:val="3"/>
          </w:tcPr>
          <w:p>
            <w:pPr>
              <w:ind w:left="90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1380" w:type="dxa"/>
            <w:vAlign w:val="bottom"/>
            <w:gridSpan w:val="2"/>
            <w:vMerge w:val="restart"/>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w w:val="98"/>
              </w:rPr>
              <w:t>Filed</w:t>
            </w:r>
          </w:p>
        </w:tc>
        <w:tc>
          <w:tcPr>
            <w:tcW w:w="0" w:type="dxa"/>
            <w:vAlign w:val="bottom"/>
          </w:tcPr>
          <w:p>
            <w:pPr>
              <w:spacing w:after="0"/>
              <w:rPr>
                <w:sz w:val="1"/>
                <w:szCs w:val="1"/>
                <w:color w:val="auto"/>
              </w:rPr>
            </w:pPr>
          </w:p>
        </w:tc>
      </w:tr>
      <w:tr>
        <w:trPr>
          <w:trHeight w:val="50"/>
        </w:trPr>
        <w:tc>
          <w:tcPr>
            <w:tcW w:w="1300" w:type="dxa"/>
            <w:vAlign w:val="bottom"/>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Exhibit Number</w:t>
            </w:r>
          </w:p>
        </w:tc>
        <w:tc>
          <w:tcPr>
            <w:tcW w:w="76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3320" w:type="dxa"/>
            <w:vAlign w:val="bottom"/>
            <w:gridSpan w:val="28"/>
            <w:vMerge w:val="restart"/>
          </w:tcPr>
          <w:p>
            <w:pPr>
              <w:ind w:left="38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720" w:type="dxa"/>
            <w:vAlign w:val="bottom"/>
            <w:vMerge w:val="restart"/>
          </w:tcPr>
          <w:p>
            <w:pPr>
              <w:jc w:val="center"/>
              <w:ind w:right="94"/>
              <w:spacing w:after="0"/>
              <w:rPr>
                <w:sz w:val="20"/>
                <w:szCs w:val="20"/>
                <w:color w:val="auto"/>
              </w:rPr>
            </w:pPr>
            <w:r>
              <w:rPr>
                <w:rFonts w:ascii="Times New Roman" w:cs="Times New Roman" w:eastAsia="Times New Roman" w:hAnsi="Times New Roman"/>
                <w:sz w:val="14"/>
                <w:szCs w:val="14"/>
                <w:b w:val="1"/>
                <w:bCs w:val="1"/>
                <w:color w:val="auto"/>
              </w:rPr>
              <w:t>Form</w:t>
            </w: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File No.</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1120" w:type="dxa"/>
            <w:vAlign w:val="bottom"/>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138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4"/>
        </w:trPr>
        <w:tc>
          <w:tcPr>
            <w:tcW w:w="1300" w:type="dxa"/>
            <w:vAlign w:val="bottom"/>
            <w:vMerge w:val="continue"/>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320" w:type="dxa"/>
            <w:vAlign w:val="bottom"/>
            <w:gridSpan w:val="28"/>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1280" w:type="dxa"/>
            <w:vAlign w:val="bottom"/>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1120" w:type="dxa"/>
            <w:vAlign w:val="bottom"/>
            <w:vMerge w:val="continue"/>
          </w:tcPr>
          <w:p>
            <w:pPr>
              <w:spacing w:after="0"/>
              <w:rPr>
                <w:sz w:val="15"/>
                <w:szCs w:val="15"/>
                <w:color w:val="auto"/>
              </w:rPr>
            </w:pPr>
          </w:p>
        </w:tc>
        <w:tc>
          <w:tcPr>
            <w:tcW w:w="138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w w:val="99"/>
              </w:rPr>
              <w:t>Herewith</w:t>
            </w:r>
          </w:p>
        </w:tc>
        <w:tc>
          <w:tcPr>
            <w:tcW w:w="0" w:type="dxa"/>
            <w:vAlign w:val="bottom"/>
          </w:tcPr>
          <w:p>
            <w:pPr>
              <w:spacing w:after="0"/>
              <w:rPr>
                <w:sz w:val="1"/>
                <w:szCs w:val="1"/>
                <w:color w:val="auto"/>
              </w:rPr>
            </w:pPr>
          </w:p>
        </w:tc>
      </w:tr>
      <w:tr>
        <w:trPr>
          <w:trHeight w:val="177"/>
        </w:trPr>
        <w:tc>
          <w:tcPr>
            <w:tcW w:w="1300" w:type="dxa"/>
            <w:vAlign w:val="bottom"/>
            <w:tcBorders>
              <w:top w:val="single" w:sz="8" w:color="auto"/>
            </w:tcBorders>
          </w:tcPr>
          <w:p>
            <w:pPr>
              <w:jc w:val="center"/>
              <w:spacing w:after="0" w:line="177" w:lineRule="exact"/>
              <w:rPr>
                <w:sz w:val="20"/>
                <w:szCs w:val="20"/>
                <w:color w:val="auto"/>
              </w:rPr>
            </w:pPr>
            <w:r>
              <w:rPr>
                <w:rFonts w:ascii="Times New Roman" w:cs="Times New Roman" w:eastAsia="Times New Roman" w:hAnsi="Times New Roman"/>
                <w:sz w:val="18"/>
                <w:szCs w:val="18"/>
                <w:color w:val="auto"/>
                <w:w w:val="96"/>
              </w:rPr>
              <w:t>10.13*</w:t>
            </w:r>
          </w:p>
        </w:tc>
        <w:tc>
          <w:tcPr>
            <w:tcW w:w="4500" w:type="dxa"/>
            <w:vAlign w:val="bottom"/>
            <w:tcBorders>
              <w:top w:val="single" w:sz="8" w:color="auto"/>
            </w:tcBorders>
            <w:gridSpan w:val="33"/>
          </w:tcPr>
          <w:p>
            <w:pPr>
              <w:spacing w:after="0" w:line="177" w:lineRule="exact"/>
              <w:rPr>
                <w:rFonts w:ascii="Times New Roman" w:cs="Times New Roman" w:eastAsia="Times New Roman" w:hAnsi="Times New Roman"/>
                <w:sz w:val="18"/>
                <w:szCs w:val="18"/>
                <w:color w:val="0000FF"/>
              </w:rPr>
            </w:pPr>
            <w:hyperlink r:id="rId100">
              <w:r>
                <w:rPr>
                  <w:rFonts w:ascii="Times New Roman" w:cs="Times New Roman" w:eastAsia="Times New Roman" w:hAnsi="Times New Roman"/>
                  <w:sz w:val="18"/>
                  <w:szCs w:val="18"/>
                  <w:color w:val="0000FF"/>
                </w:rPr>
                <w:t>Amended and Restated Change in Control / Severance</w:t>
              </w:r>
            </w:hyperlink>
          </w:p>
        </w:tc>
        <w:tc>
          <w:tcPr>
            <w:tcW w:w="720" w:type="dxa"/>
            <w:vAlign w:val="bottom"/>
            <w:tcBorders>
              <w:top w:val="single" w:sz="8" w:color="auto"/>
            </w:tcBorders>
          </w:tcPr>
          <w:p>
            <w:pPr>
              <w:jc w:val="center"/>
              <w:ind w:right="74"/>
              <w:spacing w:after="0" w:line="177" w:lineRule="exact"/>
              <w:rPr>
                <w:sz w:val="20"/>
                <w:szCs w:val="20"/>
                <w:color w:val="auto"/>
              </w:rPr>
            </w:pPr>
            <w:r>
              <w:rPr>
                <w:rFonts w:ascii="Times New Roman" w:cs="Times New Roman" w:eastAsia="Times New Roman" w:hAnsi="Times New Roman"/>
                <w:sz w:val="18"/>
                <w:szCs w:val="18"/>
                <w:color w:val="auto"/>
                <w:w w:val="97"/>
              </w:rPr>
              <w:t>10-Q</w:t>
            </w:r>
          </w:p>
        </w:tc>
        <w:tc>
          <w:tcPr>
            <w:tcW w:w="1280" w:type="dxa"/>
            <w:vAlign w:val="bottom"/>
            <w:tcBorders>
              <w:top w:val="single" w:sz="8" w:color="auto"/>
            </w:tcBorders>
          </w:tcPr>
          <w:p>
            <w:pPr>
              <w:jc w:val="center"/>
              <w:spacing w:after="0" w:line="177" w:lineRule="exact"/>
              <w:rPr>
                <w:sz w:val="20"/>
                <w:szCs w:val="20"/>
                <w:color w:val="auto"/>
              </w:rPr>
            </w:pPr>
            <w:r>
              <w:rPr>
                <w:rFonts w:ascii="Times New Roman" w:cs="Times New Roman" w:eastAsia="Times New Roman" w:hAnsi="Times New Roman"/>
                <w:sz w:val="18"/>
                <w:szCs w:val="18"/>
                <w:color w:val="auto"/>
                <w:w w:val="97"/>
              </w:rPr>
              <w:t>001-05560</w:t>
            </w:r>
          </w:p>
        </w:tc>
        <w:tc>
          <w:tcPr>
            <w:tcW w:w="940" w:type="dxa"/>
            <w:vAlign w:val="bottom"/>
            <w:tcBorders>
              <w:top w:val="single" w:sz="8" w:color="auto"/>
            </w:tcBorders>
          </w:tcPr>
          <w:p>
            <w:pPr>
              <w:jc w:val="center"/>
              <w:spacing w:after="0" w:line="177" w:lineRule="exact"/>
              <w:rPr>
                <w:sz w:val="20"/>
                <w:szCs w:val="20"/>
                <w:color w:val="auto"/>
              </w:rPr>
            </w:pPr>
            <w:r>
              <w:rPr>
                <w:rFonts w:ascii="Times New Roman" w:cs="Times New Roman" w:eastAsia="Times New Roman" w:hAnsi="Times New Roman"/>
                <w:sz w:val="18"/>
                <w:szCs w:val="18"/>
                <w:color w:val="auto"/>
                <w:w w:val="95"/>
              </w:rPr>
              <w:t>10.2</w:t>
            </w:r>
          </w:p>
        </w:tc>
        <w:tc>
          <w:tcPr>
            <w:tcW w:w="1120" w:type="dxa"/>
            <w:vAlign w:val="bottom"/>
            <w:tcBorders>
              <w:top w:val="single" w:sz="8" w:color="auto"/>
            </w:tcBorders>
          </w:tcPr>
          <w:p>
            <w:pPr>
              <w:jc w:val="center"/>
              <w:spacing w:after="0" w:line="177" w:lineRule="exact"/>
              <w:rPr>
                <w:sz w:val="20"/>
                <w:szCs w:val="20"/>
                <w:color w:val="auto"/>
              </w:rPr>
            </w:pPr>
            <w:r>
              <w:rPr>
                <w:rFonts w:ascii="Times New Roman" w:cs="Times New Roman" w:eastAsia="Times New Roman" w:hAnsi="Times New Roman"/>
                <w:sz w:val="18"/>
                <w:szCs w:val="18"/>
                <w:color w:val="auto"/>
                <w:w w:val="96"/>
              </w:rPr>
              <w:t>8/8/2023</w:t>
            </w:r>
          </w:p>
        </w:tc>
        <w:tc>
          <w:tcPr>
            <w:tcW w:w="900" w:type="dxa"/>
            <w:vAlign w:val="bottom"/>
            <w:tcBorders>
              <w:top w:val="single" w:sz="8" w:color="auto"/>
            </w:tcBorders>
          </w:tcPr>
          <w:p>
            <w:pPr>
              <w:spacing w:after="0"/>
              <w:rPr>
                <w:sz w:val="15"/>
                <w:szCs w:val="15"/>
                <w:color w:val="auto"/>
              </w:rPr>
            </w:pPr>
          </w:p>
        </w:tc>
        <w:tc>
          <w:tcPr>
            <w:tcW w:w="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1"/>
        </w:trPr>
        <w:tc>
          <w:tcPr>
            <w:tcW w:w="1300" w:type="dxa"/>
            <w:vAlign w:val="bottom"/>
          </w:tcPr>
          <w:p>
            <w:pPr>
              <w:spacing w:after="0"/>
              <w:rPr>
                <w:sz w:val="13"/>
                <w:szCs w:val="13"/>
                <w:color w:val="auto"/>
              </w:rPr>
            </w:pPr>
          </w:p>
        </w:tc>
        <w:tc>
          <w:tcPr>
            <w:tcW w:w="3820" w:type="dxa"/>
            <w:vAlign w:val="bottom"/>
            <w:tcBorders>
              <w:top w:val="single" w:sz="8" w:color="0000FF"/>
            </w:tcBorders>
            <w:gridSpan w:val="14"/>
          </w:tcPr>
          <w:p>
            <w:pPr>
              <w:spacing w:after="0" w:line="151" w:lineRule="exact"/>
              <w:rPr>
                <w:rFonts w:ascii="Times New Roman" w:cs="Times New Roman" w:eastAsia="Times New Roman" w:hAnsi="Times New Roman"/>
                <w:sz w:val="16"/>
                <w:szCs w:val="16"/>
                <w:color w:val="0000FF"/>
              </w:rPr>
            </w:pPr>
            <w:hyperlink r:id="rId100">
              <w:r>
                <w:rPr>
                  <w:rFonts w:ascii="Times New Roman" w:cs="Times New Roman" w:eastAsia="Times New Roman" w:hAnsi="Times New Roman"/>
                  <w:sz w:val="16"/>
                  <w:szCs w:val="16"/>
                  <w:color w:val="0000FF"/>
                </w:rPr>
                <w:t>Agreement, dated May 10, 2023, between the Company</w:t>
              </w:r>
            </w:hyperlink>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00" w:type="dxa"/>
            <w:vAlign w:val="bottom"/>
            <w:gridSpan w:val="11"/>
          </w:tcPr>
          <w:p>
            <w:pPr>
              <w:jc w:val="center"/>
              <w:ind w:right="280"/>
              <w:spacing w:after="0" w:line="151" w:lineRule="exact"/>
              <w:rPr>
                <w:rFonts w:ascii="Times New Roman" w:cs="Times New Roman" w:eastAsia="Times New Roman" w:hAnsi="Times New Roman"/>
                <w:sz w:val="16"/>
                <w:szCs w:val="16"/>
                <w:color w:val="0000FF"/>
                <w:w w:val="94"/>
              </w:rPr>
            </w:pPr>
            <w:hyperlink r:id="rId100">
              <w:r>
                <w:rPr>
                  <w:rFonts w:ascii="Times New Roman" w:cs="Times New Roman" w:eastAsia="Times New Roman" w:hAnsi="Times New Roman"/>
                  <w:sz w:val="16"/>
                  <w:szCs w:val="16"/>
                  <w:color w:val="0000FF"/>
                  <w:w w:val="94"/>
                </w:rPr>
                <w:t>and</w:t>
              </w:r>
            </w:hyperlink>
          </w:p>
        </w:tc>
        <w:tc>
          <w:tcPr>
            <w:tcW w:w="7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1300" w:type="dxa"/>
            <w:vAlign w:val="bottom"/>
          </w:tcPr>
          <w:p>
            <w:pPr>
              <w:spacing w:after="0"/>
              <w:rPr>
                <w:sz w:val="14"/>
                <w:szCs w:val="14"/>
                <w:color w:val="auto"/>
              </w:rPr>
            </w:pPr>
          </w:p>
        </w:tc>
        <w:tc>
          <w:tcPr>
            <w:tcW w:w="1000" w:type="dxa"/>
            <w:vAlign w:val="bottom"/>
            <w:tcBorders>
              <w:top w:val="single" w:sz="8" w:color="0000FF"/>
              <w:bottom w:val="single" w:sz="8" w:color="0000FF"/>
            </w:tcBorders>
            <w:gridSpan w:val="3"/>
          </w:tcPr>
          <w:p>
            <w:pPr>
              <w:spacing w:after="0" w:line="164" w:lineRule="exact"/>
              <w:rPr>
                <w:rFonts w:ascii="Times New Roman" w:cs="Times New Roman" w:eastAsia="Times New Roman" w:hAnsi="Times New Roman"/>
                <w:sz w:val="18"/>
                <w:szCs w:val="18"/>
                <w:color w:val="0000FF"/>
                <w:w w:val="89"/>
              </w:rPr>
            </w:pPr>
            <w:hyperlink r:id="rId100">
              <w:r>
                <w:rPr>
                  <w:rFonts w:ascii="Times New Roman" w:cs="Times New Roman" w:eastAsia="Times New Roman" w:hAnsi="Times New Roman"/>
                  <w:sz w:val="18"/>
                  <w:szCs w:val="18"/>
                  <w:color w:val="0000FF"/>
                  <w:w w:val="89"/>
                </w:rPr>
                <w:t>Kris Sennesael</w:t>
              </w:r>
            </w:hyperlink>
          </w:p>
        </w:tc>
        <w:tc>
          <w:tcPr>
            <w:tcW w:w="3220" w:type="dxa"/>
            <w:vAlign w:val="bottom"/>
            <w:tcBorders>
              <w:top w:val="single" w:sz="8" w:color="0000FF"/>
            </w:tcBorders>
            <w:gridSpan w:val="27"/>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1300" w:type="dxa"/>
            <w:vAlign w:val="bottom"/>
          </w:tcPr>
          <w:p>
            <w:pPr>
              <w:jc w:val="center"/>
              <w:spacing w:after="0" w:line="203" w:lineRule="exact"/>
              <w:rPr>
                <w:sz w:val="20"/>
                <w:szCs w:val="20"/>
                <w:color w:val="auto"/>
              </w:rPr>
            </w:pPr>
            <w:r>
              <w:rPr>
                <w:rFonts w:ascii="Times New Roman" w:cs="Times New Roman" w:eastAsia="Times New Roman" w:hAnsi="Times New Roman"/>
                <w:sz w:val="18"/>
                <w:szCs w:val="18"/>
                <w:color w:val="auto"/>
                <w:w w:val="96"/>
              </w:rPr>
              <w:t>10.14*</w:t>
            </w:r>
          </w:p>
        </w:tc>
        <w:tc>
          <w:tcPr>
            <w:tcW w:w="4500" w:type="dxa"/>
            <w:vAlign w:val="bottom"/>
            <w:gridSpan w:val="33"/>
          </w:tcPr>
          <w:p>
            <w:pPr>
              <w:spacing w:after="0" w:line="203" w:lineRule="exact"/>
              <w:rPr>
                <w:rFonts w:ascii="Times New Roman" w:cs="Times New Roman" w:eastAsia="Times New Roman" w:hAnsi="Times New Roman"/>
                <w:sz w:val="18"/>
                <w:szCs w:val="18"/>
                <w:color w:val="0000FF"/>
              </w:rPr>
            </w:pPr>
            <w:hyperlink r:id="rId101">
              <w:r>
                <w:rPr>
                  <w:rFonts w:ascii="Times New Roman" w:cs="Times New Roman" w:eastAsia="Times New Roman" w:hAnsi="Times New Roman"/>
                  <w:sz w:val="18"/>
                  <w:szCs w:val="18"/>
                  <w:color w:val="0000FF"/>
                </w:rPr>
                <w:t>Amended and Restated Change in Control / Severance</w:t>
              </w:r>
            </w:hyperlink>
          </w:p>
        </w:tc>
        <w:tc>
          <w:tcPr>
            <w:tcW w:w="720" w:type="dxa"/>
            <w:vAlign w:val="bottom"/>
          </w:tcPr>
          <w:p>
            <w:pPr>
              <w:jc w:val="center"/>
              <w:ind w:right="74"/>
              <w:spacing w:after="0" w:line="203" w:lineRule="exact"/>
              <w:rPr>
                <w:sz w:val="20"/>
                <w:szCs w:val="20"/>
                <w:color w:val="auto"/>
              </w:rPr>
            </w:pPr>
            <w:r>
              <w:rPr>
                <w:rFonts w:ascii="Times New Roman" w:cs="Times New Roman" w:eastAsia="Times New Roman" w:hAnsi="Times New Roman"/>
                <w:sz w:val="18"/>
                <w:szCs w:val="18"/>
                <w:color w:val="auto"/>
                <w:w w:val="97"/>
              </w:rPr>
              <w:t>10-Q</w:t>
            </w:r>
          </w:p>
        </w:tc>
        <w:tc>
          <w:tcPr>
            <w:tcW w:w="1280" w:type="dxa"/>
            <w:vAlign w:val="bottom"/>
          </w:tcPr>
          <w:p>
            <w:pPr>
              <w:jc w:val="center"/>
              <w:spacing w:after="0" w:line="203" w:lineRule="exact"/>
              <w:rPr>
                <w:sz w:val="20"/>
                <w:szCs w:val="20"/>
                <w:color w:val="auto"/>
              </w:rPr>
            </w:pPr>
            <w:r>
              <w:rPr>
                <w:rFonts w:ascii="Times New Roman" w:cs="Times New Roman" w:eastAsia="Times New Roman" w:hAnsi="Times New Roman"/>
                <w:sz w:val="18"/>
                <w:szCs w:val="18"/>
                <w:color w:val="auto"/>
                <w:w w:val="97"/>
              </w:rPr>
              <w:t>001-05560</w:t>
            </w:r>
          </w:p>
        </w:tc>
        <w:tc>
          <w:tcPr>
            <w:tcW w:w="940" w:type="dxa"/>
            <w:vAlign w:val="bottom"/>
          </w:tcPr>
          <w:p>
            <w:pPr>
              <w:jc w:val="center"/>
              <w:spacing w:after="0" w:line="203" w:lineRule="exact"/>
              <w:rPr>
                <w:sz w:val="20"/>
                <w:szCs w:val="20"/>
                <w:color w:val="auto"/>
              </w:rPr>
            </w:pPr>
            <w:r>
              <w:rPr>
                <w:rFonts w:ascii="Times New Roman" w:cs="Times New Roman" w:eastAsia="Times New Roman" w:hAnsi="Times New Roman"/>
                <w:sz w:val="18"/>
                <w:szCs w:val="18"/>
                <w:color w:val="auto"/>
                <w:w w:val="95"/>
              </w:rPr>
              <w:t>10.3</w:t>
            </w:r>
          </w:p>
        </w:tc>
        <w:tc>
          <w:tcPr>
            <w:tcW w:w="1120" w:type="dxa"/>
            <w:vAlign w:val="bottom"/>
          </w:tcPr>
          <w:p>
            <w:pPr>
              <w:jc w:val="center"/>
              <w:spacing w:after="0" w:line="203" w:lineRule="exact"/>
              <w:rPr>
                <w:sz w:val="20"/>
                <w:szCs w:val="20"/>
                <w:color w:val="auto"/>
              </w:rPr>
            </w:pPr>
            <w:r>
              <w:rPr>
                <w:rFonts w:ascii="Times New Roman" w:cs="Times New Roman" w:eastAsia="Times New Roman" w:hAnsi="Times New Roman"/>
                <w:sz w:val="18"/>
                <w:szCs w:val="18"/>
                <w:color w:val="auto"/>
                <w:w w:val="96"/>
              </w:rPr>
              <w:t>8/8/2023</w:t>
            </w:r>
          </w:p>
        </w:tc>
        <w:tc>
          <w:tcPr>
            <w:tcW w:w="9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1"/>
        </w:trPr>
        <w:tc>
          <w:tcPr>
            <w:tcW w:w="1300" w:type="dxa"/>
            <w:vAlign w:val="bottom"/>
          </w:tcPr>
          <w:p>
            <w:pPr>
              <w:spacing w:after="0"/>
              <w:rPr>
                <w:sz w:val="13"/>
                <w:szCs w:val="13"/>
                <w:color w:val="auto"/>
              </w:rPr>
            </w:pPr>
          </w:p>
        </w:tc>
        <w:tc>
          <w:tcPr>
            <w:tcW w:w="3820" w:type="dxa"/>
            <w:vAlign w:val="bottom"/>
            <w:tcBorders>
              <w:top w:val="single" w:sz="8" w:color="0000FF"/>
            </w:tcBorders>
            <w:gridSpan w:val="14"/>
          </w:tcPr>
          <w:p>
            <w:pPr>
              <w:spacing w:after="0" w:line="151" w:lineRule="exact"/>
              <w:rPr>
                <w:rFonts w:ascii="Times New Roman" w:cs="Times New Roman" w:eastAsia="Times New Roman" w:hAnsi="Times New Roman"/>
                <w:sz w:val="16"/>
                <w:szCs w:val="16"/>
                <w:color w:val="0000FF"/>
              </w:rPr>
            </w:pPr>
            <w:hyperlink r:id="rId101">
              <w:r>
                <w:rPr>
                  <w:rFonts w:ascii="Times New Roman" w:cs="Times New Roman" w:eastAsia="Times New Roman" w:hAnsi="Times New Roman"/>
                  <w:sz w:val="16"/>
                  <w:szCs w:val="16"/>
                  <w:color w:val="0000FF"/>
                </w:rPr>
                <w:t>Agreement, dated May 10, 2023, between the Company</w:t>
              </w:r>
            </w:hyperlink>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00" w:type="dxa"/>
            <w:vAlign w:val="bottom"/>
            <w:gridSpan w:val="11"/>
          </w:tcPr>
          <w:p>
            <w:pPr>
              <w:jc w:val="center"/>
              <w:ind w:right="280"/>
              <w:spacing w:after="0" w:line="151" w:lineRule="exact"/>
              <w:rPr>
                <w:rFonts w:ascii="Times New Roman" w:cs="Times New Roman" w:eastAsia="Times New Roman" w:hAnsi="Times New Roman"/>
                <w:sz w:val="16"/>
                <w:szCs w:val="16"/>
                <w:color w:val="0000FF"/>
                <w:w w:val="94"/>
              </w:rPr>
            </w:pPr>
            <w:hyperlink r:id="rId101">
              <w:r>
                <w:rPr>
                  <w:rFonts w:ascii="Times New Roman" w:cs="Times New Roman" w:eastAsia="Times New Roman" w:hAnsi="Times New Roman"/>
                  <w:sz w:val="16"/>
                  <w:szCs w:val="16"/>
                  <w:color w:val="0000FF"/>
                  <w:w w:val="94"/>
                </w:rPr>
                <w:t>and</w:t>
              </w:r>
            </w:hyperlink>
          </w:p>
        </w:tc>
        <w:tc>
          <w:tcPr>
            <w:tcW w:w="7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1300" w:type="dxa"/>
            <w:vAlign w:val="bottom"/>
          </w:tcPr>
          <w:p>
            <w:pPr>
              <w:spacing w:after="0"/>
              <w:rPr>
                <w:sz w:val="14"/>
                <w:szCs w:val="14"/>
                <w:color w:val="auto"/>
              </w:rPr>
            </w:pPr>
          </w:p>
        </w:tc>
        <w:tc>
          <w:tcPr>
            <w:tcW w:w="4220" w:type="dxa"/>
            <w:vAlign w:val="bottom"/>
            <w:tcBorders>
              <w:top w:val="single" w:sz="8" w:color="0000FF"/>
            </w:tcBorders>
            <w:gridSpan w:val="30"/>
          </w:tcPr>
          <w:p>
            <w:pPr>
              <w:spacing w:after="0" w:line="164" w:lineRule="exact"/>
              <w:rPr>
                <w:rFonts w:ascii="Times New Roman" w:cs="Times New Roman" w:eastAsia="Times New Roman" w:hAnsi="Times New Roman"/>
                <w:sz w:val="18"/>
                <w:szCs w:val="18"/>
                <w:color w:val="0000FF"/>
              </w:rPr>
            </w:pPr>
            <w:hyperlink r:id="rId101">
              <w:r>
                <w:rPr>
                  <w:rFonts w:ascii="Times New Roman" w:cs="Times New Roman" w:eastAsia="Times New Roman" w:hAnsi="Times New Roman"/>
                  <w:sz w:val="18"/>
                  <w:szCs w:val="18"/>
                  <w:color w:val="0000FF"/>
                </w:rPr>
                <w:t>Robert J. Terry</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300" w:type="dxa"/>
            <w:vAlign w:val="bottom"/>
          </w:tcPr>
          <w:p>
            <w:pPr>
              <w:jc w:val="center"/>
              <w:spacing w:after="0" w:line="203" w:lineRule="exact"/>
              <w:rPr>
                <w:sz w:val="20"/>
                <w:szCs w:val="20"/>
                <w:color w:val="auto"/>
              </w:rPr>
            </w:pPr>
            <w:r>
              <w:rPr>
                <w:rFonts w:ascii="Times New Roman" w:cs="Times New Roman" w:eastAsia="Times New Roman" w:hAnsi="Times New Roman"/>
                <w:sz w:val="18"/>
                <w:szCs w:val="18"/>
                <w:color w:val="auto"/>
                <w:w w:val="96"/>
              </w:rPr>
              <w:t>10.15*</w:t>
            </w:r>
          </w:p>
        </w:tc>
        <w:tc>
          <w:tcPr>
            <w:tcW w:w="4500" w:type="dxa"/>
            <w:vAlign w:val="bottom"/>
            <w:gridSpan w:val="33"/>
          </w:tcPr>
          <w:p>
            <w:pPr>
              <w:spacing w:after="0" w:line="203" w:lineRule="exact"/>
              <w:rPr>
                <w:rFonts w:ascii="Times New Roman" w:cs="Times New Roman" w:eastAsia="Times New Roman" w:hAnsi="Times New Roman"/>
                <w:sz w:val="18"/>
                <w:szCs w:val="18"/>
                <w:color w:val="0000FF"/>
              </w:rPr>
            </w:pPr>
            <w:hyperlink r:id="rId102">
              <w:r>
                <w:rPr>
                  <w:rFonts w:ascii="Times New Roman" w:cs="Times New Roman" w:eastAsia="Times New Roman" w:hAnsi="Times New Roman"/>
                  <w:sz w:val="18"/>
                  <w:szCs w:val="18"/>
                  <w:color w:val="0000FF"/>
                </w:rPr>
                <w:t>Amended and Restated Change in Control / Severance</w:t>
              </w:r>
            </w:hyperlink>
          </w:p>
        </w:tc>
        <w:tc>
          <w:tcPr>
            <w:tcW w:w="720" w:type="dxa"/>
            <w:vAlign w:val="bottom"/>
          </w:tcPr>
          <w:p>
            <w:pPr>
              <w:jc w:val="center"/>
              <w:ind w:right="74"/>
              <w:spacing w:after="0" w:line="203" w:lineRule="exact"/>
              <w:rPr>
                <w:sz w:val="20"/>
                <w:szCs w:val="20"/>
                <w:color w:val="auto"/>
              </w:rPr>
            </w:pPr>
            <w:r>
              <w:rPr>
                <w:rFonts w:ascii="Times New Roman" w:cs="Times New Roman" w:eastAsia="Times New Roman" w:hAnsi="Times New Roman"/>
                <w:sz w:val="18"/>
                <w:szCs w:val="18"/>
                <w:color w:val="auto"/>
                <w:w w:val="97"/>
              </w:rPr>
              <w:t>10-Q</w:t>
            </w:r>
          </w:p>
        </w:tc>
        <w:tc>
          <w:tcPr>
            <w:tcW w:w="1280" w:type="dxa"/>
            <w:vAlign w:val="bottom"/>
          </w:tcPr>
          <w:p>
            <w:pPr>
              <w:jc w:val="center"/>
              <w:spacing w:after="0" w:line="203" w:lineRule="exact"/>
              <w:rPr>
                <w:sz w:val="20"/>
                <w:szCs w:val="20"/>
                <w:color w:val="auto"/>
              </w:rPr>
            </w:pPr>
            <w:r>
              <w:rPr>
                <w:rFonts w:ascii="Times New Roman" w:cs="Times New Roman" w:eastAsia="Times New Roman" w:hAnsi="Times New Roman"/>
                <w:sz w:val="18"/>
                <w:szCs w:val="18"/>
                <w:color w:val="auto"/>
                <w:w w:val="97"/>
              </w:rPr>
              <w:t>001-05560</w:t>
            </w:r>
          </w:p>
        </w:tc>
        <w:tc>
          <w:tcPr>
            <w:tcW w:w="940" w:type="dxa"/>
            <w:vAlign w:val="bottom"/>
          </w:tcPr>
          <w:p>
            <w:pPr>
              <w:jc w:val="center"/>
              <w:spacing w:after="0" w:line="203" w:lineRule="exact"/>
              <w:rPr>
                <w:sz w:val="20"/>
                <w:szCs w:val="20"/>
                <w:color w:val="auto"/>
              </w:rPr>
            </w:pPr>
            <w:r>
              <w:rPr>
                <w:rFonts w:ascii="Times New Roman" w:cs="Times New Roman" w:eastAsia="Times New Roman" w:hAnsi="Times New Roman"/>
                <w:sz w:val="18"/>
                <w:szCs w:val="18"/>
                <w:color w:val="auto"/>
                <w:w w:val="95"/>
              </w:rPr>
              <w:t>10.4</w:t>
            </w:r>
          </w:p>
        </w:tc>
        <w:tc>
          <w:tcPr>
            <w:tcW w:w="1120" w:type="dxa"/>
            <w:vAlign w:val="bottom"/>
          </w:tcPr>
          <w:p>
            <w:pPr>
              <w:jc w:val="center"/>
              <w:spacing w:after="0" w:line="203" w:lineRule="exact"/>
              <w:rPr>
                <w:sz w:val="20"/>
                <w:szCs w:val="20"/>
                <w:color w:val="auto"/>
              </w:rPr>
            </w:pPr>
            <w:r>
              <w:rPr>
                <w:rFonts w:ascii="Times New Roman" w:cs="Times New Roman" w:eastAsia="Times New Roman" w:hAnsi="Times New Roman"/>
                <w:sz w:val="18"/>
                <w:szCs w:val="18"/>
                <w:color w:val="auto"/>
                <w:w w:val="96"/>
              </w:rPr>
              <w:t>8/8/2023</w:t>
            </w:r>
          </w:p>
        </w:tc>
        <w:tc>
          <w:tcPr>
            <w:tcW w:w="9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1"/>
        </w:trPr>
        <w:tc>
          <w:tcPr>
            <w:tcW w:w="1300" w:type="dxa"/>
            <w:vAlign w:val="bottom"/>
          </w:tcPr>
          <w:p>
            <w:pPr>
              <w:spacing w:after="0"/>
              <w:rPr>
                <w:sz w:val="13"/>
                <w:szCs w:val="13"/>
                <w:color w:val="auto"/>
              </w:rPr>
            </w:pPr>
          </w:p>
        </w:tc>
        <w:tc>
          <w:tcPr>
            <w:tcW w:w="3820" w:type="dxa"/>
            <w:vAlign w:val="bottom"/>
            <w:tcBorders>
              <w:top w:val="single" w:sz="8" w:color="0000FF"/>
            </w:tcBorders>
            <w:gridSpan w:val="14"/>
          </w:tcPr>
          <w:p>
            <w:pPr>
              <w:spacing w:after="0" w:line="151" w:lineRule="exact"/>
              <w:rPr>
                <w:rFonts w:ascii="Times New Roman" w:cs="Times New Roman" w:eastAsia="Times New Roman" w:hAnsi="Times New Roman"/>
                <w:sz w:val="16"/>
                <w:szCs w:val="16"/>
                <w:color w:val="0000FF"/>
              </w:rPr>
            </w:pPr>
            <w:hyperlink r:id="rId102">
              <w:r>
                <w:rPr>
                  <w:rFonts w:ascii="Times New Roman" w:cs="Times New Roman" w:eastAsia="Times New Roman" w:hAnsi="Times New Roman"/>
                  <w:sz w:val="16"/>
                  <w:szCs w:val="16"/>
                  <w:color w:val="0000FF"/>
                </w:rPr>
                <w:t>Agreement, dated May 10, 2023, between the Company</w:t>
              </w:r>
            </w:hyperlink>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00" w:type="dxa"/>
            <w:vAlign w:val="bottom"/>
            <w:gridSpan w:val="11"/>
          </w:tcPr>
          <w:p>
            <w:pPr>
              <w:jc w:val="center"/>
              <w:ind w:right="280"/>
              <w:spacing w:after="0" w:line="151" w:lineRule="exact"/>
              <w:rPr>
                <w:rFonts w:ascii="Times New Roman" w:cs="Times New Roman" w:eastAsia="Times New Roman" w:hAnsi="Times New Roman"/>
                <w:sz w:val="16"/>
                <w:szCs w:val="16"/>
                <w:color w:val="0000FF"/>
                <w:w w:val="94"/>
              </w:rPr>
            </w:pPr>
            <w:hyperlink r:id="rId102">
              <w:r>
                <w:rPr>
                  <w:rFonts w:ascii="Times New Roman" w:cs="Times New Roman" w:eastAsia="Times New Roman" w:hAnsi="Times New Roman"/>
                  <w:sz w:val="16"/>
                  <w:szCs w:val="16"/>
                  <w:color w:val="0000FF"/>
                  <w:w w:val="94"/>
                </w:rPr>
                <w:t>and</w:t>
              </w:r>
            </w:hyperlink>
          </w:p>
        </w:tc>
        <w:tc>
          <w:tcPr>
            <w:tcW w:w="7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1300" w:type="dxa"/>
            <w:vAlign w:val="bottom"/>
          </w:tcPr>
          <w:p>
            <w:pPr>
              <w:spacing w:after="0"/>
              <w:rPr>
                <w:sz w:val="14"/>
                <w:szCs w:val="14"/>
                <w:color w:val="auto"/>
              </w:rPr>
            </w:pPr>
          </w:p>
        </w:tc>
        <w:tc>
          <w:tcPr>
            <w:tcW w:w="4220" w:type="dxa"/>
            <w:vAlign w:val="bottom"/>
            <w:tcBorders>
              <w:top w:val="single" w:sz="8" w:color="0000FF"/>
            </w:tcBorders>
            <w:gridSpan w:val="30"/>
          </w:tcPr>
          <w:p>
            <w:pPr>
              <w:spacing w:after="0" w:line="164" w:lineRule="exact"/>
              <w:rPr>
                <w:rFonts w:ascii="Times New Roman" w:cs="Times New Roman" w:eastAsia="Times New Roman" w:hAnsi="Times New Roman"/>
                <w:sz w:val="18"/>
                <w:szCs w:val="18"/>
                <w:color w:val="0000FF"/>
              </w:rPr>
            </w:pPr>
            <w:hyperlink r:id="rId102">
              <w:r>
                <w:rPr>
                  <w:rFonts w:ascii="Times New Roman" w:cs="Times New Roman" w:eastAsia="Times New Roman" w:hAnsi="Times New Roman"/>
                  <w:sz w:val="18"/>
                  <w:szCs w:val="18"/>
                  <w:color w:val="0000FF"/>
                </w:rPr>
                <w:t>Carlos S. Bori</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300" w:type="dxa"/>
            <w:vAlign w:val="bottom"/>
          </w:tcPr>
          <w:p>
            <w:pPr>
              <w:jc w:val="center"/>
              <w:spacing w:after="0" w:line="203" w:lineRule="exact"/>
              <w:rPr>
                <w:sz w:val="20"/>
                <w:szCs w:val="20"/>
                <w:color w:val="auto"/>
              </w:rPr>
            </w:pPr>
            <w:r>
              <w:rPr>
                <w:rFonts w:ascii="Times New Roman" w:cs="Times New Roman" w:eastAsia="Times New Roman" w:hAnsi="Times New Roman"/>
                <w:sz w:val="18"/>
                <w:szCs w:val="18"/>
                <w:color w:val="auto"/>
                <w:w w:val="96"/>
              </w:rPr>
              <w:t>10.16*</w:t>
            </w:r>
          </w:p>
        </w:tc>
        <w:tc>
          <w:tcPr>
            <w:tcW w:w="4500" w:type="dxa"/>
            <w:vAlign w:val="bottom"/>
            <w:gridSpan w:val="33"/>
          </w:tcPr>
          <w:p>
            <w:pPr>
              <w:spacing w:after="0" w:line="203" w:lineRule="exact"/>
              <w:rPr>
                <w:rFonts w:ascii="Times New Roman" w:cs="Times New Roman" w:eastAsia="Times New Roman" w:hAnsi="Times New Roman"/>
                <w:sz w:val="18"/>
                <w:szCs w:val="18"/>
                <w:color w:val="0000FF"/>
              </w:rPr>
            </w:pPr>
            <w:hyperlink r:id="rId103">
              <w:r>
                <w:rPr>
                  <w:rFonts w:ascii="Times New Roman" w:cs="Times New Roman" w:eastAsia="Times New Roman" w:hAnsi="Times New Roman"/>
                  <w:sz w:val="18"/>
                  <w:szCs w:val="18"/>
                  <w:color w:val="0000FF"/>
                </w:rPr>
                <w:t>Amended and Restated Change in Control / Severance</w:t>
              </w:r>
            </w:hyperlink>
          </w:p>
        </w:tc>
        <w:tc>
          <w:tcPr>
            <w:tcW w:w="720" w:type="dxa"/>
            <w:vAlign w:val="bottom"/>
          </w:tcPr>
          <w:p>
            <w:pPr>
              <w:jc w:val="center"/>
              <w:ind w:right="74"/>
              <w:spacing w:after="0" w:line="203" w:lineRule="exact"/>
              <w:rPr>
                <w:sz w:val="20"/>
                <w:szCs w:val="20"/>
                <w:color w:val="auto"/>
              </w:rPr>
            </w:pPr>
            <w:r>
              <w:rPr>
                <w:rFonts w:ascii="Times New Roman" w:cs="Times New Roman" w:eastAsia="Times New Roman" w:hAnsi="Times New Roman"/>
                <w:sz w:val="18"/>
                <w:szCs w:val="18"/>
                <w:color w:val="auto"/>
                <w:w w:val="97"/>
              </w:rPr>
              <w:t>10-Q</w:t>
            </w:r>
          </w:p>
        </w:tc>
        <w:tc>
          <w:tcPr>
            <w:tcW w:w="1280" w:type="dxa"/>
            <w:vAlign w:val="bottom"/>
          </w:tcPr>
          <w:p>
            <w:pPr>
              <w:jc w:val="center"/>
              <w:spacing w:after="0" w:line="203" w:lineRule="exact"/>
              <w:rPr>
                <w:sz w:val="20"/>
                <w:szCs w:val="20"/>
                <w:color w:val="auto"/>
              </w:rPr>
            </w:pPr>
            <w:r>
              <w:rPr>
                <w:rFonts w:ascii="Times New Roman" w:cs="Times New Roman" w:eastAsia="Times New Roman" w:hAnsi="Times New Roman"/>
                <w:sz w:val="18"/>
                <w:szCs w:val="18"/>
                <w:color w:val="auto"/>
                <w:w w:val="97"/>
              </w:rPr>
              <w:t>001-05560</w:t>
            </w:r>
          </w:p>
        </w:tc>
        <w:tc>
          <w:tcPr>
            <w:tcW w:w="940" w:type="dxa"/>
            <w:vAlign w:val="bottom"/>
          </w:tcPr>
          <w:p>
            <w:pPr>
              <w:jc w:val="center"/>
              <w:spacing w:after="0" w:line="203" w:lineRule="exact"/>
              <w:rPr>
                <w:sz w:val="20"/>
                <w:szCs w:val="20"/>
                <w:color w:val="auto"/>
              </w:rPr>
            </w:pPr>
            <w:r>
              <w:rPr>
                <w:rFonts w:ascii="Times New Roman" w:cs="Times New Roman" w:eastAsia="Times New Roman" w:hAnsi="Times New Roman"/>
                <w:sz w:val="18"/>
                <w:szCs w:val="18"/>
                <w:color w:val="auto"/>
                <w:w w:val="95"/>
              </w:rPr>
              <w:t>10.5</w:t>
            </w:r>
          </w:p>
        </w:tc>
        <w:tc>
          <w:tcPr>
            <w:tcW w:w="1120" w:type="dxa"/>
            <w:vAlign w:val="bottom"/>
          </w:tcPr>
          <w:p>
            <w:pPr>
              <w:jc w:val="center"/>
              <w:spacing w:after="0" w:line="203" w:lineRule="exact"/>
              <w:rPr>
                <w:sz w:val="20"/>
                <w:szCs w:val="20"/>
                <w:color w:val="auto"/>
              </w:rPr>
            </w:pPr>
            <w:r>
              <w:rPr>
                <w:rFonts w:ascii="Times New Roman" w:cs="Times New Roman" w:eastAsia="Times New Roman" w:hAnsi="Times New Roman"/>
                <w:sz w:val="18"/>
                <w:szCs w:val="18"/>
                <w:color w:val="auto"/>
                <w:w w:val="96"/>
              </w:rPr>
              <w:t>8/8/2023</w:t>
            </w:r>
          </w:p>
        </w:tc>
        <w:tc>
          <w:tcPr>
            <w:tcW w:w="9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1"/>
        </w:trPr>
        <w:tc>
          <w:tcPr>
            <w:tcW w:w="1300" w:type="dxa"/>
            <w:vAlign w:val="bottom"/>
          </w:tcPr>
          <w:p>
            <w:pPr>
              <w:spacing w:after="0"/>
              <w:rPr>
                <w:sz w:val="13"/>
                <w:szCs w:val="13"/>
                <w:color w:val="auto"/>
              </w:rPr>
            </w:pPr>
          </w:p>
        </w:tc>
        <w:tc>
          <w:tcPr>
            <w:tcW w:w="3820" w:type="dxa"/>
            <w:vAlign w:val="bottom"/>
            <w:tcBorders>
              <w:top w:val="single" w:sz="8" w:color="0000FF"/>
            </w:tcBorders>
            <w:gridSpan w:val="14"/>
          </w:tcPr>
          <w:p>
            <w:pPr>
              <w:spacing w:after="0" w:line="151" w:lineRule="exact"/>
              <w:rPr>
                <w:rFonts w:ascii="Times New Roman" w:cs="Times New Roman" w:eastAsia="Times New Roman" w:hAnsi="Times New Roman"/>
                <w:sz w:val="16"/>
                <w:szCs w:val="16"/>
                <w:color w:val="0000FF"/>
              </w:rPr>
            </w:pPr>
            <w:hyperlink r:id="rId103">
              <w:r>
                <w:rPr>
                  <w:rFonts w:ascii="Times New Roman" w:cs="Times New Roman" w:eastAsia="Times New Roman" w:hAnsi="Times New Roman"/>
                  <w:sz w:val="16"/>
                  <w:szCs w:val="16"/>
                  <w:color w:val="0000FF"/>
                </w:rPr>
                <w:t>Agreement, dated May 10, 2023, between the Company</w:t>
              </w:r>
            </w:hyperlink>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00" w:type="dxa"/>
            <w:vAlign w:val="bottom"/>
            <w:gridSpan w:val="11"/>
          </w:tcPr>
          <w:p>
            <w:pPr>
              <w:jc w:val="center"/>
              <w:ind w:right="280"/>
              <w:spacing w:after="0" w:line="151" w:lineRule="exact"/>
              <w:rPr>
                <w:rFonts w:ascii="Times New Roman" w:cs="Times New Roman" w:eastAsia="Times New Roman" w:hAnsi="Times New Roman"/>
                <w:sz w:val="16"/>
                <w:szCs w:val="16"/>
                <w:color w:val="0000FF"/>
                <w:w w:val="94"/>
              </w:rPr>
            </w:pPr>
            <w:hyperlink r:id="rId103">
              <w:r>
                <w:rPr>
                  <w:rFonts w:ascii="Times New Roman" w:cs="Times New Roman" w:eastAsia="Times New Roman" w:hAnsi="Times New Roman"/>
                  <w:sz w:val="16"/>
                  <w:szCs w:val="16"/>
                  <w:color w:val="0000FF"/>
                  <w:w w:val="94"/>
                </w:rPr>
                <w:t>and</w:t>
              </w:r>
            </w:hyperlink>
          </w:p>
        </w:tc>
        <w:tc>
          <w:tcPr>
            <w:tcW w:w="7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1300" w:type="dxa"/>
            <w:vAlign w:val="bottom"/>
          </w:tcPr>
          <w:p>
            <w:pPr>
              <w:spacing w:after="0"/>
              <w:rPr>
                <w:sz w:val="14"/>
                <w:szCs w:val="14"/>
                <w:color w:val="auto"/>
              </w:rPr>
            </w:pPr>
          </w:p>
        </w:tc>
        <w:tc>
          <w:tcPr>
            <w:tcW w:w="1160" w:type="dxa"/>
            <w:vAlign w:val="bottom"/>
            <w:tcBorders>
              <w:top w:val="single" w:sz="8" w:color="0000FF"/>
              <w:bottom w:val="single" w:sz="8" w:color="0000FF"/>
            </w:tcBorders>
            <w:gridSpan w:val="4"/>
          </w:tcPr>
          <w:p>
            <w:pPr>
              <w:spacing w:after="0" w:line="164" w:lineRule="exact"/>
              <w:rPr>
                <w:rFonts w:ascii="Times New Roman" w:cs="Times New Roman" w:eastAsia="Times New Roman" w:hAnsi="Times New Roman"/>
                <w:sz w:val="18"/>
                <w:szCs w:val="18"/>
                <w:color w:val="0000FF"/>
                <w:w w:val="97"/>
              </w:rPr>
            </w:pPr>
            <w:hyperlink r:id="rId103">
              <w:r>
                <w:rPr>
                  <w:rFonts w:ascii="Times New Roman" w:cs="Times New Roman" w:eastAsia="Times New Roman" w:hAnsi="Times New Roman"/>
                  <w:sz w:val="18"/>
                  <w:szCs w:val="18"/>
                  <w:color w:val="0000FF"/>
                  <w:w w:val="97"/>
                </w:rPr>
                <w:t>Kari A. Durham</w:t>
              </w:r>
            </w:hyperlink>
          </w:p>
        </w:tc>
        <w:tc>
          <w:tcPr>
            <w:tcW w:w="3060" w:type="dxa"/>
            <w:vAlign w:val="bottom"/>
            <w:tcBorders>
              <w:top w:val="single" w:sz="8" w:color="0000FF"/>
            </w:tcBorders>
            <w:gridSpan w:val="26"/>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1300" w:type="dxa"/>
            <w:vAlign w:val="bottom"/>
          </w:tcPr>
          <w:p>
            <w:pPr>
              <w:jc w:val="center"/>
              <w:spacing w:after="0" w:line="203" w:lineRule="exact"/>
              <w:rPr>
                <w:sz w:val="20"/>
                <w:szCs w:val="20"/>
                <w:color w:val="auto"/>
              </w:rPr>
            </w:pPr>
            <w:r>
              <w:rPr>
                <w:rFonts w:ascii="Times New Roman" w:cs="Times New Roman" w:eastAsia="Times New Roman" w:hAnsi="Times New Roman"/>
                <w:sz w:val="18"/>
                <w:szCs w:val="18"/>
                <w:color w:val="auto"/>
                <w:w w:val="96"/>
              </w:rPr>
              <w:t>10.17*</w:t>
            </w:r>
          </w:p>
        </w:tc>
        <w:tc>
          <w:tcPr>
            <w:tcW w:w="4500" w:type="dxa"/>
            <w:vAlign w:val="bottom"/>
            <w:gridSpan w:val="33"/>
          </w:tcPr>
          <w:p>
            <w:pPr>
              <w:spacing w:after="0" w:line="203" w:lineRule="exact"/>
              <w:rPr>
                <w:rFonts w:ascii="Times New Roman" w:cs="Times New Roman" w:eastAsia="Times New Roman" w:hAnsi="Times New Roman"/>
                <w:sz w:val="18"/>
                <w:szCs w:val="18"/>
                <w:color w:val="0000FF"/>
              </w:rPr>
            </w:pPr>
            <w:hyperlink r:id="rId104">
              <w:r>
                <w:rPr>
                  <w:rFonts w:ascii="Times New Roman" w:cs="Times New Roman" w:eastAsia="Times New Roman" w:hAnsi="Times New Roman"/>
                  <w:sz w:val="18"/>
                  <w:szCs w:val="18"/>
                  <w:color w:val="0000FF"/>
                </w:rPr>
                <w:t>Amended and Restated Change in Control / Severance</w:t>
              </w:r>
            </w:hyperlink>
          </w:p>
        </w:tc>
        <w:tc>
          <w:tcPr>
            <w:tcW w:w="720" w:type="dxa"/>
            <w:vAlign w:val="bottom"/>
          </w:tcPr>
          <w:p>
            <w:pPr>
              <w:jc w:val="center"/>
              <w:ind w:right="74"/>
              <w:spacing w:after="0" w:line="203" w:lineRule="exact"/>
              <w:rPr>
                <w:sz w:val="20"/>
                <w:szCs w:val="20"/>
                <w:color w:val="auto"/>
              </w:rPr>
            </w:pPr>
            <w:r>
              <w:rPr>
                <w:rFonts w:ascii="Times New Roman" w:cs="Times New Roman" w:eastAsia="Times New Roman" w:hAnsi="Times New Roman"/>
                <w:sz w:val="18"/>
                <w:szCs w:val="18"/>
                <w:color w:val="auto"/>
                <w:w w:val="97"/>
              </w:rPr>
              <w:t>10-Q</w:t>
            </w:r>
          </w:p>
        </w:tc>
        <w:tc>
          <w:tcPr>
            <w:tcW w:w="1280" w:type="dxa"/>
            <w:vAlign w:val="bottom"/>
          </w:tcPr>
          <w:p>
            <w:pPr>
              <w:jc w:val="center"/>
              <w:spacing w:after="0" w:line="203" w:lineRule="exact"/>
              <w:rPr>
                <w:sz w:val="20"/>
                <w:szCs w:val="20"/>
                <w:color w:val="auto"/>
              </w:rPr>
            </w:pPr>
            <w:r>
              <w:rPr>
                <w:rFonts w:ascii="Times New Roman" w:cs="Times New Roman" w:eastAsia="Times New Roman" w:hAnsi="Times New Roman"/>
                <w:sz w:val="18"/>
                <w:szCs w:val="18"/>
                <w:color w:val="auto"/>
                <w:w w:val="97"/>
              </w:rPr>
              <w:t>001-05560</w:t>
            </w:r>
          </w:p>
        </w:tc>
        <w:tc>
          <w:tcPr>
            <w:tcW w:w="940" w:type="dxa"/>
            <w:vAlign w:val="bottom"/>
          </w:tcPr>
          <w:p>
            <w:pPr>
              <w:jc w:val="center"/>
              <w:spacing w:after="0" w:line="203" w:lineRule="exact"/>
              <w:rPr>
                <w:sz w:val="20"/>
                <w:szCs w:val="20"/>
                <w:color w:val="auto"/>
              </w:rPr>
            </w:pPr>
            <w:r>
              <w:rPr>
                <w:rFonts w:ascii="Times New Roman" w:cs="Times New Roman" w:eastAsia="Times New Roman" w:hAnsi="Times New Roman"/>
                <w:sz w:val="18"/>
                <w:szCs w:val="18"/>
                <w:color w:val="auto"/>
                <w:w w:val="95"/>
              </w:rPr>
              <w:t>10.6</w:t>
            </w:r>
          </w:p>
        </w:tc>
        <w:tc>
          <w:tcPr>
            <w:tcW w:w="1120" w:type="dxa"/>
            <w:vAlign w:val="bottom"/>
          </w:tcPr>
          <w:p>
            <w:pPr>
              <w:jc w:val="center"/>
              <w:spacing w:after="0" w:line="203" w:lineRule="exact"/>
              <w:rPr>
                <w:sz w:val="20"/>
                <w:szCs w:val="20"/>
                <w:color w:val="auto"/>
              </w:rPr>
            </w:pPr>
            <w:r>
              <w:rPr>
                <w:rFonts w:ascii="Times New Roman" w:cs="Times New Roman" w:eastAsia="Times New Roman" w:hAnsi="Times New Roman"/>
                <w:sz w:val="18"/>
                <w:szCs w:val="18"/>
                <w:color w:val="auto"/>
                <w:w w:val="96"/>
              </w:rPr>
              <w:t>8/8/2023</w:t>
            </w:r>
          </w:p>
        </w:tc>
        <w:tc>
          <w:tcPr>
            <w:tcW w:w="9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1"/>
        </w:trPr>
        <w:tc>
          <w:tcPr>
            <w:tcW w:w="1300" w:type="dxa"/>
            <w:vAlign w:val="bottom"/>
          </w:tcPr>
          <w:p>
            <w:pPr>
              <w:spacing w:after="0"/>
              <w:rPr>
                <w:sz w:val="13"/>
                <w:szCs w:val="13"/>
                <w:color w:val="auto"/>
              </w:rPr>
            </w:pPr>
          </w:p>
        </w:tc>
        <w:tc>
          <w:tcPr>
            <w:tcW w:w="3820" w:type="dxa"/>
            <w:vAlign w:val="bottom"/>
            <w:tcBorders>
              <w:top w:val="single" w:sz="8" w:color="0000FF"/>
            </w:tcBorders>
            <w:gridSpan w:val="14"/>
          </w:tcPr>
          <w:p>
            <w:pPr>
              <w:spacing w:after="0" w:line="151" w:lineRule="exact"/>
              <w:rPr>
                <w:rFonts w:ascii="Times New Roman" w:cs="Times New Roman" w:eastAsia="Times New Roman" w:hAnsi="Times New Roman"/>
                <w:sz w:val="16"/>
                <w:szCs w:val="16"/>
                <w:color w:val="0000FF"/>
              </w:rPr>
            </w:pPr>
            <w:hyperlink r:id="rId104">
              <w:r>
                <w:rPr>
                  <w:rFonts w:ascii="Times New Roman" w:cs="Times New Roman" w:eastAsia="Times New Roman" w:hAnsi="Times New Roman"/>
                  <w:sz w:val="16"/>
                  <w:szCs w:val="16"/>
                  <w:color w:val="0000FF"/>
                </w:rPr>
                <w:t>Agreement, dated May 10, 2023, between the Company</w:t>
              </w:r>
            </w:hyperlink>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00" w:type="dxa"/>
            <w:vAlign w:val="bottom"/>
            <w:gridSpan w:val="11"/>
          </w:tcPr>
          <w:p>
            <w:pPr>
              <w:jc w:val="center"/>
              <w:ind w:right="280"/>
              <w:spacing w:after="0" w:line="151" w:lineRule="exact"/>
              <w:rPr>
                <w:rFonts w:ascii="Times New Roman" w:cs="Times New Roman" w:eastAsia="Times New Roman" w:hAnsi="Times New Roman"/>
                <w:sz w:val="16"/>
                <w:szCs w:val="16"/>
                <w:color w:val="0000FF"/>
                <w:w w:val="94"/>
              </w:rPr>
            </w:pPr>
            <w:hyperlink r:id="rId104">
              <w:r>
                <w:rPr>
                  <w:rFonts w:ascii="Times New Roman" w:cs="Times New Roman" w:eastAsia="Times New Roman" w:hAnsi="Times New Roman"/>
                  <w:sz w:val="16"/>
                  <w:szCs w:val="16"/>
                  <w:color w:val="0000FF"/>
                  <w:w w:val="94"/>
                </w:rPr>
                <w:t>and</w:t>
              </w:r>
            </w:hyperlink>
          </w:p>
        </w:tc>
        <w:tc>
          <w:tcPr>
            <w:tcW w:w="7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1300" w:type="dxa"/>
            <w:vAlign w:val="bottom"/>
          </w:tcPr>
          <w:p>
            <w:pPr>
              <w:spacing w:after="0"/>
              <w:rPr>
                <w:sz w:val="14"/>
                <w:szCs w:val="14"/>
                <w:color w:val="auto"/>
              </w:rPr>
            </w:pPr>
          </w:p>
        </w:tc>
        <w:tc>
          <w:tcPr>
            <w:tcW w:w="1000" w:type="dxa"/>
            <w:vAlign w:val="bottom"/>
            <w:tcBorders>
              <w:top w:val="single" w:sz="8" w:color="0000FF"/>
              <w:bottom w:val="single" w:sz="8" w:color="0000FF"/>
            </w:tcBorders>
            <w:gridSpan w:val="3"/>
          </w:tcPr>
          <w:p>
            <w:pPr>
              <w:spacing w:after="0" w:line="164" w:lineRule="exact"/>
              <w:rPr>
                <w:rFonts w:ascii="Times New Roman" w:cs="Times New Roman" w:eastAsia="Times New Roman" w:hAnsi="Times New Roman"/>
                <w:sz w:val="18"/>
                <w:szCs w:val="18"/>
                <w:color w:val="0000FF"/>
                <w:w w:val="96"/>
              </w:rPr>
            </w:pPr>
            <w:hyperlink r:id="rId104">
              <w:r>
                <w:rPr>
                  <w:rFonts w:ascii="Times New Roman" w:cs="Times New Roman" w:eastAsia="Times New Roman" w:hAnsi="Times New Roman"/>
                  <w:sz w:val="18"/>
                  <w:szCs w:val="18"/>
                  <w:color w:val="0000FF"/>
                  <w:w w:val="96"/>
                </w:rPr>
                <w:t>Reza Kasnavi</w:t>
              </w:r>
            </w:hyperlink>
          </w:p>
        </w:tc>
        <w:tc>
          <w:tcPr>
            <w:tcW w:w="3220" w:type="dxa"/>
            <w:vAlign w:val="bottom"/>
            <w:tcBorders>
              <w:top w:val="single" w:sz="8" w:color="0000FF"/>
            </w:tcBorders>
            <w:gridSpan w:val="27"/>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1300" w:type="dxa"/>
            <w:vAlign w:val="bottom"/>
          </w:tcPr>
          <w:p>
            <w:pPr>
              <w:jc w:val="center"/>
              <w:spacing w:after="0" w:line="203" w:lineRule="exact"/>
              <w:rPr>
                <w:sz w:val="20"/>
                <w:szCs w:val="20"/>
                <w:color w:val="auto"/>
              </w:rPr>
            </w:pPr>
            <w:r>
              <w:rPr>
                <w:rFonts w:ascii="Times New Roman" w:cs="Times New Roman" w:eastAsia="Times New Roman" w:hAnsi="Times New Roman"/>
                <w:sz w:val="18"/>
                <w:szCs w:val="18"/>
                <w:color w:val="auto"/>
                <w:w w:val="93"/>
              </w:rPr>
              <w:t>10.18</w:t>
            </w:r>
          </w:p>
        </w:tc>
        <w:tc>
          <w:tcPr>
            <w:tcW w:w="4500" w:type="dxa"/>
            <w:vAlign w:val="bottom"/>
            <w:gridSpan w:val="33"/>
          </w:tcPr>
          <w:p>
            <w:pPr>
              <w:spacing w:after="0" w:line="203" w:lineRule="exact"/>
              <w:rPr>
                <w:rFonts w:ascii="Times New Roman" w:cs="Times New Roman" w:eastAsia="Times New Roman" w:hAnsi="Times New Roman"/>
                <w:sz w:val="18"/>
                <w:szCs w:val="18"/>
                <w:color w:val="0000FF"/>
              </w:rPr>
            </w:pPr>
            <w:hyperlink r:id="rId105">
              <w:r>
                <w:rPr>
                  <w:rFonts w:ascii="Times New Roman" w:cs="Times New Roman" w:eastAsia="Times New Roman" w:hAnsi="Times New Roman"/>
                  <w:sz w:val="18"/>
                  <w:szCs w:val="18"/>
                  <w:color w:val="0000FF"/>
                </w:rPr>
                <w:t>Debt Commitment Letter, dated as of April 22, 2021, by and</w:t>
              </w:r>
            </w:hyperlink>
          </w:p>
        </w:tc>
        <w:tc>
          <w:tcPr>
            <w:tcW w:w="720" w:type="dxa"/>
            <w:vAlign w:val="bottom"/>
          </w:tcPr>
          <w:p>
            <w:pPr>
              <w:jc w:val="center"/>
              <w:ind w:right="94"/>
              <w:spacing w:after="0" w:line="203" w:lineRule="exact"/>
              <w:rPr>
                <w:sz w:val="20"/>
                <w:szCs w:val="20"/>
                <w:color w:val="auto"/>
              </w:rPr>
            </w:pPr>
            <w:r>
              <w:rPr>
                <w:rFonts w:ascii="Times New Roman" w:cs="Times New Roman" w:eastAsia="Times New Roman" w:hAnsi="Times New Roman"/>
                <w:sz w:val="18"/>
                <w:szCs w:val="18"/>
                <w:color w:val="auto"/>
                <w:w w:val="92"/>
              </w:rPr>
              <w:t>8-K</w:t>
            </w:r>
          </w:p>
        </w:tc>
        <w:tc>
          <w:tcPr>
            <w:tcW w:w="1280" w:type="dxa"/>
            <w:vAlign w:val="bottom"/>
          </w:tcPr>
          <w:p>
            <w:pPr>
              <w:jc w:val="center"/>
              <w:spacing w:after="0" w:line="203" w:lineRule="exact"/>
              <w:rPr>
                <w:sz w:val="20"/>
                <w:szCs w:val="20"/>
                <w:color w:val="auto"/>
              </w:rPr>
            </w:pPr>
            <w:r>
              <w:rPr>
                <w:rFonts w:ascii="Times New Roman" w:cs="Times New Roman" w:eastAsia="Times New Roman" w:hAnsi="Times New Roman"/>
                <w:sz w:val="18"/>
                <w:szCs w:val="18"/>
                <w:color w:val="auto"/>
                <w:w w:val="97"/>
              </w:rPr>
              <w:t>001-05560</w:t>
            </w:r>
          </w:p>
        </w:tc>
        <w:tc>
          <w:tcPr>
            <w:tcW w:w="940" w:type="dxa"/>
            <w:vAlign w:val="bottom"/>
          </w:tcPr>
          <w:p>
            <w:pPr>
              <w:jc w:val="center"/>
              <w:spacing w:after="0" w:line="203" w:lineRule="exact"/>
              <w:rPr>
                <w:sz w:val="20"/>
                <w:szCs w:val="20"/>
                <w:color w:val="auto"/>
              </w:rPr>
            </w:pPr>
            <w:r>
              <w:rPr>
                <w:rFonts w:ascii="Times New Roman" w:cs="Times New Roman" w:eastAsia="Times New Roman" w:hAnsi="Times New Roman"/>
                <w:sz w:val="18"/>
                <w:szCs w:val="18"/>
                <w:color w:val="auto"/>
                <w:w w:val="95"/>
              </w:rPr>
              <w:t>10.1</w:t>
            </w:r>
          </w:p>
        </w:tc>
        <w:tc>
          <w:tcPr>
            <w:tcW w:w="1120" w:type="dxa"/>
            <w:vAlign w:val="bottom"/>
          </w:tcPr>
          <w:p>
            <w:pPr>
              <w:jc w:val="center"/>
              <w:spacing w:after="0" w:line="203" w:lineRule="exact"/>
              <w:rPr>
                <w:sz w:val="20"/>
                <w:szCs w:val="20"/>
                <w:color w:val="auto"/>
              </w:rPr>
            </w:pPr>
            <w:r>
              <w:rPr>
                <w:rFonts w:ascii="Times New Roman" w:cs="Times New Roman" w:eastAsia="Times New Roman" w:hAnsi="Times New Roman"/>
                <w:sz w:val="18"/>
                <w:szCs w:val="18"/>
                <w:color w:val="auto"/>
                <w:w w:val="95"/>
              </w:rPr>
              <w:t>4/22/2021</w:t>
            </w:r>
          </w:p>
        </w:tc>
        <w:tc>
          <w:tcPr>
            <w:tcW w:w="9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7"/>
        </w:trPr>
        <w:tc>
          <w:tcPr>
            <w:tcW w:w="1300" w:type="dxa"/>
            <w:vAlign w:val="bottom"/>
          </w:tcPr>
          <w:p>
            <w:pPr>
              <w:spacing w:after="0"/>
              <w:rPr>
                <w:sz w:val="15"/>
                <w:szCs w:val="15"/>
                <w:color w:val="auto"/>
              </w:rPr>
            </w:pPr>
          </w:p>
        </w:tc>
        <w:tc>
          <w:tcPr>
            <w:tcW w:w="4240" w:type="dxa"/>
            <w:vAlign w:val="bottom"/>
            <w:tcBorders>
              <w:top w:val="single" w:sz="8" w:color="0000FF"/>
            </w:tcBorders>
            <w:gridSpan w:val="31"/>
          </w:tcPr>
          <w:p>
            <w:pPr>
              <w:spacing w:after="0" w:line="177" w:lineRule="exact"/>
              <w:rPr>
                <w:rFonts w:ascii="Times New Roman" w:cs="Times New Roman" w:eastAsia="Times New Roman" w:hAnsi="Times New Roman"/>
                <w:sz w:val="18"/>
                <w:szCs w:val="18"/>
                <w:color w:val="0000FF"/>
              </w:rPr>
            </w:pPr>
            <w:hyperlink r:id="rId105">
              <w:r>
                <w:rPr>
                  <w:rFonts w:ascii="Times New Roman" w:cs="Times New Roman" w:eastAsia="Times New Roman" w:hAnsi="Times New Roman"/>
                  <w:sz w:val="18"/>
                  <w:szCs w:val="18"/>
                  <w:color w:val="0000FF"/>
                </w:rPr>
                <w:t>between Skyworks Solutions, Inc., and JPMorgan Chase</w:t>
              </w:r>
            </w:hyperlink>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300" w:type="dxa"/>
            <w:vAlign w:val="bottom"/>
          </w:tcPr>
          <w:p>
            <w:pPr>
              <w:spacing w:after="0"/>
              <w:rPr>
                <w:sz w:val="15"/>
                <w:szCs w:val="15"/>
                <w:color w:val="auto"/>
              </w:rPr>
            </w:pPr>
          </w:p>
        </w:tc>
        <w:tc>
          <w:tcPr>
            <w:tcW w:w="4000" w:type="dxa"/>
            <w:vAlign w:val="bottom"/>
            <w:tcBorders>
              <w:top w:val="single" w:sz="8" w:color="0000FF"/>
            </w:tcBorders>
            <w:gridSpan w:val="22"/>
          </w:tcPr>
          <w:p>
            <w:pPr>
              <w:spacing w:after="0" w:line="177" w:lineRule="exact"/>
              <w:rPr>
                <w:rFonts w:ascii="Times New Roman" w:cs="Times New Roman" w:eastAsia="Times New Roman" w:hAnsi="Times New Roman"/>
                <w:sz w:val="18"/>
                <w:szCs w:val="18"/>
                <w:color w:val="0000FF"/>
              </w:rPr>
            </w:pPr>
            <w:hyperlink r:id="rId105">
              <w:r>
                <w:rPr>
                  <w:rFonts w:ascii="Times New Roman" w:cs="Times New Roman" w:eastAsia="Times New Roman" w:hAnsi="Times New Roman"/>
                  <w:sz w:val="18"/>
                  <w:szCs w:val="18"/>
                  <w:color w:val="0000FF"/>
                </w:rPr>
                <w:t>Bank, N.A</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gridSpan w:val="3"/>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3"/>
              </w:rPr>
              <w:t>10.19^</w:t>
            </w:r>
          </w:p>
        </w:tc>
        <w:tc>
          <w:tcPr>
            <w:tcW w:w="4500" w:type="dxa"/>
            <w:vAlign w:val="bottom"/>
            <w:gridSpan w:val="33"/>
          </w:tcPr>
          <w:p>
            <w:pPr>
              <w:spacing w:after="0"/>
              <w:rPr>
                <w:rFonts w:ascii="Times New Roman" w:cs="Times New Roman" w:eastAsia="Times New Roman" w:hAnsi="Times New Roman"/>
                <w:sz w:val="18"/>
                <w:szCs w:val="18"/>
                <w:color w:val="0000FF"/>
              </w:rPr>
            </w:pPr>
            <w:hyperlink r:id="rId106">
              <w:r>
                <w:rPr>
                  <w:rFonts w:ascii="Times New Roman" w:cs="Times New Roman" w:eastAsia="Times New Roman" w:hAnsi="Times New Roman"/>
                  <w:sz w:val="18"/>
                  <w:szCs w:val="18"/>
                  <w:color w:val="0000FF"/>
                </w:rPr>
                <w:t>Revolving Credit Agreement, dated as of May 21, 2021,</w:t>
              </w:r>
            </w:hyperlink>
          </w:p>
        </w:tc>
        <w:tc>
          <w:tcPr>
            <w:tcW w:w="720" w:type="dxa"/>
            <w:vAlign w:val="bottom"/>
          </w:tcPr>
          <w:p>
            <w:pPr>
              <w:jc w:val="center"/>
              <w:ind w:right="94"/>
              <w:spacing w:after="0"/>
              <w:rPr>
                <w:sz w:val="20"/>
                <w:szCs w:val="20"/>
                <w:color w:val="auto"/>
              </w:rPr>
            </w:pPr>
            <w:r>
              <w:rPr>
                <w:rFonts w:ascii="Times New Roman" w:cs="Times New Roman" w:eastAsia="Times New Roman" w:hAnsi="Times New Roman"/>
                <w:sz w:val="18"/>
                <w:szCs w:val="18"/>
                <w:color w:val="auto"/>
                <w:w w:val="92"/>
              </w:rPr>
              <w:t>8-K</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001-05560</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10.2</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5/26/2021</w:t>
            </w:r>
          </w:p>
        </w:tc>
        <w:tc>
          <w:tcPr>
            <w:tcW w:w="9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1"/>
        </w:trPr>
        <w:tc>
          <w:tcPr>
            <w:tcW w:w="1300" w:type="dxa"/>
            <w:vAlign w:val="bottom"/>
          </w:tcPr>
          <w:p>
            <w:pPr>
              <w:spacing w:after="0"/>
              <w:rPr>
                <w:sz w:val="13"/>
                <w:szCs w:val="13"/>
                <w:color w:val="auto"/>
              </w:rPr>
            </w:pPr>
          </w:p>
        </w:tc>
        <w:tc>
          <w:tcPr>
            <w:tcW w:w="3980" w:type="dxa"/>
            <w:vAlign w:val="bottom"/>
            <w:tcBorders>
              <w:top w:val="single" w:sz="8" w:color="0000FF"/>
            </w:tcBorders>
            <w:gridSpan w:val="21"/>
          </w:tcPr>
          <w:p>
            <w:pPr>
              <w:spacing w:after="0" w:line="151" w:lineRule="exact"/>
              <w:rPr>
                <w:rFonts w:ascii="Times New Roman" w:cs="Times New Roman" w:eastAsia="Times New Roman" w:hAnsi="Times New Roman"/>
                <w:sz w:val="16"/>
                <w:szCs w:val="16"/>
                <w:color w:val="0000FF"/>
              </w:rPr>
            </w:pPr>
            <w:hyperlink r:id="rId106">
              <w:r>
                <w:rPr>
                  <w:rFonts w:ascii="Times New Roman" w:cs="Times New Roman" w:eastAsia="Times New Roman" w:hAnsi="Times New Roman"/>
                  <w:sz w:val="16"/>
                  <w:szCs w:val="16"/>
                  <w:color w:val="0000FF"/>
                </w:rPr>
                <w:t>among the Company, the Borrowing Subsidiaries party</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3"/>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1300" w:type="dxa"/>
            <w:vAlign w:val="bottom"/>
          </w:tcPr>
          <w:p>
            <w:pPr>
              <w:spacing w:after="0"/>
              <w:rPr>
                <w:sz w:val="14"/>
                <w:szCs w:val="14"/>
                <w:color w:val="auto"/>
              </w:rPr>
            </w:pPr>
          </w:p>
        </w:tc>
        <w:tc>
          <w:tcPr>
            <w:tcW w:w="3940" w:type="dxa"/>
            <w:vAlign w:val="bottom"/>
            <w:tcBorders>
              <w:top w:val="single" w:sz="8" w:color="0000FF"/>
            </w:tcBorders>
            <w:gridSpan w:val="19"/>
          </w:tcPr>
          <w:p>
            <w:pPr>
              <w:spacing w:after="0" w:line="164" w:lineRule="exact"/>
              <w:rPr>
                <w:rFonts w:ascii="Times New Roman" w:cs="Times New Roman" w:eastAsia="Times New Roman" w:hAnsi="Times New Roman"/>
                <w:sz w:val="18"/>
                <w:szCs w:val="18"/>
                <w:color w:val="0000FF"/>
              </w:rPr>
            </w:pPr>
            <w:hyperlink r:id="rId106">
              <w:r>
                <w:rPr>
                  <w:rFonts w:ascii="Times New Roman" w:cs="Times New Roman" w:eastAsia="Times New Roman" w:hAnsi="Times New Roman"/>
                  <w:sz w:val="18"/>
                  <w:szCs w:val="18"/>
                  <w:color w:val="0000FF"/>
                </w:rPr>
                <w:t>thereto, the lenders party thereto and JPMorgan Chase</w:t>
              </w:r>
            </w:hyperlink>
          </w:p>
        </w:tc>
        <w:tc>
          <w:tcPr>
            <w:tcW w:w="560" w:type="dxa"/>
            <w:vAlign w:val="bottom"/>
            <w:gridSpan w:val="14"/>
          </w:tcPr>
          <w:p>
            <w:pPr>
              <w:jc w:val="center"/>
              <w:ind w:right="240"/>
              <w:spacing w:after="0" w:line="164" w:lineRule="exact"/>
              <w:rPr>
                <w:rFonts w:ascii="Times New Roman" w:cs="Times New Roman" w:eastAsia="Times New Roman" w:hAnsi="Times New Roman"/>
                <w:sz w:val="18"/>
                <w:szCs w:val="18"/>
                <w:color w:val="0000FF"/>
                <w:w w:val="75"/>
              </w:rPr>
            </w:pPr>
            <w:hyperlink r:id="rId106">
              <w:r>
                <w:rPr>
                  <w:rFonts w:ascii="Times New Roman" w:cs="Times New Roman" w:eastAsia="Times New Roman" w:hAnsi="Times New Roman"/>
                  <w:sz w:val="18"/>
                  <w:szCs w:val="18"/>
                  <w:color w:val="0000FF"/>
                  <w:w w:val="75"/>
                </w:rPr>
                <w:t>Bank,</w:t>
              </w:r>
            </w:hyperlink>
          </w:p>
        </w:tc>
        <w:tc>
          <w:tcPr>
            <w:tcW w:w="7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1300" w:type="dxa"/>
            <w:vAlign w:val="bottom"/>
          </w:tcPr>
          <w:p>
            <w:pPr>
              <w:spacing w:after="0"/>
              <w:rPr>
                <w:sz w:val="13"/>
                <w:szCs w:val="13"/>
                <w:color w:val="auto"/>
              </w:rPr>
            </w:pPr>
          </w:p>
        </w:tc>
        <w:tc>
          <w:tcPr>
            <w:tcW w:w="4260" w:type="dxa"/>
            <w:vAlign w:val="bottom"/>
            <w:tcBorders>
              <w:top w:val="single" w:sz="8" w:color="0000FF"/>
            </w:tcBorders>
            <w:gridSpan w:val="32"/>
          </w:tcPr>
          <w:p>
            <w:pPr>
              <w:spacing w:after="0" w:line="151" w:lineRule="exact"/>
              <w:rPr>
                <w:rFonts w:ascii="Times New Roman" w:cs="Times New Roman" w:eastAsia="Times New Roman" w:hAnsi="Times New Roman"/>
                <w:sz w:val="16"/>
                <w:szCs w:val="16"/>
                <w:color w:val="0000FF"/>
              </w:rPr>
            </w:pPr>
            <w:hyperlink r:id="rId106">
              <w:r>
                <w:rPr>
                  <w:rFonts w:ascii="Times New Roman" w:cs="Times New Roman" w:eastAsia="Times New Roman" w:hAnsi="Times New Roman"/>
                  <w:sz w:val="16"/>
                  <w:szCs w:val="16"/>
                  <w:color w:val="0000FF"/>
                </w:rPr>
                <w:t>N.A., as the administrative agent</w:t>
              </w:r>
            </w:hyperlink>
          </w:p>
        </w:tc>
        <w:tc>
          <w:tcPr>
            <w:tcW w:w="2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340" w:type="dxa"/>
            <w:vAlign w:val="bottom"/>
            <w:gridSpan w:val="3"/>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300" w:type="dxa"/>
            <w:vAlign w:val="bottom"/>
          </w:tcPr>
          <w:p>
            <w:pPr>
              <w:jc w:val="center"/>
              <w:spacing w:after="0" w:line="203" w:lineRule="exact"/>
              <w:rPr>
                <w:sz w:val="20"/>
                <w:szCs w:val="20"/>
                <w:color w:val="auto"/>
              </w:rPr>
            </w:pPr>
            <w:r>
              <w:rPr>
                <w:rFonts w:ascii="Times New Roman" w:cs="Times New Roman" w:eastAsia="Times New Roman" w:hAnsi="Times New Roman"/>
                <w:sz w:val="18"/>
                <w:szCs w:val="18"/>
                <w:color w:val="auto"/>
                <w:w w:val="93"/>
              </w:rPr>
              <w:t>10.20^</w:t>
            </w:r>
          </w:p>
        </w:tc>
        <w:tc>
          <w:tcPr>
            <w:tcW w:w="4500" w:type="dxa"/>
            <w:vAlign w:val="bottom"/>
            <w:gridSpan w:val="33"/>
          </w:tcPr>
          <w:p>
            <w:pPr>
              <w:spacing w:after="0" w:line="203" w:lineRule="exact"/>
              <w:rPr>
                <w:rFonts w:ascii="Times New Roman" w:cs="Times New Roman" w:eastAsia="Times New Roman" w:hAnsi="Times New Roman"/>
                <w:sz w:val="18"/>
                <w:szCs w:val="18"/>
                <w:color w:val="0000FF"/>
              </w:rPr>
            </w:pPr>
            <w:hyperlink r:id="rId107">
              <w:r>
                <w:rPr>
                  <w:rFonts w:ascii="Times New Roman" w:cs="Times New Roman" w:eastAsia="Times New Roman" w:hAnsi="Times New Roman"/>
                  <w:sz w:val="18"/>
                  <w:szCs w:val="18"/>
                  <w:color w:val="0000FF"/>
                </w:rPr>
                <w:t>First Amendment, dated as of March 6, 2023, among the</w:t>
              </w:r>
            </w:hyperlink>
          </w:p>
        </w:tc>
        <w:tc>
          <w:tcPr>
            <w:tcW w:w="720" w:type="dxa"/>
            <w:vAlign w:val="bottom"/>
          </w:tcPr>
          <w:p>
            <w:pPr>
              <w:jc w:val="center"/>
              <w:ind w:right="94"/>
              <w:spacing w:after="0" w:line="203" w:lineRule="exact"/>
              <w:rPr>
                <w:sz w:val="20"/>
                <w:szCs w:val="20"/>
                <w:color w:val="auto"/>
              </w:rPr>
            </w:pPr>
            <w:r>
              <w:rPr>
                <w:rFonts w:ascii="Times New Roman" w:cs="Times New Roman" w:eastAsia="Times New Roman" w:hAnsi="Times New Roman"/>
                <w:sz w:val="18"/>
                <w:szCs w:val="18"/>
                <w:color w:val="auto"/>
                <w:w w:val="92"/>
              </w:rPr>
              <w:t>8-K</w:t>
            </w:r>
          </w:p>
        </w:tc>
        <w:tc>
          <w:tcPr>
            <w:tcW w:w="1280" w:type="dxa"/>
            <w:vAlign w:val="bottom"/>
          </w:tcPr>
          <w:p>
            <w:pPr>
              <w:jc w:val="center"/>
              <w:spacing w:after="0" w:line="203" w:lineRule="exact"/>
              <w:rPr>
                <w:sz w:val="20"/>
                <w:szCs w:val="20"/>
                <w:color w:val="auto"/>
              </w:rPr>
            </w:pPr>
            <w:r>
              <w:rPr>
                <w:rFonts w:ascii="Times New Roman" w:cs="Times New Roman" w:eastAsia="Times New Roman" w:hAnsi="Times New Roman"/>
                <w:sz w:val="18"/>
                <w:szCs w:val="18"/>
                <w:color w:val="auto"/>
                <w:w w:val="97"/>
              </w:rPr>
              <w:t>001-05560</w:t>
            </w:r>
          </w:p>
        </w:tc>
        <w:tc>
          <w:tcPr>
            <w:tcW w:w="940" w:type="dxa"/>
            <w:vAlign w:val="bottom"/>
          </w:tcPr>
          <w:p>
            <w:pPr>
              <w:jc w:val="center"/>
              <w:spacing w:after="0" w:line="203" w:lineRule="exact"/>
              <w:rPr>
                <w:sz w:val="20"/>
                <w:szCs w:val="20"/>
                <w:color w:val="auto"/>
              </w:rPr>
            </w:pPr>
            <w:r>
              <w:rPr>
                <w:rFonts w:ascii="Times New Roman" w:cs="Times New Roman" w:eastAsia="Times New Roman" w:hAnsi="Times New Roman"/>
                <w:sz w:val="18"/>
                <w:szCs w:val="18"/>
                <w:color w:val="auto"/>
                <w:w w:val="95"/>
              </w:rPr>
              <w:t>10.2</w:t>
            </w:r>
          </w:p>
        </w:tc>
        <w:tc>
          <w:tcPr>
            <w:tcW w:w="1120" w:type="dxa"/>
            <w:vAlign w:val="bottom"/>
          </w:tcPr>
          <w:p>
            <w:pPr>
              <w:jc w:val="center"/>
              <w:spacing w:after="0" w:line="203" w:lineRule="exact"/>
              <w:rPr>
                <w:sz w:val="20"/>
                <w:szCs w:val="20"/>
                <w:color w:val="auto"/>
              </w:rPr>
            </w:pPr>
            <w:r>
              <w:rPr>
                <w:rFonts w:ascii="Times New Roman" w:cs="Times New Roman" w:eastAsia="Times New Roman" w:hAnsi="Times New Roman"/>
                <w:sz w:val="18"/>
                <w:szCs w:val="18"/>
                <w:color w:val="auto"/>
                <w:w w:val="95"/>
              </w:rPr>
              <w:t>3/10/2023</w:t>
            </w:r>
          </w:p>
        </w:tc>
        <w:tc>
          <w:tcPr>
            <w:tcW w:w="9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1"/>
        </w:trPr>
        <w:tc>
          <w:tcPr>
            <w:tcW w:w="1300" w:type="dxa"/>
            <w:vAlign w:val="bottom"/>
          </w:tcPr>
          <w:p>
            <w:pPr>
              <w:spacing w:after="0"/>
              <w:rPr>
                <w:sz w:val="13"/>
                <w:szCs w:val="13"/>
                <w:color w:val="auto"/>
              </w:rPr>
            </w:pPr>
          </w:p>
        </w:tc>
        <w:tc>
          <w:tcPr>
            <w:tcW w:w="4040" w:type="dxa"/>
            <w:vAlign w:val="bottom"/>
            <w:tcBorders>
              <w:top w:val="single" w:sz="8" w:color="0000FF"/>
            </w:tcBorders>
            <w:gridSpan w:val="24"/>
          </w:tcPr>
          <w:p>
            <w:pPr>
              <w:spacing w:after="0" w:line="151" w:lineRule="exact"/>
              <w:rPr>
                <w:rFonts w:ascii="Times New Roman" w:cs="Times New Roman" w:eastAsia="Times New Roman" w:hAnsi="Times New Roman"/>
                <w:sz w:val="16"/>
                <w:szCs w:val="16"/>
                <w:color w:val="0000FF"/>
              </w:rPr>
            </w:pPr>
            <w:hyperlink r:id="rId107">
              <w:r>
                <w:rPr>
                  <w:rFonts w:ascii="Times New Roman" w:cs="Times New Roman" w:eastAsia="Times New Roman" w:hAnsi="Times New Roman"/>
                  <w:sz w:val="16"/>
                  <w:szCs w:val="16"/>
                  <w:color w:val="0000FF"/>
                </w:rPr>
                <w:t>Company, the borrowing subsidiaries party thereto, the</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gridSpan w:val="4"/>
          </w:tcPr>
          <w:p>
            <w:pPr>
              <w:spacing w:after="0"/>
              <w:rPr>
                <w:sz w:val="13"/>
                <w:szCs w:val="13"/>
                <w:color w:val="auto"/>
              </w:rPr>
            </w:pPr>
          </w:p>
        </w:tc>
        <w:tc>
          <w:tcPr>
            <w:tcW w:w="7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1300" w:type="dxa"/>
            <w:vAlign w:val="bottom"/>
          </w:tcPr>
          <w:p>
            <w:pPr>
              <w:spacing w:after="0"/>
              <w:rPr>
                <w:sz w:val="14"/>
                <w:szCs w:val="14"/>
                <w:color w:val="auto"/>
              </w:rPr>
            </w:pPr>
          </w:p>
        </w:tc>
        <w:tc>
          <w:tcPr>
            <w:tcW w:w="3920" w:type="dxa"/>
            <w:vAlign w:val="bottom"/>
            <w:tcBorders>
              <w:top w:val="single" w:sz="8" w:color="0000FF"/>
            </w:tcBorders>
            <w:gridSpan w:val="18"/>
          </w:tcPr>
          <w:p>
            <w:pPr>
              <w:spacing w:after="0" w:line="164" w:lineRule="exact"/>
              <w:rPr>
                <w:rFonts w:ascii="Times New Roman" w:cs="Times New Roman" w:eastAsia="Times New Roman" w:hAnsi="Times New Roman"/>
                <w:sz w:val="18"/>
                <w:szCs w:val="18"/>
                <w:color w:val="0000FF"/>
                <w:w w:val="98"/>
              </w:rPr>
            </w:pPr>
            <w:hyperlink r:id="rId107">
              <w:r>
                <w:rPr>
                  <w:rFonts w:ascii="Times New Roman" w:cs="Times New Roman" w:eastAsia="Times New Roman" w:hAnsi="Times New Roman"/>
                  <w:sz w:val="18"/>
                  <w:szCs w:val="18"/>
                  <w:color w:val="0000FF"/>
                  <w:w w:val="98"/>
                </w:rPr>
                <w:t>lenders party thereto and JPMorgan Chase Bank, N.A.,</w:t>
              </w:r>
            </w:hyperlink>
          </w:p>
        </w:tc>
        <w:tc>
          <w:tcPr>
            <w:tcW w:w="40" w:type="dxa"/>
            <w:vAlign w:val="bottom"/>
            <w:gridSpan w:val="2"/>
          </w:tcPr>
          <w:p>
            <w:pPr>
              <w:spacing w:after="0"/>
              <w:rPr>
                <w:sz w:val="14"/>
                <w:szCs w:val="14"/>
                <w:color w:val="auto"/>
              </w:rPr>
            </w:pPr>
          </w:p>
        </w:tc>
        <w:tc>
          <w:tcPr>
            <w:tcW w:w="540" w:type="dxa"/>
            <w:vAlign w:val="bottom"/>
            <w:gridSpan w:val="13"/>
          </w:tcPr>
          <w:p>
            <w:pPr>
              <w:spacing w:after="0" w:line="164" w:lineRule="exact"/>
              <w:rPr>
                <w:rFonts w:ascii="Times New Roman" w:cs="Times New Roman" w:eastAsia="Times New Roman" w:hAnsi="Times New Roman"/>
                <w:sz w:val="18"/>
                <w:szCs w:val="18"/>
                <w:color w:val="0000FF"/>
              </w:rPr>
            </w:pPr>
            <w:hyperlink r:id="rId107">
              <w:r>
                <w:rPr>
                  <w:rFonts w:ascii="Times New Roman" w:cs="Times New Roman" w:eastAsia="Times New Roman" w:hAnsi="Times New Roman"/>
                  <w:sz w:val="18"/>
                  <w:szCs w:val="18"/>
                  <w:color w:val="0000FF"/>
                </w:rPr>
                <w:t>as</w:t>
              </w:r>
            </w:hyperlink>
          </w:p>
        </w:tc>
        <w:tc>
          <w:tcPr>
            <w:tcW w:w="7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1300" w:type="dxa"/>
            <w:vAlign w:val="bottom"/>
          </w:tcPr>
          <w:p>
            <w:pPr>
              <w:spacing w:after="0"/>
              <w:rPr>
                <w:sz w:val="13"/>
                <w:szCs w:val="13"/>
                <w:color w:val="auto"/>
              </w:rPr>
            </w:pPr>
          </w:p>
        </w:tc>
        <w:tc>
          <w:tcPr>
            <w:tcW w:w="4120" w:type="dxa"/>
            <w:vAlign w:val="bottom"/>
            <w:tcBorders>
              <w:top w:val="single" w:sz="8" w:color="0000FF"/>
            </w:tcBorders>
            <w:gridSpan w:val="28"/>
          </w:tcPr>
          <w:p>
            <w:pPr>
              <w:spacing w:after="0" w:line="151" w:lineRule="exact"/>
              <w:rPr>
                <w:rFonts w:ascii="Times New Roman" w:cs="Times New Roman" w:eastAsia="Times New Roman" w:hAnsi="Times New Roman"/>
                <w:sz w:val="16"/>
                <w:szCs w:val="16"/>
                <w:color w:val="0000FF"/>
              </w:rPr>
            </w:pPr>
            <w:hyperlink r:id="rId107">
              <w:r>
                <w:rPr>
                  <w:rFonts w:ascii="Times New Roman" w:cs="Times New Roman" w:eastAsia="Times New Roman" w:hAnsi="Times New Roman"/>
                  <w:sz w:val="16"/>
                  <w:szCs w:val="16"/>
                  <w:color w:val="0000FF"/>
                </w:rPr>
                <w:t>the administrative agent, amending the Revolving Credit</w:t>
              </w:r>
            </w:hyperlink>
          </w:p>
        </w:tc>
        <w:tc>
          <w:tcPr>
            <w:tcW w:w="20" w:type="dxa"/>
            <w:vAlign w:val="bottom"/>
          </w:tcPr>
          <w:p>
            <w:pPr>
              <w:spacing w:after="0"/>
              <w:rPr>
                <w:sz w:val="13"/>
                <w:szCs w:val="13"/>
                <w:color w:val="auto"/>
              </w:rPr>
            </w:pPr>
          </w:p>
        </w:tc>
        <w:tc>
          <w:tcPr>
            <w:tcW w:w="360" w:type="dxa"/>
            <w:vAlign w:val="bottom"/>
            <w:gridSpan w:val="4"/>
          </w:tcPr>
          <w:p>
            <w:pPr>
              <w:spacing w:after="0"/>
              <w:rPr>
                <w:sz w:val="13"/>
                <w:szCs w:val="13"/>
                <w:color w:val="auto"/>
              </w:rPr>
            </w:pPr>
          </w:p>
        </w:tc>
        <w:tc>
          <w:tcPr>
            <w:tcW w:w="7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300" w:type="dxa"/>
            <w:vAlign w:val="bottom"/>
          </w:tcPr>
          <w:p>
            <w:pPr>
              <w:spacing w:after="0"/>
              <w:rPr>
                <w:sz w:val="13"/>
                <w:szCs w:val="13"/>
                <w:color w:val="auto"/>
              </w:rPr>
            </w:pPr>
          </w:p>
        </w:tc>
        <w:tc>
          <w:tcPr>
            <w:tcW w:w="4060" w:type="dxa"/>
            <w:vAlign w:val="bottom"/>
            <w:tcBorders>
              <w:top w:val="single" w:sz="8" w:color="0000FF"/>
              <w:bottom w:val="single" w:sz="8" w:color="0000FF"/>
            </w:tcBorders>
            <w:gridSpan w:val="25"/>
          </w:tcPr>
          <w:p>
            <w:pPr>
              <w:spacing w:after="0" w:line="151" w:lineRule="exact"/>
              <w:rPr>
                <w:rFonts w:ascii="Times New Roman" w:cs="Times New Roman" w:eastAsia="Times New Roman" w:hAnsi="Times New Roman"/>
                <w:sz w:val="16"/>
                <w:szCs w:val="16"/>
                <w:color w:val="0000FF"/>
              </w:rPr>
            </w:pPr>
            <w:hyperlink r:id="rId107">
              <w:r>
                <w:rPr>
                  <w:rFonts w:ascii="Times New Roman" w:cs="Times New Roman" w:eastAsia="Times New Roman" w:hAnsi="Times New Roman"/>
                  <w:sz w:val="16"/>
                  <w:szCs w:val="16"/>
                  <w:color w:val="0000FF"/>
                </w:rPr>
                <w:t>Agreement, dated as of May 21, 2021, by and among the</w:t>
              </w:r>
            </w:hyperlink>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360" w:type="dxa"/>
            <w:vAlign w:val="bottom"/>
            <w:gridSpan w:val="4"/>
          </w:tcPr>
          <w:p>
            <w:pPr>
              <w:spacing w:after="0"/>
              <w:rPr>
                <w:sz w:val="13"/>
                <w:szCs w:val="13"/>
                <w:color w:val="auto"/>
              </w:rPr>
            </w:pPr>
          </w:p>
        </w:tc>
        <w:tc>
          <w:tcPr>
            <w:tcW w:w="7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1300" w:type="dxa"/>
            <w:vAlign w:val="bottom"/>
          </w:tcPr>
          <w:p>
            <w:pPr>
              <w:spacing w:after="0"/>
              <w:rPr>
                <w:sz w:val="14"/>
                <w:szCs w:val="14"/>
                <w:color w:val="auto"/>
              </w:rPr>
            </w:pPr>
          </w:p>
        </w:tc>
        <w:tc>
          <w:tcPr>
            <w:tcW w:w="4080" w:type="dxa"/>
            <w:vAlign w:val="bottom"/>
            <w:gridSpan w:val="26"/>
          </w:tcPr>
          <w:p>
            <w:pPr>
              <w:spacing w:after="0" w:line="163" w:lineRule="exact"/>
              <w:rPr>
                <w:rFonts w:ascii="Times New Roman" w:cs="Times New Roman" w:eastAsia="Times New Roman" w:hAnsi="Times New Roman"/>
                <w:sz w:val="18"/>
                <w:szCs w:val="18"/>
                <w:color w:val="0000FF"/>
              </w:rPr>
            </w:pPr>
            <w:hyperlink r:id="rId107">
              <w:r>
                <w:rPr>
                  <w:rFonts w:ascii="Times New Roman" w:cs="Times New Roman" w:eastAsia="Times New Roman" w:hAnsi="Times New Roman"/>
                  <w:sz w:val="18"/>
                  <w:szCs w:val="18"/>
                  <w:color w:val="0000FF"/>
                </w:rPr>
                <w:t>Company, the borrowing subsidiaries party thereto, the</w:t>
              </w:r>
            </w:hyperlink>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360" w:type="dxa"/>
            <w:vAlign w:val="bottom"/>
            <w:gridSpan w:val="4"/>
          </w:tcPr>
          <w:p>
            <w:pPr>
              <w:spacing w:after="0"/>
              <w:rPr>
                <w:sz w:val="14"/>
                <w:szCs w:val="14"/>
                <w:color w:val="auto"/>
              </w:rPr>
            </w:pPr>
          </w:p>
        </w:tc>
        <w:tc>
          <w:tcPr>
            <w:tcW w:w="7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1300" w:type="dxa"/>
            <w:vAlign w:val="bottom"/>
          </w:tcPr>
          <w:p>
            <w:pPr>
              <w:spacing w:after="0"/>
              <w:rPr>
                <w:sz w:val="13"/>
                <w:szCs w:val="13"/>
                <w:color w:val="auto"/>
              </w:rPr>
            </w:pPr>
          </w:p>
        </w:tc>
        <w:tc>
          <w:tcPr>
            <w:tcW w:w="3900" w:type="dxa"/>
            <w:vAlign w:val="bottom"/>
            <w:tcBorders>
              <w:top w:val="single" w:sz="8" w:color="0000FF"/>
            </w:tcBorders>
            <w:gridSpan w:val="17"/>
          </w:tcPr>
          <w:p>
            <w:pPr>
              <w:spacing w:after="0" w:line="151" w:lineRule="exact"/>
              <w:rPr>
                <w:rFonts w:ascii="Times New Roman" w:cs="Times New Roman" w:eastAsia="Times New Roman" w:hAnsi="Times New Roman"/>
                <w:sz w:val="16"/>
                <w:szCs w:val="16"/>
                <w:color w:val="0000FF"/>
              </w:rPr>
            </w:pPr>
            <w:hyperlink r:id="rId107">
              <w:r>
                <w:rPr>
                  <w:rFonts w:ascii="Times New Roman" w:cs="Times New Roman" w:eastAsia="Times New Roman" w:hAnsi="Times New Roman"/>
                  <w:sz w:val="16"/>
                  <w:szCs w:val="16"/>
                  <w:color w:val="0000FF"/>
                </w:rPr>
                <w:t>lenders party thereto and the administrative agent</w:t>
              </w:r>
            </w:hyperlink>
          </w:p>
        </w:tc>
        <w:tc>
          <w:tcPr>
            <w:tcW w:w="6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8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360" w:type="dxa"/>
            <w:vAlign w:val="bottom"/>
            <w:gridSpan w:val="4"/>
          </w:tcPr>
          <w:p>
            <w:pPr>
              <w:spacing w:after="0"/>
              <w:rPr>
                <w:sz w:val="13"/>
                <w:szCs w:val="13"/>
                <w:color w:val="auto"/>
              </w:rPr>
            </w:pPr>
          </w:p>
        </w:tc>
        <w:tc>
          <w:tcPr>
            <w:tcW w:w="7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340" w:type="dxa"/>
            <w:vAlign w:val="bottom"/>
            <w:gridSpan w:val="3"/>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8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300" w:type="dxa"/>
            <w:vAlign w:val="bottom"/>
          </w:tcPr>
          <w:p>
            <w:pPr>
              <w:jc w:val="center"/>
              <w:spacing w:after="0" w:line="203" w:lineRule="exact"/>
              <w:rPr>
                <w:sz w:val="20"/>
                <w:szCs w:val="20"/>
                <w:color w:val="auto"/>
              </w:rPr>
            </w:pPr>
            <w:r>
              <w:rPr>
                <w:rFonts w:ascii="Times New Roman" w:cs="Times New Roman" w:eastAsia="Times New Roman" w:hAnsi="Times New Roman"/>
                <w:sz w:val="18"/>
                <w:szCs w:val="18"/>
                <w:color w:val="auto"/>
                <w:w w:val="99"/>
              </w:rPr>
              <w:t>19</w:t>
            </w:r>
          </w:p>
        </w:tc>
        <w:tc>
          <w:tcPr>
            <w:tcW w:w="4500" w:type="dxa"/>
            <w:vAlign w:val="bottom"/>
            <w:gridSpan w:val="33"/>
          </w:tcPr>
          <w:p>
            <w:pPr>
              <w:spacing w:after="0" w:line="203" w:lineRule="exact"/>
              <w:rPr>
                <w:sz w:val="20"/>
                <w:szCs w:val="20"/>
                <w:color w:val="auto"/>
              </w:rPr>
            </w:pPr>
            <w:r>
              <w:rPr>
                <w:rFonts w:ascii="Times New Roman" w:cs="Times New Roman" w:eastAsia="Times New Roman" w:hAnsi="Times New Roman"/>
                <w:sz w:val="18"/>
                <w:szCs w:val="18"/>
                <w:color w:val="0000FF"/>
              </w:rPr>
              <w:t>Skyworks Solutions, Inc. Company Policy Regarding</w:t>
            </w:r>
          </w:p>
        </w:tc>
        <w:tc>
          <w:tcPr>
            <w:tcW w:w="7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380" w:type="dxa"/>
            <w:vAlign w:val="bottom"/>
            <w:gridSpan w:val="2"/>
          </w:tcPr>
          <w:p>
            <w:pPr>
              <w:jc w:val="center"/>
              <w:ind w:right="460"/>
              <w:spacing w:after="0" w:line="203" w:lineRule="exact"/>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151"/>
        </w:trPr>
        <w:tc>
          <w:tcPr>
            <w:tcW w:w="1300" w:type="dxa"/>
            <w:vAlign w:val="bottom"/>
          </w:tcPr>
          <w:p>
            <w:pPr>
              <w:spacing w:after="0"/>
              <w:rPr>
                <w:sz w:val="13"/>
                <w:szCs w:val="13"/>
                <w:color w:val="auto"/>
              </w:rPr>
            </w:pPr>
          </w:p>
        </w:tc>
        <w:tc>
          <w:tcPr>
            <w:tcW w:w="3760" w:type="dxa"/>
            <w:vAlign w:val="bottom"/>
            <w:tcBorders>
              <w:top w:val="single" w:sz="8" w:color="0000FF"/>
              <w:bottom w:val="single" w:sz="8" w:color="0000FF"/>
            </w:tcBorders>
            <w:gridSpan w:val="13"/>
          </w:tcPr>
          <w:p>
            <w:pPr>
              <w:spacing w:after="0" w:line="151" w:lineRule="exact"/>
              <w:rPr>
                <w:sz w:val="20"/>
                <w:szCs w:val="20"/>
                <w:color w:val="auto"/>
              </w:rPr>
            </w:pPr>
            <w:r>
              <w:rPr>
                <w:rFonts w:ascii="Times New Roman" w:cs="Times New Roman" w:eastAsia="Times New Roman" w:hAnsi="Times New Roman"/>
                <w:sz w:val="16"/>
                <w:szCs w:val="16"/>
                <w:color w:val="0000FF"/>
              </w:rPr>
              <w:t>Insider Trading and Disclosure of Material Non-Public</w:t>
            </w:r>
          </w:p>
        </w:tc>
        <w:tc>
          <w:tcPr>
            <w:tcW w:w="100" w:type="dxa"/>
            <w:vAlign w:val="bottom"/>
            <w:tcBorders>
              <w:bottom w:val="single" w:sz="8" w:color="0000FF"/>
            </w:tcBorders>
            <w:gridSpan w:val="2"/>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60" w:type="dxa"/>
            <w:vAlign w:val="bottom"/>
            <w:gridSpan w:val="3"/>
          </w:tcPr>
          <w:p>
            <w:pPr>
              <w:spacing w:after="0"/>
              <w:rPr>
                <w:sz w:val="13"/>
                <w:szCs w:val="13"/>
                <w:color w:val="auto"/>
              </w:rPr>
            </w:pPr>
          </w:p>
        </w:tc>
        <w:tc>
          <w:tcPr>
            <w:tcW w:w="8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360" w:type="dxa"/>
            <w:vAlign w:val="bottom"/>
            <w:gridSpan w:val="4"/>
          </w:tcPr>
          <w:p>
            <w:pPr>
              <w:spacing w:after="0"/>
              <w:rPr>
                <w:sz w:val="13"/>
                <w:szCs w:val="13"/>
                <w:color w:val="auto"/>
              </w:rPr>
            </w:pPr>
          </w:p>
        </w:tc>
        <w:tc>
          <w:tcPr>
            <w:tcW w:w="7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1300" w:type="dxa"/>
            <w:vAlign w:val="bottom"/>
          </w:tcPr>
          <w:p>
            <w:pPr>
              <w:spacing w:after="0"/>
              <w:rPr>
                <w:sz w:val="14"/>
                <w:szCs w:val="14"/>
                <w:color w:val="auto"/>
              </w:rPr>
            </w:pPr>
          </w:p>
        </w:tc>
        <w:tc>
          <w:tcPr>
            <w:tcW w:w="3860" w:type="dxa"/>
            <w:vAlign w:val="bottom"/>
            <w:gridSpan w:val="15"/>
          </w:tcPr>
          <w:p>
            <w:pPr>
              <w:spacing w:after="0" w:line="163" w:lineRule="exact"/>
              <w:rPr>
                <w:sz w:val="20"/>
                <w:szCs w:val="20"/>
                <w:color w:val="auto"/>
              </w:rPr>
            </w:pPr>
            <w:r>
              <w:rPr>
                <w:rFonts w:ascii="Times New Roman" w:cs="Times New Roman" w:eastAsia="Times New Roman" w:hAnsi="Times New Roman"/>
                <w:sz w:val="18"/>
                <w:szCs w:val="18"/>
                <w:color w:val="0000FF"/>
              </w:rPr>
              <w:t>Information</w:t>
            </w:r>
          </w:p>
        </w:tc>
        <w:tc>
          <w:tcPr>
            <w:tcW w:w="20" w:type="dxa"/>
            <w:vAlign w:val="bottom"/>
          </w:tcPr>
          <w:p>
            <w:pPr>
              <w:spacing w:after="0"/>
              <w:rPr>
                <w:sz w:val="14"/>
                <w:szCs w:val="14"/>
                <w:color w:val="auto"/>
              </w:rPr>
            </w:pPr>
          </w:p>
        </w:tc>
        <w:tc>
          <w:tcPr>
            <w:tcW w:w="80" w:type="dxa"/>
            <w:vAlign w:val="bottom"/>
            <w:gridSpan w:val="4"/>
          </w:tcPr>
          <w:p>
            <w:pPr>
              <w:spacing w:after="0"/>
              <w:rPr>
                <w:sz w:val="14"/>
                <w:szCs w:val="14"/>
                <w:color w:val="auto"/>
              </w:rPr>
            </w:pPr>
          </w:p>
        </w:tc>
        <w:tc>
          <w:tcPr>
            <w:tcW w:w="60" w:type="dxa"/>
            <w:vAlign w:val="bottom"/>
            <w:gridSpan w:val="3"/>
          </w:tcPr>
          <w:p>
            <w:pPr>
              <w:spacing w:after="0"/>
              <w:rPr>
                <w:sz w:val="14"/>
                <w:szCs w:val="14"/>
                <w:color w:val="auto"/>
              </w:rPr>
            </w:pPr>
          </w:p>
        </w:tc>
        <w:tc>
          <w:tcPr>
            <w:tcW w:w="80" w:type="dxa"/>
            <w:vAlign w:val="bottom"/>
            <w:gridSpan w:val="4"/>
          </w:tcPr>
          <w:p>
            <w:pPr>
              <w:spacing w:after="0"/>
              <w:rPr>
                <w:sz w:val="14"/>
                <w:szCs w:val="14"/>
                <w:color w:val="auto"/>
              </w:rPr>
            </w:pPr>
          </w:p>
        </w:tc>
        <w:tc>
          <w:tcPr>
            <w:tcW w:w="40" w:type="dxa"/>
            <w:vAlign w:val="bottom"/>
            <w:gridSpan w:val="2"/>
          </w:tcPr>
          <w:p>
            <w:pPr>
              <w:spacing w:after="0"/>
              <w:rPr>
                <w:sz w:val="14"/>
                <w:szCs w:val="14"/>
                <w:color w:val="auto"/>
              </w:rPr>
            </w:pPr>
          </w:p>
        </w:tc>
        <w:tc>
          <w:tcPr>
            <w:tcW w:w="360" w:type="dxa"/>
            <w:vAlign w:val="bottom"/>
            <w:gridSpan w:val="4"/>
          </w:tcPr>
          <w:p>
            <w:pPr>
              <w:spacing w:after="0"/>
              <w:rPr>
                <w:sz w:val="14"/>
                <w:szCs w:val="14"/>
                <w:color w:val="auto"/>
              </w:rPr>
            </w:pPr>
          </w:p>
        </w:tc>
        <w:tc>
          <w:tcPr>
            <w:tcW w:w="7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300" w:type="dxa"/>
            <w:vAlign w:val="bottom"/>
          </w:tcPr>
          <w:p>
            <w:pPr>
              <w:jc w:val="center"/>
              <w:spacing w:after="0" w:line="203" w:lineRule="exact"/>
              <w:rPr>
                <w:sz w:val="20"/>
                <w:szCs w:val="20"/>
                <w:color w:val="auto"/>
              </w:rPr>
            </w:pPr>
            <w:r>
              <w:rPr>
                <w:rFonts w:ascii="Times New Roman" w:cs="Times New Roman" w:eastAsia="Times New Roman" w:hAnsi="Times New Roman"/>
                <w:sz w:val="18"/>
                <w:szCs w:val="18"/>
                <w:color w:val="auto"/>
                <w:w w:val="99"/>
              </w:rPr>
              <w:t>21</w:t>
            </w:r>
          </w:p>
        </w:tc>
        <w:tc>
          <w:tcPr>
            <w:tcW w:w="2040" w:type="dxa"/>
            <w:vAlign w:val="bottom"/>
            <w:tcBorders>
              <w:bottom w:val="single" w:sz="8" w:color="0000FF"/>
            </w:tcBorders>
            <w:gridSpan w:val="8"/>
          </w:tcPr>
          <w:p>
            <w:pPr>
              <w:spacing w:after="0" w:line="203" w:lineRule="exact"/>
              <w:rPr>
                <w:sz w:val="20"/>
                <w:szCs w:val="20"/>
                <w:color w:val="auto"/>
              </w:rPr>
            </w:pPr>
            <w:r>
              <w:rPr>
                <w:rFonts w:ascii="Times New Roman" w:cs="Times New Roman" w:eastAsia="Times New Roman" w:hAnsi="Times New Roman"/>
                <w:sz w:val="18"/>
                <w:szCs w:val="18"/>
                <w:color w:val="0000FF"/>
                <w:w w:val="96"/>
              </w:rPr>
              <w:t>Subsidiaries of the Company</w:t>
            </w:r>
          </w:p>
        </w:tc>
        <w:tc>
          <w:tcPr>
            <w:tcW w:w="2460" w:type="dxa"/>
            <w:vAlign w:val="bottom"/>
            <w:gridSpan w:val="25"/>
          </w:tcPr>
          <w:p>
            <w:pPr>
              <w:spacing w:after="0"/>
              <w:rPr>
                <w:sz w:val="17"/>
                <w:szCs w:val="17"/>
                <w:color w:val="auto"/>
              </w:rPr>
            </w:pPr>
          </w:p>
        </w:tc>
        <w:tc>
          <w:tcPr>
            <w:tcW w:w="7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380" w:type="dxa"/>
            <w:vAlign w:val="bottom"/>
            <w:gridSpan w:val="2"/>
          </w:tcPr>
          <w:p>
            <w:pPr>
              <w:jc w:val="center"/>
              <w:ind w:right="460"/>
              <w:spacing w:after="0" w:line="203" w:lineRule="exact"/>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03"/>
        </w:trPr>
        <w:tc>
          <w:tcPr>
            <w:tcW w:w="1300" w:type="dxa"/>
            <w:vAlign w:val="bottom"/>
          </w:tcPr>
          <w:p>
            <w:pPr>
              <w:jc w:val="center"/>
              <w:spacing w:after="0" w:line="203" w:lineRule="exact"/>
              <w:rPr>
                <w:sz w:val="20"/>
                <w:szCs w:val="20"/>
                <w:color w:val="auto"/>
              </w:rPr>
            </w:pPr>
            <w:r>
              <w:rPr>
                <w:rFonts w:ascii="Times New Roman" w:cs="Times New Roman" w:eastAsia="Times New Roman" w:hAnsi="Times New Roman"/>
                <w:sz w:val="18"/>
                <w:szCs w:val="18"/>
                <w:color w:val="auto"/>
                <w:w w:val="95"/>
              </w:rPr>
              <w:t>23.1</w:t>
            </w:r>
          </w:p>
        </w:tc>
        <w:tc>
          <w:tcPr>
            <w:tcW w:w="1680" w:type="dxa"/>
            <w:vAlign w:val="bottom"/>
            <w:tcBorders>
              <w:bottom w:val="single" w:sz="8" w:color="0000FF"/>
            </w:tcBorders>
            <w:gridSpan w:val="6"/>
          </w:tcPr>
          <w:p>
            <w:pPr>
              <w:spacing w:after="0" w:line="203" w:lineRule="exact"/>
              <w:rPr>
                <w:sz w:val="20"/>
                <w:szCs w:val="20"/>
                <w:color w:val="auto"/>
              </w:rPr>
            </w:pPr>
            <w:r>
              <w:rPr>
                <w:rFonts w:ascii="Times New Roman" w:cs="Times New Roman" w:eastAsia="Times New Roman" w:hAnsi="Times New Roman"/>
                <w:sz w:val="18"/>
                <w:szCs w:val="18"/>
                <w:color w:val="0000FF"/>
                <w:w w:val="96"/>
              </w:rPr>
              <w:t>Consent of KPMG LLP</w:t>
            </w:r>
          </w:p>
        </w:tc>
        <w:tc>
          <w:tcPr>
            <w:tcW w:w="2820" w:type="dxa"/>
            <w:vAlign w:val="bottom"/>
            <w:gridSpan w:val="27"/>
          </w:tcPr>
          <w:p>
            <w:pPr>
              <w:spacing w:after="0"/>
              <w:rPr>
                <w:sz w:val="17"/>
                <w:szCs w:val="17"/>
                <w:color w:val="auto"/>
              </w:rPr>
            </w:pPr>
          </w:p>
        </w:tc>
        <w:tc>
          <w:tcPr>
            <w:tcW w:w="7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380" w:type="dxa"/>
            <w:vAlign w:val="bottom"/>
            <w:gridSpan w:val="2"/>
          </w:tcPr>
          <w:p>
            <w:pPr>
              <w:jc w:val="center"/>
              <w:ind w:right="460"/>
              <w:spacing w:after="0" w:line="203" w:lineRule="exact"/>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03"/>
        </w:trPr>
        <w:tc>
          <w:tcPr>
            <w:tcW w:w="1300" w:type="dxa"/>
            <w:vAlign w:val="bottom"/>
          </w:tcPr>
          <w:p>
            <w:pPr>
              <w:jc w:val="center"/>
              <w:spacing w:after="0" w:line="203" w:lineRule="exact"/>
              <w:rPr>
                <w:sz w:val="20"/>
                <w:szCs w:val="20"/>
                <w:color w:val="auto"/>
              </w:rPr>
            </w:pPr>
            <w:r>
              <w:rPr>
                <w:rFonts w:ascii="Times New Roman" w:cs="Times New Roman" w:eastAsia="Times New Roman" w:hAnsi="Times New Roman"/>
                <w:sz w:val="18"/>
                <w:szCs w:val="18"/>
                <w:color w:val="auto"/>
                <w:w w:val="95"/>
              </w:rPr>
              <w:t>31.1</w:t>
            </w:r>
          </w:p>
        </w:tc>
        <w:tc>
          <w:tcPr>
            <w:tcW w:w="3960" w:type="dxa"/>
            <w:vAlign w:val="bottom"/>
            <w:tcBorders>
              <w:bottom w:val="single" w:sz="8" w:color="0000FF"/>
            </w:tcBorders>
            <w:gridSpan w:val="20"/>
          </w:tcPr>
          <w:p>
            <w:pPr>
              <w:spacing w:after="0" w:line="203" w:lineRule="exact"/>
              <w:rPr>
                <w:sz w:val="20"/>
                <w:szCs w:val="20"/>
                <w:color w:val="auto"/>
              </w:rPr>
            </w:pPr>
            <w:r>
              <w:rPr>
                <w:rFonts w:ascii="Times New Roman" w:cs="Times New Roman" w:eastAsia="Times New Roman" w:hAnsi="Times New Roman"/>
                <w:sz w:val="18"/>
                <w:szCs w:val="18"/>
                <w:color w:val="0000FF"/>
                <w:w w:val="98"/>
              </w:rPr>
              <w:t>Certification of the Company’s Chief Executive Officer</w:t>
            </w:r>
          </w:p>
        </w:tc>
        <w:tc>
          <w:tcPr>
            <w:tcW w:w="540" w:type="dxa"/>
            <w:vAlign w:val="bottom"/>
            <w:gridSpan w:val="13"/>
          </w:tcPr>
          <w:p>
            <w:pPr>
              <w:spacing w:after="0"/>
              <w:rPr>
                <w:sz w:val="17"/>
                <w:szCs w:val="17"/>
                <w:color w:val="auto"/>
              </w:rPr>
            </w:pPr>
          </w:p>
        </w:tc>
        <w:tc>
          <w:tcPr>
            <w:tcW w:w="7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380" w:type="dxa"/>
            <w:vAlign w:val="bottom"/>
            <w:gridSpan w:val="2"/>
          </w:tcPr>
          <w:p>
            <w:pPr>
              <w:jc w:val="center"/>
              <w:ind w:right="460"/>
              <w:spacing w:after="0" w:line="203" w:lineRule="exact"/>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151"/>
        </w:trPr>
        <w:tc>
          <w:tcPr>
            <w:tcW w:w="1300" w:type="dxa"/>
            <w:vAlign w:val="bottom"/>
          </w:tcPr>
          <w:p>
            <w:pPr>
              <w:spacing w:after="0"/>
              <w:rPr>
                <w:sz w:val="13"/>
                <w:szCs w:val="13"/>
                <w:color w:val="auto"/>
              </w:rPr>
            </w:pPr>
          </w:p>
        </w:tc>
        <w:tc>
          <w:tcPr>
            <w:tcW w:w="4500" w:type="dxa"/>
            <w:vAlign w:val="bottom"/>
            <w:gridSpan w:val="33"/>
          </w:tcPr>
          <w:p>
            <w:pPr>
              <w:spacing w:after="0" w:line="151" w:lineRule="exact"/>
              <w:rPr>
                <w:sz w:val="20"/>
                <w:szCs w:val="20"/>
                <w:color w:val="auto"/>
              </w:rPr>
            </w:pPr>
            <w:r>
              <w:rPr>
                <w:rFonts w:ascii="Times New Roman" w:cs="Times New Roman" w:eastAsia="Times New Roman" w:hAnsi="Times New Roman"/>
                <w:sz w:val="16"/>
                <w:szCs w:val="16"/>
                <w:color w:val="0000FF"/>
              </w:rPr>
              <w:t>pursuant to Securities and Exchange Act Rules 13a-14(a)</w:t>
            </w:r>
          </w:p>
        </w:tc>
        <w:tc>
          <w:tcPr>
            <w:tcW w:w="7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1300" w:type="dxa"/>
            <w:vAlign w:val="bottom"/>
          </w:tcPr>
          <w:p>
            <w:pPr>
              <w:spacing w:after="0"/>
              <w:rPr>
                <w:sz w:val="14"/>
                <w:szCs w:val="14"/>
                <w:color w:val="auto"/>
              </w:rPr>
            </w:pPr>
          </w:p>
        </w:tc>
        <w:tc>
          <w:tcPr>
            <w:tcW w:w="4100" w:type="dxa"/>
            <w:vAlign w:val="bottom"/>
            <w:tcBorders>
              <w:top w:val="single" w:sz="8" w:color="0000FF"/>
            </w:tcBorders>
            <w:gridSpan w:val="27"/>
          </w:tcPr>
          <w:p>
            <w:pPr>
              <w:spacing w:after="0" w:line="163" w:lineRule="exact"/>
              <w:rPr>
                <w:sz w:val="20"/>
                <w:szCs w:val="20"/>
                <w:color w:val="auto"/>
              </w:rPr>
            </w:pPr>
            <w:r>
              <w:rPr>
                <w:rFonts w:ascii="Times New Roman" w:cs="Times New Roman" w:eastAsia="Times New Roman" w:hAnsi="Times New Roman"/>
                <w:sz w:val="18"/>
                <w:szCs w:val="18"/>
                <w:color w:val="0000FF"/>
              </w:rPr>
              <w:t>and 15d-14(a), as adopted pursuant to Section 302 of the</w:t>
            </w:r>
          </w:p>
        </w:tc>
        <w:tc>
          <w:tcPr>
            <w:tcW w:w="40" w:type="dxa"/>
            <w:vAlign w:val="bottom"/>
            <w:gridSpan w:val="2"/>
          </w:tcPr>
          <w:p>
            <w:pPr>
              <w:spacing w:after="0"/>
              <w:rPr>
                <w:sz w:val="14"/>
                <w:szCs w:val="14"/>
                <w:color w:val="auto"/>
              </w:rPr>
            </w:pPr>
          </w:p>
        </w:tc>
        <w:tc>
          <w:tcPr>
            <w:tcW w:w="360" w:type="dxa"/>
            <w:vAlign w:val="bottom"/>
            <w:gridSpan w:val="4"/>
          </w:tcPr>
          <w:p>
            <w:pPr>
              <w:spacing w:after="0"/>
              <w:rPr>
                <w:sz w:val="14"/>
                <w:szCs w:val="14"/>
                <w:color w:val="auto"/>
              </w:rPr>
            </w:pPr>
          </w:p>
        </w:tc>
        <w:tc>
          <w:tcPr>
            <w:tcW w:w="7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1300" w:type="dxa"/>
            <w:vAlign w:val="bottom"/>
          </w:tcPr>
          <w:p>
            <w:pPr>
              <w:spacing w:after="0"/>
              <w:rPr>
                <w:sz w:val="13"/>
                <w:szCs w:val="13"/>
                <w:color w:val="auto"/>
              </w:rPr>
            </w:pPr>
          </w:p>
        </w:tc>
        <w:tc>
          <w:tcPr>
            <w:tcW w:w="4020" w:type="dxa"/>
            <w:vAlign w:val="bottom"/>
            <w:tcBorders>
              <w:top w:val="single" w:sz="8" w:color="0000FF"/>
            </w:tcBorders>
            <w:gridSpan w:val="23"/>
          </w:tcPr>
          <w:p>
            <w:pPr>
              <w:spacing w:after="0" w:line="151" w:lineRule="exact"/>
              <w:rPr>
                <w:sz w:val="20"/>
                <w:szCs w:val="20"/>
                <w:color w:val="auto"/>
              </w:rPr>
            </w:pPr>
            <w:r>
              <w:rPr>
                <w:rFonts w:ascii="Times New Roman" w:cs="Times New Roman" w:eastAsia="Times New Roman" w:hAnsi="Times New Roman"/>
                <w:sz w:val="16"/>
                <w:szCs w:val="16"/>
                <w:color w:val="0000FF"/>
              </w:rPr>
              <w:t>Sarbanes-Oxley Act of 2002</w:t>
            </w:r>
          </w:p>
        </w:tc>
        <w:tc>
          <w:tcPr>
            <w:tcW w:w="120" w:type="dxa"/>
            <w:vAlign w:val="bottom"/>
            <w:gridSpan w:val="6"/>
          </w:tcPr>
          <w:p>
            <w:pPr>
              <w:spacing w:after="0"/>
              <w:rPr>
                <w:sz w:val="13"/>
                <w:szCs w:val="13"/>
                <w:color w:val="auto"/>
              </w:rPr>
            </w:pPr>
          </w:p>
        </w:tc>
        <w:tc>
          <w:tcPr>
            <w:tcW w:w="360" w:type="dxa"/>
            <w:vAlign w:val="bottom"/>
            <w:gridSpan w:val="4"/>
          </w:tcPr>
          <w:p>
            <w:pPr>
              <w:spacing w:after="0"/>
              <w:rPr>
                <w:sz w:val="13"/>
                <w:szCs w:val="13"/>
                <w:color w:val="auto"/>
              </w:rPr>
            </w:pPr>
          </w:p>
        </w:tc>
        <w:tc>
          <w:tcPr>
            <w:tcW w:w="7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1180" w:type="dxa"/>
            <w:vAlign w:val="bottom"/>
            <w:gridSpan w:val="5"/>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260" w:type="dxa"/>
            <w:vAlign w:val="bottom"/>
            <w:gridSpan w:val="13"/>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300" w:type="dxa"/>
            <w:vAlign w:val="bottom"/>
          </w:tcPr>
          <w:p>
            <w:pPr>
              <w:jc w:val="center"/>
              <w:spacing w:after="0" w:line="203" w:lineRule="exact"/>
              <w:rPr>
                <w:sz w:val="20"/>
                <w:szCs w:val="20"/>
                <w:color w:val="auto"/>
              </w:rPr>
            </w:pPr>
            <w:r>
              <w:rPr>
                <w:rFonts w:ascii="Times New Roman" w:cs="Times New Roman" w:eastAsia="Times New Roman" w:hAnsi="Times New Roman"/>
                <w:sz w:val="18"/>
                <w:szCs w:val="18"/>
                <w:color w:val="auto"/>
                <w:w w:val="95"/>
              </w:rPr>
              <w:t>31.2</w:t>
            </w:r>
          </w:p>
        </w:tc>
        <w:tc>
          <w:tcPr>
            <w:tcW w:w="3880" w:type="dxa"/>
            <w:vAlign w:val="bottom"/>
            <w:tcBorders>
              <w:bottom w:val="single" w:sz="8" w:color="0000FF"/>
            </w:tcBorders>
            <w:gridSpan w:val="16"/>
          </w:tcPr>
          <w:p>
            <w:pPr>
              <w:spacing w:after="0" w:line="203" w:lineRule="exact"/>
              <w:rPr>
                <w:sz w:val="20"/>
                <w:szCs w:val="20"/>
                <w:color w:val="auto"/>
              </w:rPr>
            </w:pPr>
            <w:r>
              <w:rPr>
                <w:rFonts w:ascii="Times New Roman" w:cs="Times New Roman" w:eastAsia="Times New Roman" w:hAnsi="Times New Roman"/>
                <w:sz w:val="18"/>
                <w:szCs w:val="18"/>
                <w:color w:val="0000FF"/>
                <w:w w:val="97"/>
              </w:rPr>
              <w:t>Certification of the Company’s Chief Financial Officer</w:t>
            </w:r>
          </w:p>
        </w:tc>
        <w:tc>
          <w:tcPr>
            <w:tcW w:w="620" w:type="dxa"/>
            <w:vAlign w:val="bottom"/>
            <w:gridSpan w:val="17"/>
          </w:tcPr>
          <w:p>
            <w:pPr>
              <w:spacing w:after="0"/>
              <w:rPr>
                <w:sz w:val="17"/>
                <w:szCs w:val="17"/>
                <w:color w:val="auto"/>
              </w:rPr>
            </w:pPr>
          </w:p>
        </w:tc>
        <w:tc>
          <w:tcPr>
            <w:tcW w:w="7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380" w:type="dxa"/>
            <w:vAlign w:val="bottom"/>
            <w:gridSpan w:val="2"/>
          </w:tcPr>
          <w:p>
            <w:pPr>
              <w:jc w:val="center"/>
              <w:ind w:right="460"/>
              <w:spacing w:after="0" w:line="203" w:lineRule="exact"/>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151"/>
        </w:trPr>
        <w:tc>
          <w:tcPr>
            <w:tcW w:w="1300" w:type="dxa"/>
            <w:vAlign w:val="bottom"/>
          </w:tcPr>
          <w:p>
            <w:pPr>
              <w:spacing w:after="0"/>
              <w:rPr>
                <w:sz w:val="13"/>
                <w:szCs w:val="13"/>
                <w:color w:val="auto"/>
              </w:rPr>
            </w:pPr>
          </w:p>
        </w:tc>
        <w:tc>
          <w:tcPr>
            <w:tcW w:w="4500" w:type="dxa"/>
            <w:vAlign w:val="bottom"/>
            <w:gridSpan w:val="33"/>
          </w:tcPr>
          <w:p>
            <w:pPr>
              <w:spacing w:after="0" w:line="151" w:lineRule="exact"/>
              <w:rPr>
                <w:sz w:val="20"/>
                <w:szCs w:val="20"/>
                <w:color w:val="auto"/>
              </w:rPr>
            </w:pPr>
            <w:r>
              <w:rPr>
                <w:rFonts w:ascii="Times New Roman" w:cs="Times New Roman" w:eastAsia="Times New Roman" w:hAnsi="Times New Roman"/>
                <w:sz w:val="16"/>
                <w:szCs w:val="16"/>
                <w:color w:val="0000FF"/>
              </w:rPr>
              <w:t>pursuant to Securities and Exchange Act Rules 13a-14(a)</w:t>
            </w:r>
          </w:p>
        </w:tc>
        <w:tc>
          <w:tcPr>
            <w:tcW w:w="7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1300" w:type="dxa"/>
            <w:vAlign w:val="bottom"/>
          </w:tcPr>
          <w:p>
            <w:pPr>
              <w:spacing w:after="0"/>
              <w:rPr>
                <w:sz w:val="14"/>
                <w:szCs w:val="14"/>
                <w:color w:val="auto"/>
              </w:rPr>
            </w:pPr>
          </w:p>
        </w:tc>
        <w:tc>
          <w:tcPr>
            <w:tcW w:w="4100" w:type="dxa"/>
            <w:vAlign w:val="bottom"/>
            <w:tcBorders>
              <w:top w:val="single" w:sz="8" w:color="0000FF"/>
            </w:tcBorders>
            <w:gridSpan w:val="27"/>
          </w:tcPr>
          <w:p>
            <w:pPr>
              <w:spacing w:after="0" w:line="163" w:lineRule="exact"/>
              <w:rPr>
                <w:sz w:val="20"/>
                <w:szCs w:val="20"/>
                <w:color w:val="auto"/>
              </w:rPr>
            </w:pPr>
            <w:r>
              <w:rPr>
                <w:rFonts w:ascii="Times New Roman" w:cs="Times New Roman" w:eastAsia="Times New Roman" w:hAnsi="Times New Roman"/>
                <w:sz w:val="18"/>
                <w:szCs w:val="18"/>
                <w:color w:val="0000FF"/>
              </w:rPr>
              <w:t>and 15d-14(a), as adopted pursuant to Section 302 of the</w:t>
            </w:r>
          </w:p>
        </w:tc>
        <w:tc>
          <w:tcPr>
            <w:tcW w:w="40" w:type="dxa"/>
            <w:vAlign w:val="bottom"/>
            <w:gridSpan w:val="2"/>
          </w:tcPr>
          <w:p>
            <w:pPr>
              <w:spacing w:after="0"/>
              <w:rPr>
                <w:sz w:val="14"/>
                <w:szCs w:val="14"/>
                <w:color w:val="auto"/>
              </w:rPr>
            </w:pPr>
          </w:p>
        </w:tc>
        <w:tc>
          <w:tcPr>
            <w:tcW w:w="360" w:type="dxa"/>
            <w:vAlign w:val="bottom"/>
            <w:gridSpan w:val="4"/>
          </w:tcPr>
          <w:p>
            <w:pPr>
              <w:spacing w:after="0"/>
              <w:rPr>
                <w:sz w:val="14"/>
                <w:szCs w:val="14"/>
                <w:color w:val="auto"/>
              </w:rPr>
            </w:pPr>
          </w:p>
        </w:tc>
        <w:tc>
          <w:tcPr>
            <w:tcW w:w="7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1300" w:type="dxa"/>
            <w:vAlign w:val="bottom"/>
          </w:tcPr>
          <w:p>
            <w:pPr>
              <w:spacing w:after="0"/>
              <w:rPr>
                <w:sz w:val="13"/>
                <w:szCs w:val="13"/>
                <w:color w:val="auto"/>
              </w:rPr>
            </w:pPr>
          </w:p>
        </w:tc>
        <w:tc>
          <w:tcPr>
            <w:tcW w:w="4020" w:type="dxa"/>
            <w:vAlign w:val="bottom"/>
            <w:tcBorders>
              <w:top w:val="single" w:sz="8" w:color="0000FF"/>
            </w:tcBorders>
            <w:gridSpan w:val="23"/>
          </w:tcPr>
          <w:p>
            <w:pPr>
              <w:spacing w:after="0" w:line="151" w:lineRule="exact"/>
              <w:rPr>
                <w:sz w:val="20"/>
                <w:szCs w:val="20"/>
                <w:color w:val="auto"/>
              </w:rPr>
            </w:pPr>
            <w:r>
              <w:rPr>
                <w:rFonts w:ascii="Times New Roman" w:cs="Times New Roman" w:eastAsia="Times New Roman" w:hAnsi="Times New Roman"/>
                <w:sz w:val="16"/>
                <w:szCs w:val="16"/>
                <w:color w:val="0000FF"/>
              </w:rPr>
              <w:t>Sarbanes-Oxley Act of 2002</w:t>
            </w:r>
          </w:p>
        </w:tc>
        <w:tc>
          <w:tcPr>
            <w:tcW w:w="120" w:type="dxa"/>
            <w:vAlign w:val="bottom"/>
            <w:gridSpan w:val="6"/>
          </w:tcPr>
          <w:p>
            <w:pPr>
              <w:spacing w:after="0"/>
              <w:rPr>
                <w:sz w:val="13"/>
                <w:szCs w:val="13"/>
                <w:color w:val="auto"/>
              </w:rPr>
            </w:pPr>
          </w:p>
        </w:tc>
        <w:tc>
          <w:tcPr>
            <w:tcW w:w="360" w:type="dxa"/>
            <w:vAlign w:val="bottom"/>
            <w:gridSpan w:val="4"/>
          </w:tcPr>
          <w:p>
            <w:pPr>
              <w:spacing w:after="0"/>
              <w:rPr>
                <w:sz w:val="13"/>
                <w:szCs w:val="13"/>
                <w:color w:val="auto"/>
              </w:rPr>
            </w:pPr>
          </w:p>
        </w:tc>
        <w:tc>
          <w:tcPr>
            <w:tcW w:w="7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1180" w:type="dxa"/>
            <w:vAlign w:val="bottom"/>
            <w:gridSpan w:val="5"/>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580" w:type="dxa"/>
            <w:vAlign w:val="bottom"/>
            <w:gridSpan w:val="17"/>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300" w:type="dxa"/>
            <w:vAlign w:val="bottom"/>
          </w:tcPr>
          <w:p>
            <w:pPr>
              <w:jc w:val="center"/>
              <w:spacing w:after="0" w:line="203" w:lineRule="exact"/>
              <w:rPr>
                <w:sz w:val="20"/>
                <w:szCs w:val="20"/>
                <w:color w:val="auto"/>
              </w:rPr>
            </w:pPr>
            <w:r>
              <w:rPr>
                <w:rFonts w:ascii="Times New Roman" w:cs="Times New Roman" w:eastAsia="Times New Roman" w:hAnsi="Times New Roman"/>
                <w:sz w:val="18"/>
                <w:szCs w:val="18"/>
                <w:color w:val="auto"/>
                <w:w w:val="95"/>
              </w:rPr>
              <w:t>32.1</w:t>
            </w:r>
          </w:p>
        </w:tc>
        <w:tc>
          <w:tcPr>
            <w:tcW w:w="4500" w:type="dxa"/>
            <w:vAlign w:val="bottom"/>
            <w:gridSpan w:val="33"/>
          </w:tcPr>
          <w:p>
            <w:pPr>
              <w:spacing w:after="0" w:line="203" w:lineRule="exact"/>
              <w:rPr>
                <w:sz w:val="20"/>
                <w:szCs w:val="20"/>
                <w:color w:val="auto"/>
              </w:rPr>
            </w:pPr>
            <w:r>
              <w:rPr>
                <w:rFonts w:ascii="Times New Roman" w:cs="Times New Roman" w:eastAsia="Times New Roman" w:hAnsi="Times New Roman"/>
                <w:sz w:val="18"/>
                <w:szCs w:val="18"/>
                <w:color w:val="0000FF"/>
              </w:rPr>
              <w:t>Certification of the Company’s Chief Executive Officer</w:t>
            </w:r>
          </w:p>
        </w:tc>
        <w:tc>
          <w:tcPr>
            <w:tcW w:w="7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380" w:type="dxa"/>
            <w:vAlign w:val="bottom"/>
            <w:gridSpan w:val="2"/>
          </w:tcPr>
          <w:p>
            <w:pPr>
              <w:jc w:val="center"/>
              <w:ind w:right="460"/>
              <w:spacing w:after="0" w:line="203" w:lineRule="exact"/>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151"/>
        </w:trPr>
        <w:tc>
          <w:tcPr>
            <w:tcW w:w="1300" w:type="dxa"/>
            <w:vAlign w:val="bottom"/>
          </w:tcPr>
          <w:p>
            <w:pPr>
              <w:spacing w:after="0"/>
              <w:rPr>
                <w:sz w:val="13"/>
                <w:szCs w:val="13"/>
                <w:color w:val="auto"/>
              </w:rPr>
            </w:pPr>
          </w:p>
        </w:tc>
        <w:tc>
          <w:tcPr>
            <w:tcW w:w="3960" w:type="dxa"/>
            <w:vAlign w:val="bottom"/>
            <w:tcBorders>
              <w:top w:val="single" w:sz="8" w:color="0000FF"/>
            </w:tcBorders>
            <w:gridSpan w:val="20"/>
          </w:tcPr>
          <w:p>
            <w:pPr>
              <w:spacing w:after="0" w:line="151" w:lineRule="exact"/>
              <w:rPr>
                <w:sz w:val="20"/>
                <w:szCs w:val="20"/>
                <w:color w:val="auto"/>
              </w:rPr>
            </w:pPr>
            <w:r>
              <w:rPr>
                <w:rFonts w:ascii="Times New Roman" w:cs="Times New Roman" w:eastAsia="Times New Roman" w:hAnsi="Times New Roman"/>
                <w:sz w:val="16"/>
                <w:szCs w:val="16"/>
                <w:color w:val="0000FF"/>
              </w:rPr>
              <w:t>pursuant to 18 U.S.C. Section 1350, as adopted pursuant</w:t>
            </w:r>
          </w:p>
        </w:tc>
        <w:tc>
          <w:tcPr>
            <w:tcW w:w="540" w:type="dxa"/>
            <w:vAlign w:val="bottom"/>
            <w:gridSpan w:val="13"/>
          </w:tcPr>
          <w:p>
            <w:pPr>
              <w:jc w:val="center"/>
              <w:ind w:right="320"/>
              <w:spacing w:after="0" w:line="151" w:lineRule="exact"/>
              <w:rPr>
                <w:sz w:val="20"/>
                <w:szCs w:val="20"/>
                <w:color w:val="auto"/>
              </w:rPr>
            </w:pPr>
            <w:r>
              <w:rPr>
                <w:rFonts w:ascii="Times New Roman" w:cs="Times New Roman" w:eastAsia="Times New Roman" w:hAnsi="Times New Roman"/>
                <w:sz w:val="16"/>
                <w:szCs w:val="16"/>
                <w:color w:val="0000FF"/>
              </w:rPr>
              <w:t>to</w:t>
            </w:r>
          </w:p>
        </w:tc>
        <w:tc>
          <w:tcPr>
            <w:tcW w:w="7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1300" w:type="dxa"/>
            <w:vAlign w:val="bottom"/>
          </w:tcPr>
          <w:p>
            <w:pPr>
              <w:spacing w:after="0"/>
              <w:rPr>
                <w:sz w:val="14"/>
                <w:szCs w:val="14"/>
                <w:color w:val="auto"/>
              </w:rPr>
            </w:pPr>
          </w:p>
        </w:tc>
        <w:tc>
          <w:tcPr>
            <w:tcW w:w="4140" w:type="dxa"/>
            <w:vAlign w:val="bottom"/>
            <w:tcBorders>
              <w:top w:val="single" w:sz="8" w:color="0000FF"/>
            </w:tcBorders>
            <w:gridSpan w:val="29"/>
          </w:tcPr>
          <w:p>
            <w:pPr>
              <w:spacing w:after="0" w:line="163" w:lineRule="exact"/>
              <w:rPr>
                <w:sz w:val="20"/>
                <w:szCs w:val="20"/>
                <w:color w:val="auto"/>
              </w:rPr>
            </w:pPr>
            <w:r>
              <w:rPr>
                <w:rFonts w:ascii="Times New Roman" w:cs="Times New Roman" w:eastAsia="Times New Roman" w:hAnsi="Times New Roman"/>
                <w:sz w:val="18"/>
                <w:szCs w:val="18"/>
                <w:color w:val="0000FF"/>
              </w:rPr>
              <w:t>Section 906 of the Sarbanes-Oxley Act of 2002</w:t>
            </w:r>
          </w:p>
        </w:tc>
        <w:tc>
          <w:tcPr>
            <w:tcW w:w="360" w:type="dxa"/>
            <w:vAlign w:val="bottom"/>
            <w:gridSpan w:val="4"/>
          </w:tcPr>
          <w:p>
            <w:pPr>
              <w:spacing w:after="0"/>
              <w:rPr>
                <w:sz w:val="14"/>
                <w:szCs w:val="14"/>
                <w:color w:val="auto"/>
              </w:rPr>
            </w:pPr>
          </w:p>
        </w:tc>
        <w:tc>
          <w:tcPr>
            <w:tcW w:w="7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1180" w:type="dxa"/>
            <w:vAlign w:val="bottom"/>
            <w:gridSpan w:val="5"/>
            <w:shd w:val="clear" w:color="auto" w:fill="0000FF"/>
          </w:tcPr>
          <w:p>
            <w:pPr>
              <w:spacing w:after="0" w:line="20" w:lineRule="exact"/>
              <w:rPr>
                <w:sz w:val="1"/>
                <w:szCs w:val="1"/>
                <w:color w:val="auto"/>
              </w:rPr>
            </w:pPr>
          </w:p>
        </w:tc>
        <w:tc>
          <w:tcPr>
            <w:tcW w:w="2140" w:type="dxa"/>
            <w:vAlign w:val="bottom"/>
            <w:gridSpan w:val="5"/>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940" w:type="dxa"/>
            <w:vAlign w:val="bottom"/>
            <w:gridSpan w:val="21"/>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300" w:type="dxa"/>
            <w:vAlign w:val="bottom"/>
          </w:tcPr>
          <w:p>
            <w:pPr>
              <w:jc w:val="center"/>
              <w:spacing w:after="0" w:line="203" w:lineRule="exact"/>
              <w:rPr>
                <w:sz w:val="20"/>
                <w:szCs w:val="20"/>
                <w:color w:val="auto"/>
              </w:rPr>
            </w:pPr>
            <w:r>
              <w:rPr>
                <w:rFonts w:ascii="Times New Roman" w:cs="Times New Roman" w:eastAsia="Times New Roman" w:hAnsi="Times New Roman"/>
                <w:sz w:val="18"/>
                <w:szCs w:val="18"/>
                <w:color w:val="auto"/>
                <w:w w:val="95"/>
              </w:rPr>
              <w:t>32.2</w:t>
            </w:r>
          </w:p>
        </w:tc>
        <w:tc>
          <w:tcPr>
            <w:tcW w:w="4500" w:type="dxa"/>
            <w:vAlign w:val="bottom"/>
            <w:gridSpan w:val="33"/>
          </w:tcPr>
          <w:p>
            <w:pPr>
              <w:spacing w:after="0" w:line="203" w:lineRule="exact"/>
              <w:rPr>
                <w:sz w:val="20"/>
                <w:szCs w:val="20"/>
                <w:color w:val="auto"/>
              </w:rPr>
            </w:pPr>
            <w:r>
              <w:rPr>
                <w:rFonts w:ascii="Times New Roman" w:cs="Times New Roman" w:eastAsia="Times New Roman" w:hAnsi="Times New Roman"/>
                <w:sz w:val="18"/>
                <w:szCs w:val="18"/>
                <w:color w:val="0000FF"/>
              </w:rPr>
              <w:t>Certification of the Company’s Chief Financial Officer</w:t>
            </w:r>
          </w:p>
        </w:tc>
        <w:tc>
          <w:tcPr>
            <w:tcW w:w="7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380" w:type="dxa"/>
            <w:vAlign w:val="bottom"/>
            <w:gridSpan w:val="2"/>
          </w:tcPr>
          <w:p>
            <w:pPr>
              <w:jc w:val="center"/>
              <w:ind w:right="460"/>
              <w:spacing w:after="0" w:line="203" w:lineRule="exact"/>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151"/>
        </w:trPr>
        <w:tc>
          <w:tcPr>
            <w:tcW w:w="1300" w:type="dxa"/>
            <w:vAlign w:val="bottom"/>
          </w:tcPr>
          <w:p>
            <w:pPr>
              <w:spacing w:after="0"/>
              <w:rPr>
                <w:sz w:val="13"/>
                <w:szCs w:val="13"/>
                <w:color w:val="auto"/>
              </w:rPr>
            </w:pPr>
          </w:p>
        </w:tc>
        <w:tc>
          <w:tcPr>
            <w:tcW w:w="3880" w:type="dxa"/>
            <w:vAlign w:val="bottom"/>
            <w:tcBorders>
              <w:top w:val="single" w:sz="8" w:color="0000FF"/>
            </w:tcBorders>
            <w:gridSpan w:val="16"/>
          </w:tcPr>
          <w:p>
            <w:pPr>
              <w:spacing w:after="0" w:line="151" w:lineRule="exact"/>
              <w:rPr>
                <w:sz w:val="20"/>
                <w:szCs w:val="20"/>
                <w:color w:val="auto"/>
              </w:rPr>
            </w:pPr>
            <w:r>
              <w:rPr>
                <w:rFonts w:ascii="Times New Roman" w:cs="Times New Roman" w:eastAsia="Times New Roman" w:hAnsi="Times New Roman"/>
                <w:sz w:val="16"/>
                <w:szCs w:val="16"/>
                <w:color w:val="0000FF"/>
              </w:rPr>
              <w:t>pursuant to 18 U.S.C. Section 1350, as adopted pursuant</w:t>
            </w:r>
          </w:p>
        </w:tc>
        <w:tc>
          <w:tcPr>
            <w:tcW w:w="620" w:type="dxa"/>
            <w:vAlign w:val="bottom"/>
            <w:gridSpan w:val="17"/>
          </w:tcPr>
          <w:p>
            <w:pPr>
              <w:jc w:val="center"/>
              <w:ind w:right="240"/>
              <w:spacing w:after="0" w:line="151" w:lineRule="exact"/>
              <w:rPr>
                <w:sz w:val="20"/>
                <w:szCs w:val="20"/>
                <w:color w:val="auto"/>
              </w:rPr>
            </w:pPr>
            <w:r>
              <w:rPr>
                <w:rFonts w:ascii="Times New Roman" w:cs="Times New Roman" w:eastAsia="Times New Roman" w:hAnsi="Times New Roman"/>
                <w:sz w:val="16"/>
                <w:szCs w:val="16"/>
                <w:color w:val="0000FF"/>
              </w:rPr>
              <w:t>to</w:t>
            </w:r>
          </w:p>
        </w:tc>
        <w:tc>
          <w:tcPr>
            <w:tcW w:w="7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1300" w:type="dxa"/>
            <w:vAlign w:val="bottom"/>
          </w:tcPr>
          <w:p>
            <w:pPr>
              <w:spacing w:after="0"/>
              <w:rPr>
                <w:sz w:val="14"/>
                <w:szCs w:val="14"/>
                <w:color w:val="auto"/>
              </w:rPr>
            </w:pPr>
          </w:p>
        </w:tc>
        <w:tc>
          <w:tcPr>
            <w:tcW w:w="4140" w:type="dxa"/>
            <w:vAlign w:val="bottom"/>
            <w:tcBorders>
              <w:top w:val="single" w:sz="8" w:color="0000FF"/>
            </w:tcBorders>
            <w:gridSpan w:val="29"/>
          </w:tcPr>
          <w:p>
            <w:pPr>
              <w:spacing w:after="0" w:line="163" w:lineRule="exact"/>
              <w:rPr>
                <w:sz w:val="20"/>
                <w:szCs w:val="20"/>
                <w:color w:val="auto"/>
              </w:rPr>
            </w:pPr>
            <w:r>
              <w:rPr>
                <w:rFonts w:ascii="Times New Roman" w:cs="Times New Roman" w:eastAsia="Times New Roman" w:hAnsi="Times New Roman"/>
                <w:sz w:val="18"/>
                <w:szCs w:val="18"/>
                <w:color w:val="0000FF"/>
              </w:rPr>
              <w:t>Section 906 of the Sarbanes-Oxley Act of 2002</w:t>
            </w:r>
          </w:p>
        </w:tc>
        <w:tc>
          <w:tcPr>
            <w:tcW w:w="360" w:type="dxa"/>
            <w:vAlign w:val="bottom"/>
            <w:gridSpan w:val="4"/>
          </w:tcPr>
          <w:p>
            <w:pPr>
              <w:spacing w:after="0"/>
              <w:rPr>
                <w:sz w:val="14"/>
                <w:szCs w:val="14"/>
                <w:color w:val="auto"/>
              </w:rPr>
            </w:pPr>
          </w:p>
        </w:tc>
        <w:tc>
          <w:tcPr>
            <w:tcW w:w="7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1180" w:type="dxa"/>
            <w:vAlign w:val="bottom"/>
            <w:gridSpan w:val="5"/>
            <w:shd w:val="clear" w:color="auto" w:fill="0000FF"/>
          </w:tcPr>
          <w:p>
            <w:pPr>
              <w:spacing w:after="0" w:line="20" w:lineRule="exact"/>
              <w:rPr>
                <w:sz w:val="1"/>
                <w:szCs w:val="1"/>
                <w:color w:val="auto"/>
              </w:rPr>
            </w:pPr>
          </w:p>
        </w:tc>
        <w:tc>
          <w:tcPr>
            <w:tcW w:w="2140" w:type="dxa"/>
            <w:vAlign w:val="bottom"/>
            <w:gridSpan w:val="5"/>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940" w:type="dxa"/>
            <w:vAlign w:val="bottom"/>
            <w:gridSpan w:val="21"/>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300" w:type="dxa"/>
            <w:vAlign w:val="bottom"/>
          </w:tcPr>
          <w:p>
            <w:pPr>
              <w:jc w:val="center"/>
              <w:spacing w:after="0" w:line="203" w:lineRule="exact"/>
              <w:rPr>
                <w:sz w:val="20"/>
                <w:szCs w:val="20"/>
                <w:color w:val="auto"/>
              </w:rPr>
            </w:pPr>
            <w:r>
              <w:rPr>
                <w:rFonts w:ascii="Times New Roman" w:cs="Times New Roman" w:eastAsia="Times New Roman" w:hAnsi="Times New Roman"/>
                <w:sz w:val="18"/>
                <w:szCs w:val="18"/>
                <w:color w:val="auto"/>
                <w:w w:val="95"/>
              </w:rPr>
              <w:t>97.1</w:t>
            </w:r>
          </w:p>
        </w:tc>
        <w:tc>
          <w:tcPr>
            <w:tcW w:w="4500" w:type="dxa"/>
            <w:vAlign w:val="bottom"/>
            <w:gridSpan w:val="33"/>
          </w:tcPr>
          <w:p>
            <w:pPr>
              <w:spacing w:after="0" w:line="203" w:lineRule="exact"/>
              <w:rPr>
                <w:sz w:val="20"/>
                <w:szCs w:val="20"/>
                <w:color w:val="auto"/>
              </w:rPr>
            </w:pPr>
            <w:r>
              <w:rPr>
                <w:rFonts w:ascii="Times New Roman" w:cs="Times New Roman" w:eastAsia="Times New Roman" w:hAnsi="Times New Roman"/>
                <w:sz w:val="18"/>
                <w:szCs w:val="18"/>
                <w:color w:val="0000FF"/>
              </w:rPr>
              <w:t>Skyworks Solutions, Inc. Executive Compensation</w:t>
            </w:r>
          </w:p>
        </w:tc>
        <w:tc>
          <w:tcPr>
            <w:tcW w:w="7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380" w:type="dxa"/>
            <w:vAlign w:val="bottom"/>
            <w:gridSpan w:val="2"/>
          </w:tcPr>
          <w:p>
            <w:pPr>
              <w:jc w:val="center"/>
              <w:ind w:right="460"/>
              <w:spacing w:after="0" w:line="203" w:lineRule="exact"/>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151"/>
        </w:trPr>
        <w:tc>
          <w:tcPr>
            <w:tcW w:w="1300" w:type="dxa"/>
            <w:vAlign w:val="bottom"/>
          </w:tcPr>
          <w:p>
            <w:pPr>
              <w:spacing w:after="0"/>
              <w:rPr>
                <w:sz w:val="13"/>
                <w:szCs w:val="13"/>
                <w:color w:val="auto"/>
              </w:rPr>
            </w:pPr>
          </w:p>
        </w:tc>
        <w:tc>
          <w:tcPr>
            <w:tcW w:w="1180" w:type="dxa"/>
            <w:vAlign w:val="bottom"/>
            <w:tcBorders>
              <w:top w:val="single" w:sz="8" w:color="0000FF"/>
              <w:bottom w:val="single" w:sz="8" w:color="0000FF"/>
            </w:tcBorders>
            <w:gridSpan w:val="5"/>
          </w:tcPr>
          <w:p>
            <w:pPr>
              <w:spacing w:after="0" w:line="151" w:lineRule="exact"/>
              <w:rPr>
                <w:sz w:val="20"/>
                <w:szCs w:val="20"/>
                <w:color w:val="auto"/>
              </w:rPr>
            </w:pPr>
            <w:r>
              <w:rPr>
                <w:rFonts w:ascii="Times New Roman" w:cs="Times New Roman" w:eastAsia="Times New Roman" w:hAnsi="Times New Roman"/>
                <w:sz w:val="16"/>
                <w:szCs w:val="16"/>
                <w:color w:val="0000FF"/>
              </w:rPr>
              <w:t>Recovery Policy</w:t>
            </w:r>
          </w:p>
        </w:tc>
        <w:tc>
          <w:tcPr>
            <w:tcW w:w="2380" w:type="dxa"/>
            <w:vAlign w:val="bottom"/>
            <w:tcBorders>
              <w:top w:val="single" w:sz="8" w:color="0000FF"/>
            </w:tcBorders>
            <w:gridSpan w:val="7"/>
          </w:tcPr>
          <w:p>
            <w:pPr>
              <w:spacing w:after="0"/>
              <w:rPr>
                <w:sz w:val="13"/>
                <w:szCs w:val="13"/>
                <w:color w:val="auto"/>
              </w:rPr>
            </w:pPr>
          </w:p>
        </w:tc>
        <w:tc>
          <w:tcPr>
            <w:tcW w:w="940" w:type="dxa"/>
            <w:vAlign w:val="bottom"/>
            <w:gridSpan w:val="21"/>
          </w:tcPr>
          <w:p>
            <w:pPr>
              <w:spacing w:after="0"/>
              <w:rPr>
                <w:sz w:val="13"/>
                <w:szCs w:val="13"/>
                <w:color w:val="auto"/>
              </w:rPr>
            </w:pPr>
          </w:p>
        </w:tc>
        <w:tc>
          <w:tcPr>
            <w:tcW w:w="7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12"/>
        </w:trPr>
        <w:tc>
          <w:tcPr>
            <w:tcW w:w="1300" w:type="dxa"/>
            <w:vAlign w:val="bottom"/>
          </w:tcPr>
          <w:p>
            <w:pPr>
              <w:spacing w:after="0"/>
              <w:rPr>
                <w:sz w:val="24"/>
                <w:szCs w:val="24"/>
                <w:color w:val="auto"/>
              </w:rPr>
            </w:pPr>
          </w:p>
        </w:tc>
        <w:tc>
          <w:tcPr>
            <w:tcW w:w="4500" w:type="dxa"/>
            <w:vAlign w:val="bottom"/>
            <w:gridSpan w:val="33"/>
          </w:tcPr>
          <w:p>
            <w:pPr>
              <w:ind w:left="4240"/>
              <w:spacing w:after="0"/>
              <w:rPr>
                <w:sz w:val="20"/>
                <w:szCs w:val="20"/>
                <w:color w:val="auto"/>
              </w:rPr>
            </w:pPr>
            <w:r>
              <w:rPr>
                <w:rFonts w:ascii="Times New Roman" w:cs="Times New Roman" w:eastAsia="Times New Roman" w:hAnsi="Times New Roman"/>
                <w:sz w:val="18"/>
                <w:szCs w:val="18"/>
                <w:color w:val="auto"/>
              </w:rPr>
              <w:t>69</w:t>
            </w:r>
          </w:p>
        </w:tc>
        <w:tc>
          <w:tcPr>
            <w:tcW w:w="7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1300" w:type="dxa"/>
            <w:vAlign w:val="bottom"/>
            <w:tcBorders>
              <w:bottom w:val="single" w:sz="8" w:color="9A9A9A"/>
            </w:tcBorders>
          </w:tcPr>
          <w:p>
            <w:pPr>
              <w:spacing w:after="0"/>
              <w:rPr>
                <w:sz w:val="9"/>
                <w:szCs w:val="9"/>
                <w:color w:val="auto"/>
              </w:rPr>
            </w:pPr>
          </w:p>
        </w:tc>
        <w:tc>
          <w:tcPr>
            <w:tcW w:w="7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720" w:type="dxa"/>
            <w:vAlign w:val="bottom"/>
            <w:tcBorders>
              <w:bottom w:val="single" w:sz="8" w:color="9A9A9A"/>
            </w:tcBorders>
          </w:tcPr>
          <w:p>
            <w:pPr>
              <w:spacing w:after="0"/>
              <w:rPr>
                <w:sz w:val="9"/>
                <w:szCs w:val="9"/>
                <w:color w:val="auto"/>
              </w:rPr>
            </w:pPr>
          </w:p>
        </w:tc>
        <w:tc>
          <w:tcPr>
            <w:tcW w:w="128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0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09">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180" w:type="dxa"/>
            <w:vAlign w:val="bottom"/>
          </w:tcPr>
          <w:p>
            <w:pPr>
              <w:spacing w:after="0"/>
              <w:rPr>
                <w:sz w:val="16"/>
                <w:szCs w:val="16"/>
                <w:color w:val="auto"/>
              </w:rPr>
            </w:pPr>
          </w:p>
        </w:tc>
        <w:tc>
          <w:tcPr>
            <w:tcW w:w="44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Filed</w:t>
            </w:r>
          </w:p>
        </w:tc>
        <w:tc>
          <w:tcPr>
            <w:tcW w:w="0" w:type="dxa"/>
            <w:vAlign w:val="bottom"/>
          </w:tcPr>
          <w:p>
            <w:pPr>
              <w:spacing w:after="0"/>
              <w:rPr>
                <w:sz w:val="1"/>
                <w:szCs w:val="1"/>
                <w:color w:val="auto"/>
              </w:rPr>
            </w:pPr>
          </w:p>
        </w:tc>
      </w:tr>
      <w:tr>
        <w:trPr>
          <w:trHeight w:val="50"/>
        </w:trPr>
        <w:tc>
          <w:tcPr>
            <w:tcW w:w="1180" w:type="dxa"/>
            <w:vAlign w:val="bottom"/>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Exhibit Number</w:t>
            </w:r>
          </w:p>
        </w:tc>
        <w:tc>
          <w:tcPr>
            <w:tcW w:w="4440" w:type="dxa"/>
            <w:vAlign w:val="bottom"/>
            <w:vMerge w:val="restart"/>
          </w:tcPr>
          <w:p>
            <w:pPr>
              <w:ind w:left="168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960" w:type="dxa"/>
            <w:vAlign w:val="bottom"/>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Form</w:t>
            </w:r>
          </w:p>
        </w:tc>
        <w:tc>
          <w:tcPr>
            <w:tcW w:w="840" w:type="dxa"/>
            <w:vAlign w:val="bottom"/>
            <w:vMerge w:val="restart"/>
          </w:tcPr>
          <w:p>
            <w:pPr>
              <w:ind w:left="360"/>
              <w:spacing w:after="0"/>
              <w:rPr>
                <w:sz w:val="20"/>
                <w:szCs w:val="20"/>
                <w:color w:val="auto"/>
              </w:rPr>
            </w:pPr>
            <w:r>
              <w:rPr>
                <w:rFonts w:ascii="Times New Roman" w:cs="Times New Roman" w:eastAsia="Times New Roman" w:hAnsi="Times New Roman"/>
                <w:sz w:val="14"/>
                <w:szCs w:val="14"/>
                <w:b w:val="1"/>
                <w:bCs w:val="1"/>
                <w:color w:val="auto"/>
                <w:w w:val="98"/>
              </w:rPr>
              <w:t>File No.</w:t>
            </w:r>
          </w:p>
        </w:tc>
        <w:tc>
          <w:tcPr>
            <w:tcW w:w="1320" w:type="dxa"/>
            <w:vAlign w:val="bottom"/>
            <w:vMerge w:val="restart"/>
          </w:tcPr>
          <w:p>
            <w:pPr>
              <w:ind w:left="64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120" w:type="dxa"/>
            <w:vAlign w:val="bottom"/>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9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4"/>
        </w:trPr>
        <w:tc>
          <w:tcPr>
            <w:tcW w:w="1180" w:type="dxa"/>
            <w:vAlign w:val="bottom"/>
            <w:tcBorders>
              <w:bottom w:val="single" w:sz="8" w:color="auto"/>
            </w:tcBorders>
            <w:vMerge w:val="continue"/>
          </w:tcPr>
          <w:p>
            <w:pPr>
              <w:spacing w:after="0"/>
              <w:rPr>
                <w:sz w:val="15"/>
                <w:szCs w:val="15"/>
                <w:color w:val="auto"/>
              </w:rPr>
            </w:pPr>
          </w:p>
        </w:tc>
        <w:tc>
          <w:tcPr>
            <w:tcW w:w="4440" w:type="dxa"/>
            <w:vAlign w:val="bottom"/>
            <w:tcBorders>
              <w:bottom w:val="single" w:sz="8" w:color="auto"/>
            </w:tcBorders>
            <w:vMerge w:val="continue"/>
          </w:tcPr>
          <w:p>
            <w:pPr>
              <w:spacing w:after="0"/>
              <w:rPr>
                <w:sz w:val="15"/>
                <w:szCs w:val="15"/>
                <w:color w:val="auto"/>
              </w:rPr>
            </w:pPr>
          </w:p>
        </w:tc>
        <w:tc>
          <w:tcPr>
            <w:tcW w:w="960" w:type="dxa"/>
            <w:vAlign w:val="bottom"/>
            <w:tcBorders>
              <w:bottom w:val="single" w:sz="8" w:color="auto"/>
            </w:tcBorders>
            <w:vMerge w:val="continue"/>
          </w:tcPr>
          <w:p>
            <w:pPr>
              <w:spacing w:after="0"/>
              <w:rPr>
                <w:sz w:val="15"/>
                <w:szCs w:val="15"/>
                <w:color w:val="auto"/>
              </w:rPr>
            </w:pPr>
          </w:p>
        </w:tc>
        <w:tc>
          <w:tcPr>
            <w:tcW w:w="840" w:type="dxa"/>
            <w:vAlign w:val="bottom"/>
            <w:tcBorders>
              <w:bottom w:val="single" w:sz="8" w:color="auto"/>
            </w:tcBorders>
            <w:vMerge w:val="continue"/>
          </w:tcPr>
          <w:p>
            <w:pPr>
              <w:spacing w:after="0"/>
              <w:rPr>
                <w:sz w:val="15"/>
                <w:szCs w:val="15"/>
                <w:color w:val="auto"/>
              </w:rPr>
            </w:pPr>
          </w:p>
        </w:tc>
        <w:tc>
          <w:tcPr>
            <w:tcW w:w="1320" w:type="dxa"/>
            <w:vAlign w:val="bottom"/>
            <w:tcBorders>
              <w:bottom w:val="single" w:sz="8" w:color="auto"/>
            </w:tcBorders>
            <w:vMerge w:val="continue"/>
          </w:tcPr>
          <w:p>
            <w:pPr>
              <w:spacing w:after="0"/>
              <w:rPr>
                <w:sz w:val="15"/>
                <w:szCs w:val="15"/>
                <w:color w:val="auto"/>
              </w:rPr>
            </w:pPr>
          </w:p>
        </w:tc>
        <w:tc>
          <w:tcPr>
            <w:tcW w:w="1120" w:type="dxa"/>
            <w:vAlign w:val="bottom"/>
            <w:tcBorders>
              <w:bottom w:val="single" w:sz="8" w:color="auto"/>
            </w:tcBorders>
            <w:vMerge w:val="continue"/>
          </w:tcPr>
          <w:p>
            <w:pPr>
              <w:spacing w:after="0"/>
              <w:rPr>
                <w:sz w:val="15"/>
                <w:szCs w:val="15"/>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Herewith</w:t>
            </w:r>
          </w:p>
        </w:tc>
        <w:tc>
          <w:tcPr>
            <w:tcW w:w="0" w:type="dxa"/>
            <w:vAlign w:val="bottom"/>
          </w:tcPr>
          <w:p>
            <w:pPr>
              <w:spacing w:after="0"/>
              <w:rPr>
                <w:sz w:val="1"/>
                <w:szCs w:val="1"/>
                <w:color w:val="auto"/>
              </w:rPr>
            </w:pPr>
          </w:p>
        </w:tc>
      </w:tr>
      <w:tr>
        <w:trPr>
          <w:trHeight w:val="164"/>
        </w:trPr>
        <w:tc>
          <w:tcPr>
            <w:tcW w:w="1180" w:type="dxa"/>
            <w:vAlign w:val="bottom"/>
          </w:tcPr>
          <w:p>
            <w:pPr>
              <w:jc w:val="center"/>
              <w:ind w:left="35"/>
              <w:spacing w:after="0" w:line="164" w:lineRule="exact"/>
              <w:rPr>
                <w:sz w:val="20"/>
                <w:szCs w:val="20"/>
                <w:color w:val="auto"/>
              </w:rPr>
            </w:pPr>
            <w:r>
              <w:rPr>
                <w:rFonts w:ascii="Times New Roman" w:cs="Times New Roman" w:eastAsia="Times New Roman" w:hAnsi="Times New Roman"/>
                <w:sz w:val="18"/>
                <w:szCs w:val="18"/>
                <w:color w:val="auto"/>
                <w:w w:val="95"/>
              </w:rPr>
              <w:t>101.INS</w:t>
            </w:r>
          </w:p>
        </w:tc>
        <w:tc>
          <w:tcPr>
            <w:tcW w:w="4440" w:type="dxa"/>
            <w:vAlign w:val="bottom"/>
          </w:tcPr>
          <w:p>
            <w:pPr>
              <w:ind w:left="120"/>
              <w:spacing w:after="0" w:line="164" w:lineRule="exact"/>
              <w:rPr>
                <w:sz w:val="20"/>
                <w:szCs w:val="20"/>
                <w:color w:val="auto"/>
              </w:rPr>
            </w:pPr>
            <w:r>
              <w:rPr>
                <w:rFonts w:ascii="Times New Roman" w:cs="Times New Roman" w:eastAsia="Times New Roman" w:hAnsi="Times New Roman"/>
                <w:sz w:val="18"/>
                <w:szCs w:val="18"/>
                <w:color w:val="auto"/>
              </w:rPr>
              <w:t>Inline XBRL Instance Document - the instance document</w:t>
            </w:r>
          </w:p>
        </w:tc>
        <w:tc>
          <w:tcPr>
            <w:tcW w:w="9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1180" w:type="dxa"/>
            <w:vAlign w:val="bottom"/>
          </w:tcPr>
          <w:p>
            <w:pPr>
              <w:spacing w:after="0"/>
              <w:rPr>
                <w:sz w:val="15"/>
                <w:szCs w:val="15"/>
                <w:color w:val="auto"/>
              </w:rPr>
            </w:pPr>
          </w:p>
        </w:tc>
        <w:tc>
          <w:tcPr>
            <w:tcW w:w="4440" w:type="dxa"/>
            <w:vAlign w:val="bottom"/>
          </w:tcPr>
          <w:p>
            <w:pPr>
              <w:ind w:left="120"/>
              <w:spacing w:after="0" w:line="179" w:lineRule="exact"/>
              <w:rPr>
                <w:sz w:val="20"/>
                <w:szCs w:val="20"/>
                <w:color w:val="auto"/>
              </w:rPr>
            </w:pPr>
            <w:r>
              <w:rPr>
                <w:rFonts w:ascii="Times New Roman" w:cs="Times New Roman" w:eastAsia="Times New Roman" w:hAnsi="Times New Roman"/>
                <w:sz w:val="18"/>
                <w:szCs w:val="18"/>
                <w:color w:val="auto"/>
              </w:rPr>
              <w:t>does not appear in the Interactive Data File because its</w:t>
            </w:r>
          </w:p>
        </w:tc>
        <w:tc>
          <w:tcPr>
            <w:tcW w:w="9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180" w:type="dxa"/>
            <w:vAlign w:val="bottom"/>
          </w:tcPr>
          <w:p>
            <w:pPr>
              <w:spacing w:after="0"/>
              <w:rPr>
                <w:sz w:val="15"/>
                <w:szCs w:val="15"/>
                <w:color w:val="auto"/>
              </w:rPr>
            </w:pPr>
          </w:p>
        </w:tc>
        <w:tc>
          <w:tcPr>
            <w:tcW w:w="4440" w:type="dxa"/>
            <w:vAlign w:val="bottom"/>
          </w:tcPr>
          <w:p>
            <w:pPr>
              <w:ind w:left="120"/>
              <w:spacing w:after="0" w:line="176" w:lineRule="exact"/>
              <w:rPr>
                <w:sz w:val="20"/>
                <w:szCs w:val="20"/>
                <w:color w:val="auto"/>
              </w:rPr>
            </w:pPr>
            <w:r>
              <w:rPr>
                <w:rFonts w:ascii="Times New Roman" w:cs="Times New Roman" w:eastAsia="Times New Roman" w:hAnsi="Times New Roman"/>
                <w:sz w:val="18"/>
                <w:szCs w:val="18"/>
                <w:color w:val="auto"/>
              </w:rPr>
              <w:t>XBRL tags are embedded within the Inline XBRL</w:t>
            </w:r>
          </w:p>
        </w:tc>
        <w:tc>
          <w:tcPr>
            <w:tcW w:w="9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1180" w:type="dxa"/>
            <w:vAlign w:val="bottom"/>
          </w:tcPr>
          <w:p>
            <w:pPr>
              <w:spacing w:after="0"/>
              <w:rPr>
                <w:sz w:val="18"/>
                <w:szCs w:val="18"/>
                <w:color w:val="auto"/>
              </w:rPr>
            </w:pPr>
          </w:p>
        </w:tc>
        <w:tc>
          <w:tcPr>
            <w:tcW w:w="4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document.</w:t>
            </w:r>
          </w:p>
        </w:tc>
        <w:tc>
          <w:tcPr>
            <w:tcW w:w="9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180" w:type="dxa"/>
            <w:vAlign w:val="bottom"/>
          </w:tcPr>
          <w:p>
            <w:pPr>
              <w:jc w:val="center"/>
              <w:ind w:left="35"/>
              <w:spacing w:after="0"/>
              <w:rPr>
                <w:sz w:val="20"/>
                <w:szCs w:val="20"/>
                <w:color w:val="auto"/>
              </w:rPr>
            </w:pPr>
            <w:r>
              <w:rPr>
                <w:rFonts w:ascii="Times New Roman" w:cs="Times New Roman" w:eastAsia="Times New Roman" w:hAnsi="Times New Roman"/>
                <w:sz w:val="18"/>
                <w:szCs w:val="18"/>
                <w:color w:val="auto"/>
                <w:w w:val="99"/>
              </w:rPr>
              <w:t>101.SCH</w:t>
            </w:r>
          </w:p>
        </w:tc>
        <w:tc>
          <w:tcPr>
            <w:tcW w:w="4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9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176"/>
        </w:trPr>
        <w:tc>
          <w:tcPr>
            <w:tcW w:w="1180" w:type="dxa"/>
            <w:vAlign w:val="bottom"/>
          </w:tcPr>
          <w:p>
            <w:pPr>
              <w:jc w:val="center"/>
              <w:ind w:left="35"/>
              <w:spacing w:after="0" w:line="176" w:lineRule="exact"/>
              <w:rPr>
                <w:sz w:val="20"/>
                <w:szCs w:val="20"/>
                <w:color w:val="auto"/>
              </w:rPr>
            </w:pPr>
            <w:r>
              <w:rPr>
                <w:rFonts w:ascii="Times New Roman" w:cs="Times New Roman" w:eastAsia="Times New Roman" w:hAnsi="Times New Roman"/>
                <w:sz w:val="18"/>
                <w:szCs w:val="18"/>
                <w:color w:val="auto"/>
                <w:w w:val="97"/>
              </w:rPr>
              <w:t>101.CAL</w:t>
            </w:r>
          </w:p>
        </w:tc>
        <w:tc>
          <w:tcPr>
            <w:tcW w:w="4440" w:type="dxa"/>
            <w:vAlign w:val="bottom"/>
          </w:tcPr>
          <w:p>
            <w:pPr>
              <w:ind w:left="120"/>
              <w:spacing w:after="0" w:line="176" w:lineRule="exact"/>
              <w:rPr>
                <w:sz w:val="20"/>
                <w:szCs w:val="20"/>
                <w:color w:val="auto"/>
              </w:rPr>
            </w:pPr>
            <w:r>
              <w:rPr>
                <w:rFonts w:ascii="Times New Roman" w:cs="Times New Roman" w:eastAsia="Times New Roman" w:hAnsi="Times New Roman"/>
                <w:sz w:val="18"/>
                <w:szCs w:val="18"/>
                <w:color w:val="auto"/>
              </w:rPr>
              <w:t>Inline XBRL Taxonomy Extension Calculation Linkbase</w:t>
            </w:r>
          </w:p>
        </w:tc>
        <w:tc>
          <w:tcPr>
            <w:tcW w:w="9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28"/>
        </w:trPr>
        <w:tc>
          <w:tcPr>
            <w:tcW w:w="1180" w:type="dxa"/>
            <w:vAlign w:val="bottom"/>
          </w:tcPr>
          <w:p>
            <w:pPr>
              <w:spacing w:after="0"/>
              <w:rPr>
                <w:sz w:val="19"/>
                <w:szCs w:val="19"/>
                <w:color w:val="auto"/>
              </w:rPr>
            </w:pPr>
          </w:p>
        </w:tc>
        <w:tc>
          <w:tcPr>
            <w:tcW w:w="4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Document</w:t>
            </w:r>
          </w:p>
        </w:tc>
        <w:tc>
          <w:tcPr>
            <w:tcW w:w="9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9"/>
        </w:trPr>
        <w:tc>
          <w:tcPr>
            <w:tcW w:w="1180" w:type="dxa"/>
            <w:vAlign w:val="bottom"/>
          </w:tcPr>
          <w:p>
            <w:pPr>
              <w:jc w:val="center"/>
              <w:ind w:left="35"/>
              <w:spacing w:after="0" w:line="179" w:lineRule="exact"/>
              <w:rPr>
                <w:sz w:val="20"/>
                <w:szCs w:val="20"/>
                <w:color w:val="auto"/>
              </w:rPr>
            </w:pPr>
            <w:r>
              <w:rPr>
                <w:rFonts w:ascii="Times New Roman" w:cs="Times New Roman" w:eastAsia="Times New Roman" w:hAnsi="Times New Roman"/>
                <w:sz w:val="18"/>
                <w:szCs w:val="18"/>
                <w:color w:val="auto"/>
                <w:w w:val="94"/>
              </w:rPr>
              <w:t>101.DEF</w:t>
            </w:r>
          </w:p>
        </w:tc>
        <w:tc>
          <w:tcPr>
            <w:tcW w:w="4440" w:type="dxa"/>
            <w:vAlign w:val="bottom"/>
          </w:tcPr>
          <w:p>
            <w:pPr>
              <w:ind w:left="120"/>
              <w:spacing w:after="0" w:line="179" w:lineRule="exact"/>
              <w:rPr>
                <w:sz w:val="20"/>
                <w:szCs w:val="20"/>
                <w:color w:val="auto"/>
              </w:rPr>
            </w:pPr>
            <w:r>
              <w:rPr>
                <w:rFonts w:ascii="Times New Roman" w:cs="Times New Roman" w:eastAsia="Times New Roman" w:hAnsi="Times New Roman"/>
                <w:sz w:val="18"/>
                <w:szCs w:val="18"/>
                <w:color w:val="auto"/>
              </w:rPr>
              <w:t>Inline XBRL Taxonomy Extension Definition Linkbase</w:t>
            </w:r>
          </w:p>
        </w:tc>
        <w:tc>
          <w:tcPr>
            <w:tcW w:w="9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900" w:type="dxa"/>
            <w:vAlign w:val="bottom"/>
          </w:tcPr>
          <w:p>
            <w:pPr>
              <w:jc w:val="center"/>
              <w:spacing w:after="0" w:line="179" w:lineRule="exact"/>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28"/>
        </w:trPr>
        <w:tc>
          <w:tcPr>
            <w:tcW w:w="1180" w:type="dxa"/>
            <w:vAlign w:val="bottom"/>
          </w:tcPr>
          <w:p>
            <w:pPr>
              <w:spacing w:after="0"/>
              <w:rPr>
                <w:sz w:val="19"/>
                <w:szCs w:val="19"/>
                <w:color w:val="auto"/>
              </w:rPr>
            </w:pPr>
          </w:p>
        </w:tc>
        <w:tc>
          <w:tcPr>
            <w:tcW w:w="4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Document</w:t>
            </w:r>
          </w:p>
        </w:tc>
        <w:tc>
          <w:tcPr>
            <w:tcW w:w="9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9"/>
        </w:trPr>
        <w:tc>
          <w:tcPr>
            <w:tcW w:w="1180" w:type="dxa"/>
            <w:vAlign w:val="bottom"/>
          </w:tcPr>
          <w:p>
            <w:pPr>
              <w:jc w:val="center"/>
              <w:ind w:left="35"/>
              <w:spacing w:after="0" w:line="179" w:lineRule="exact"/>
              <w:rPr>
                <w:sz w:val="20"/>
                <w:szCs w:val="20"/>
                <w:color w:val="auto"/>
              </w:rPr>
            </w:pPr>
            <w:r>
              <w:rPr>
                <w:rFonts w:ascii="Times New Roman" w:cs="Times New Roman" w:eastAsia="Times New Roman" w:hAnsi="Times New Roman"/>
                <w:sz w:val="18"/>
                <w:szCs w:val="18"/>
                <w:color w:val="auto"/>
                <w:w w:val="97"/>
              </w:rPr>
              <w:t>101.LAB</w:t>
            </w:r>
          </w:p>
        </w:tc>
        <w:tc>
          <w:tcPr>
            <w:tcW w:w="4440" w:type="dxa"/>
            <w:vAlign w:val="bottom"/>
          </w:tcPr>
          <w:p>
            <w:pPr>
              <w:ind w:left="120"/>
              <w:spacing w:after="0" w:line="179" w:lineRule="exact"/>
              <w:rPr>
                <w:sz w:val="20"/>
                <w:szCs w:val="20"/>
                <w:color w:val="auto"/>
              </w:rPr>
            </w:pPr>
            <w:r>
              <w:rPr>
                <w:rFonts w:ascii="Times New Roman" w:cs="Times New Roman" w:eastAsia="Times New Roman" w:hAnsi="Times New Roman"/>
                <w:sz w:val="18"/>
                <w:szCs w:val="18"/>
                <w:color w:val="auto"/>
              </w:rPr>
              <w:t>Inline XBRL Taxonomy Extension Label Linkbase</w:t>
            </w:r>
          </w:p>
        </w:tc>
        <w:tc>
          <w:tcPr>
            <w:tcW w:w="9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900" w:type="dxa"/>
            <w:vAlign w:val="bottom"/>
          </w:tcPr>
          <w:p>
            <w:pPr>
              <w:jc w:val="center"/>
              <w:spacing w:after="0" w:line="179" w:lineRule="exact"/>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28"/>
        </w:trPr>
        <w:tc>
          <w:tcPr>
            <w:tcW w:w="1180" w:type="dxa"/>
            <w:vAlign w:val="bottom"/>
          </w:tcPr>
          <w:p>
            <w:pPr>
              <w:spacing w:after="0"/>
              <w:rPr>
                <w:sz w:val="19"/>
                <w:szCs w:val="19"/>
                <w:color w:val="auto"/>
              </w:rPr>
            </w:pPr>
          </w:p>
        </w:tc>
        <w:tc>
          <w:tcPr>
            <w:tcW w:w="4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Document</w:t>
            </w:r>
          </w:p>
        </w:tc>
        <w:tc>
          <w:tcPr>
            <w:tcW w:w="9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9"/>
        </w:trPr>
        <w:tc>
          <w:tcPr>
            <w:tcW w:w="1180" w:type="dxa"/>
            <w:vAlign w:val="bottom"/>
          </w:tcPr>
          <w:p>
            <w:pPr>
              <w:jc w:val="center"/>
              <w:ind w:left="35"/>
              <w:spacing w:after="0" w:line="179" w:lineRule="exact"/>
              <w:rPr>
                <w:sz w:val="20"/>
                <w:szCs w:val="20"/>
                <w:color w:val="auto"/>
              </w:rPr>
            </w:pPr>
            <w:r>
              <w:rPr>
                <w:rFonts w:ascii="Times New Roman" w:cs="Times New Roman" w:eastAsia="Times New Roman" w:hAnsi="Times New Roman"/>
                <w:sz w:val="18"/>
                <w:szCs w:val="18"/>
                <w:color w:val="auto"/>
                <w:w w:val="96"/>
              </w:rPr>
              <w:t>101.PRE</w:t>
            </w:r>
          </w:p>
        </w:tc>
        <w:tc>
          <w:tcPr>
            <w:tcW w:w="4440" w:type="dxa"/>
            <w:vAlign w:val="bottom"/>
          </w:tcPr>
          <w:p>
            <w:pPr>
              <w:ind w:left="120"/>
              <w:spacing w:after="0" w:line="179" w:lineRule="exact"/>
              <w:rPr>
                <w:sz w:val="20"/>
                <w:szCs w:val="20"/>
                <w:color w:val="auto"/>
              </w:rPr>
            </w:pPr>
            <w:r>
              <w:rPr>
                <w:rFonts w:ascii="Times New Roman" w:cs="Times New Roman" w:eastAsia="Times New Roman" w:hAnsi="Times New Roman"/>
                <w:sz w:val="18"/>
                <w:szCs w:val="18"/>
                <w:color w:val="auto"/>
              </w:rPr>
              <w:t>Inline XBRL Taxonomy Extension Presentation Linkbase</w:t>
            </w:r>
          </w:p>
        </w:tc>
        <w:tc>
          <w:tcPr>
            <w:tcW w:w="9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900" w:type="dxa"/>
            <w:vAlign w:val="bottom"/>
          </w:tcPr>
          <w:p>
            <w:pPr>
              <w:jc w:val="center"/>
              <w:spacing w:after="0" w:line="179" w:lineRule="exact"/>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28"/>
        </w:trPr>
        <w:tc>
          <w:tcPr>
            <w:tcW w:w="1180" w:type="dxa"/>
            <w:vAlign w:val="bottom"/>
          </w:tcPr>
          <w:p>
            <w:pPr>
              <w:spacing w:after="0"/>
              <w:rPr>
                <w:sz w:val="19"/>
                <w:szCs w:val="19"/>
                <w:color w:val="auto"/>
              </w:rPr>
            </w:pPr>
          </w:p>
        </w:tc>
        <w:tc>
          <w:tcPr>
            <w:tcW w:w="4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Document</w:t>
            </w:r>
          </w:p>
        </w:tc>
        <w:tc>
          <w:tcPr>
            <w:tcW w:w="9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3" w:lineRule="exact"/>
        <w:rPr>
          <w:sz w:val="20"/>
          <w:szCs w:val="20"/>
          <w:color w:val="auto"/>
        </w:rPr>
      </w:pPr>
    </w:p>
    <w:p>
      <w:pPr>
        <w:ind w:left="1300" w:right="5240" w:hanging="783"/>
        <w:spacing w:after="0" w:line="225" w:lineRule="auto"/>
        <w:tabs>
          <w:tab w:leader="none" w:pos="130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with applicable taxonomy extension information contained in Exhibits 101)</w:t>
      </w:r>
    </w:p>
    <w:p>
      <w:pPr>
        <w:spacing w:after="0" w:line="310"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Indicates a management contract or compensatory plan or arrangement.</w:t>
      </w:r>
    </w:p>
    <w:p>
      <w:pPr>
        <w:spacing w:after="0" w:line="21" w:lineRule="exact"/>
        <w:rPr>
          <w:sz w:val="20"/>
          <w:szCs w:val="20"/>
          <w:color w:val="auto"/>
        </w:rPr>
      </w:pPr>
    </w:p>
    <w:p>
      <w:pPr>
        <w:ind w:right="60" w:firstLine="5"/>
        <w:spacing w:after="0" w:line="247" w:lineRule="auto"/>
        <w:tabs>
          <w:tab w:leader="none" w:pos="126"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Portions of this exhibit have been omitted because such information is not material and is the type of information that the Registrant treats as private or 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67310</wp:posOffset>
            </wp:positionV>
            <wp:extent cx="7161530"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1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0760"/>
          </w:cols>
          <w:pgMar w:left="320" w:top="126" w:right="81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41"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54"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15, 2024</w:t>
            </w:r>
          </w:p>
        </w:tc>
        <w:tc>
          <w:tcPr>
            <w:tcW w:w="2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6"/>
              </w:rPr>
              <w:t>SKYWORKS SOLUTIONS, INC.</w:t>
            </w:r>
          </w:p>
        </w:tc>
      </w:tr>
      <w:tr>
        <w:trPr>
          <w:trHeight w:val="242"/>
        </w:trPr>
        <w:tc>
          <w:tcPr>
            <w:tcW w:w="6360" w:type="dxa"/>
            <w:vAlign w:val="bottom"/>
          </w:tcPr>
          <w:p>
            <w:pPr>
              <w:spacing w:after="0"/>
              <w:rPr>
                <w:sz w:val="21"/>
                <w:szCs w:val="21"/>
                <w:color w:val="auto"/>
              </w:rPr>
            </w:pPr>
          </w:p>
        </w:tc>
        <w:tc>
          <w:tcPr>
            <w:tcW w:w="2440" w:type="dxa"/>
            <w:vAlign w:val="bottom"/>
          </w:tcPr>
          <w:p>
            <w:pPr>
              <w:spacing w:after="0"/>
              <w:rPr>
                <w:sz w:val="20"/>
                <w:szCs w:val="20"/>
                <w:color w:val="auto"/>
              </w:rPr>
            </w:pPr>
            <w:r>
              <w:rPr>
                <w:rFonts w:ascii="Times New Roman" w:cs="Times New Roman" w:eastAsia="Times New Roman" w:hAnsi="Times New Roman"/>
                <w:sz w:val="18"/>
                <w:szCs w:val="18"/>
                <w:color w:val="auto"/>
              </w:rPr>
              <w:t>Registrant</w:t>
            </w:r>
          </w:p>
        </w:tc>
      </w:tr>
      <w:tr>
        <w:trPr>
          <w:trHeight w:val="486"/>
        </w:trPr>
        <w:tc>
          <w:tcPr>
            <w:tcW w:w="6360" w:type="dxa"/>
            <w:vAlign w:val="bottom"/>
          </w:tcPr>
          <w:p>
            <w:pPr>
              <w:spacing w:after="0"/>
              <w:rPr>
                <w:sz w:val="24"/>
                <w:szCs w:val="24"/>
                <w:color w:val="auto"/>
              </w:rPr>
            </w:pPr>
          </w:p>
        </w:tc>
        <w:tc>
          <w:tcPr>
            <w:tcW w:w="2440" w:type="dxa"/>
            <w:vAlign w:val="bottom"/>
          </w:tcPr>
          <w:p>
            <w:pPr>
              <w:spacing w:after="0"/>
              <w:rPr>
                <w:sz w:val="20"/>
                <w:szCs w:val="20"/>
                <w:color w:val="auto"/>
              </w:rPr>
            </w:pPr>
            <w:r>
              <w:rPr>
                <w:rFonts w:ascii="Times New Roman" w:cs="Times New Roman" w:eastAsia="Times New Roman" w:hAnsi="Times New Roman"/>
                <w:sz w:val="18"/>
                <w:szCs w:val="18"/>
                <w:color w:val="auto"/>
              </w:rPr>
              <w:t>By:   /s/ Liam K. Griffin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4338320</wp:posOffset>
            </wp:positionH>
            <wp:positionV relativeFrom="paragraph">
              <wp:posOffset>635</wp:posOffset>
            </wp:positionV>
            <wp:extent cx="280098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11">
                      <a:extLst>
                        <a:ext uri="{28A0092B-C50C-407E-A947-70E740481C1C}"/>
                      </a:extLst>
                    </a:blip>
                    <a:srcRect/>
                    <a:stretch>
                      <a:fillRect/>
                    </a:stretch>
                  </pic:blipFill>
                  <pic:spPr bwMode="auto">
                    <a:xfrm>
                      <a:off x="0" y="0"/>
                      <a:ext cx="2800985" cy="8255"/>
                    </a:xfrm>
                    <a:prstGeom prst="rect">
                      <a:avLst/>
                    </a:prstGeom>
                    <a:noFill/>
                  </pic:spPr>
                </pic:pic>
              </a:graphicData>
            </a:graphic>
          </wp:anchor>
        </w:drawing>
      </w:r>
    </w:p>
    <w:p>
      <w:pPr>
        <w:ind w:left="6840"/>
        <w:spacing w:after="0"/>
        <w:rPr>
          <w:sz w:val="20"/>
          <w:szCs w:val="20"/>
          <w:color w:val="auto"/>
        </w:rPr>
      </w:pPr>
      <w:r>
        <w:rPr>
          <w:rFonts w:ascii="Times New Roman" w:cs="Times New Roman" w:eastAsia="Times New Roman" w:hAnsi="Times New Roman"/>
          <w:sz w:val="18"/>
          <w:szCs w:val="18"/>
          <w:color w:val="auto"/>
        </w:rPr>
        <w:t>Liam K. Griffin</w:t>
      </w:r>
    </w:p>
    <w:p>
      <w:pPr>
        <w:spacing w:after="0" w:line="21"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8"/>
          <w:szCs w:val="18"/>
          <w:color w:val="auto"/>
        </w:rPr>
        <w:t>Chairman, Chief Executive Officer and President</w:t>
      </w:r>
    </w:p>
    <w:p>
      <w:pPr>
        <w:spacing w:after="0" w:line="16"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67310</wp:posOffset>
            </wp:positionV>
            <wp:extent cx="7161530"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1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indicated on November 15, 2024.</w:t>
      </w:r>
    </w:p>
    <w:p>
      <w:pPr>
        <w:sectPr>
          <w:pgSz w:w="11900" w:h="16838" w:orient="portrait"/>
          <w:cols w:equalWidth="0" w:num="1">
            <w:col w:w="11240"/>
          </w:cols>
          <w:pgMar w:left="320" w:top="126" w:right="339" w:bottom="1440" w:gutter="0" w:footer="0" w:header="0"/>
        </w:sectPr>
      </w:pPr>
    </w:p>
    <w:p>
      <w:pPr>
        <w:spacing w:after="0" w:line="235"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8"/>
          <w:szCs w:val="18"/>
          <w:color w:val="auto"/>
        </w:rPr>
        <w:t>Signature and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wp:posOffset>
            </wp:positionV>
            <wp:extent cx="305943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13">
                      <a:extLst>
                        <a:ext uri="{28A0092B-C50C-407E-A947-70E740481C1C}"/>
                      </a:extLst>
                    </a:blip>
                    <a:srcRect/>
                    <a:stretch>
                      <a:fillRect/>
                    </a:stretch>
                  </pic:blipFill>
                  <pic:spPr bwMode="auto">
                    <a:xfrm>
                      <a:off x="0" y="0"/>
                      <a:ext cx="3059430" cy="8255"/>
                    </a:xfrm>
                    <a:prstGeom prst="rect">
                      <a:avLst/>
                    </a:prstGeom>
                    <a:noFill/>
                  </pic:spPr>
                </pic:pic>
              </a:graphicData>
            </a:graphic>
          </wp:anchor>
        </w:drawing>
      </w:r>
    </w:p>
    <w:p>
      <w:pPr>
        <w:spacing w:after="0" w:line="25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Liam K. Griffin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wp:posOffset>
            </wp:positionV>
            <wp:extent cx="305943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14">
                      <a:extLst>
                        <a:ext uri="{28A0092B-C50C-407E-A947-70E740481C1C}"/>
                      </a:extLst>
                    </a:blip>
                    <a:srcRect/>
                    <a:stretch>
                      <a:fillRect/>
                    </a:stretch>
                  </pic:blipFill>
                  <pic:spPr bwMode="auto">
                    <a:xfrm>
                      <a:off x="0" y="0"/>
                      <a:ext cx="3059430" cy="8255"/>
                    </a:xfrm>
                    <a:prstGeom prst="rect">
                      <a:avLst/>
                    </a:prstGeom>
                    <a:noFill/>
                  </pic:spPr>
                </pic:pic>
              </a:graphicData>
            </a:graphic>
          </wp:anchor>
        </w:drawing>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Liam K. Griffin</w:t>
      </w:r>
    </w:p>
    <w:p>
      <w:pPr>
        <w:spacing w:after="0" w:line="21" w:lineRule="exact"/>
        <w:rPr>
          <w:sz w:val="20"/>
          <w:szCs w:val="20"/>
          <w:color w:val="auto"/>
        </w:rPr>
      </w:pPr>
    </w:p>
    <w:p>
      <w:pPr>
        <w:ind w:left="20" w:right="2240"/>
        <w:spacing w:after="0" w:line="277" w:lineRule="auto"/>
        <w:rPr>
          <w:sz w:val="20"/>
          <w:szCs w:val="20"/>
          <w:color w:val="auto"/>
        </w:rPr>
      </w:pPr>
      <w:r>
        <w:rPr>
          <w:rFonts w:ascii="Times New Roman" w:cs="Times New Roman" w:eastAsia="Times New Roman" w:hAnsi="Times New Roman"/>
          <w:sz w:val="18"/>
          <w:szCs w:val="18"/>
          <w:color w:val="auto"/>
        </w:rPr>
        <w:t>Chairman, Chief Executive Officer and President (Principal Executive Officer)</w:t>
      </w:r>
    </w:p>
    <w:p>
      <w:pPr>
        <w:spacing w:after="0" w:line="20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Kris Sennesael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wp:posOffset>
            </wp:positionV>
            <wp:extent cx="305943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15">
                      <a:extLst>
                        <a:ext uri="{28A0092B-C50C-407E-A947-70E740481C1C}"/>
                      </a:extLst>
                    </a:blip>
                    <a:srcRect/>
                    <a:stretch>
                      <a:fillRect/>
                    </a:stretch>
                  </pic:blipFill>
                  <pic:spPr bwMode="auto">
                    <a:xfrm>
                      <a:off x="0" y="0"/>
                      <a:ext cx="3059430" cy="8255"/>
                    </a:xfrm>
                    <a:prstGeom prst="rect">
                      <a:avLst/>
                    </a:prstGeom>
                    <a:noFill/>
                  </pic:spPr>
                </pic:pic>
              </a:graphicData>
            </a:graphic>
          </wp:anchor>
        </w:drawing>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Kris Sennesael</w:t>
      </w:r>
    </w:p>
    <w:p>
      <w:pPr>
        <w:spacing w:after="0" w:line="21" w:lineRule="exact"/>
        <w:rPr>
          <w:sz w:val="20"/>
          <w:szCs w:val="20"/>
          <w:color w:val="auto"/>
        </w:rPr>
      </w:pPr>
    </w:p>
    <w:p>
      <w:pPr>
        <w:ind w:left="20" w:right="2200"/>
        <w:spacing w:after="0" w:line="277" w:lineRule="auto"/>
        <w:rPr>
          <w:sz w:val="20"/>
          <w:szCs w:val="20"/>
          <w:color w:val="auto"/>
        </w:rPr>
      </w:pPr>
      <w:r>
        <w:rPr>
          <w:rFonts w:ascii="Times New Roman" w:cs="Times New Roman" w:eastAsia="Times New Roman" w:hAnsi="Times New Roman"/>
          <w:sz w:val="18"/>
          <w:szCs w:val="18"/>
          <w:color w:val="auto"/>
        </w:rPr>
        <w:t>Senior Vice President and Chief Financial Officer (Principal Financial Officer)</w:t>
      </w:r>
    </w:p>
    <w:p>
      <w:pPr>
        <w:spacing w:after="0" w:line="20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Philip Carter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wp:posOffset>
            </wp:positionV>
            <wp:extent cx="305943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16">
                      <a:extLst>
                        <a:ext uri="{28A0092B-C50C-407E-A947-70E740481C1C}"/>
                      </a:extLst>
                    </a:blip>
                    <a:srcRect/>
                    <a:stretch>
                      <a:fillRect/>
                    </a:stretch>
                  </pic:blipFill>
                  <pic:spPr bwMode="auto">
                    <a:xfrm>
                      <a:off x="0" y="0"/>
                      <a:ext cx="3059430" cy="8255"/>
                    </a:xfrm>
                    <a:prstGeom prst="rect">
                      <a:avLst/>
                    </a:prstGeom>
                    <a:noFill/>
                  </pic:spPr>
                </pic:pic>
              </a:graphicData>
            </a:graphic>
          </wp:anchor>
        </w:drawing>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Philip Carter</w:t>
      </w:r>
    </w:p>
    <w:p>
      <w:pPr>
        <w:spacing w:after="0" w:line="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Vice President and Corporate Controller</w:t>
      </w:r>
    </w:p>
    <w:p>
      <w:pPr>
        <w:spacing w:after="0" w:line="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(Principal Accounting Officer)</w:t>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jc w:val="right"/>
        <w:ind w:right="1740"/>
        <w:spacing w:after="0"/>
        <w:rPr>
          <w:sz w:val="20"/>
          <w:szCs w:val="20"/>
          <w:color w:val="auto"/>
        </w:rPr>
      </w:pPr>
      <w:r>
        <w:rPr>
          <w:rFonts w:ascii="Times New Roman" w:cs="Times New Roman" w:eastAsia="Times New Roman" w:hAnsi="Times New Roman"/>
          <w:sz w:val="18"/>
          <w:szCs w:val="18"/>
          <w:color w:val="auto"/>
        </w:rPr>
        <w:t>Signature and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306768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17">
                      <a:extLst>
                        <a:ext uri="{28A0092B-C50C-407E-A947-70E740481C1C}"/>
                      </a:extLst>
                    </a:blip>
                    <a:srcRect/>
                    <a:stretch>
                      <a:fillRect/>
                    </a:stretch>
                  </pic:blipFill>
                  <pic:spPr bwMode="auto">
                    <a:xfrm>
                      <a:off x="0" y="0"/>
                      <a:ext cx="3067685" cy="8255"/>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Alan S. Batey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306768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18">
                      <a:extLst>
                        <a:ext uri="{28A0092B-C50C-407E-A947-70E740481C1C}"/>
                      </a:extLst>
                    </a:blip>
                    <a:srcRect/>
                    <a:stretch>
                      <a:fillRect/>
                    </a:stretch>
                  </pic:blipFill>
                  <pic:spPr bwMode="auto">
                    <a:xfrm>
                      <a:off x="0" y="0"/>
                      <a:ext cx="3067685" cy="8255"/>
                    </a:xfrm>
                    <a:prstGeom prst="rect">
                      <a:avLst/>
                    </a:prstGeom>
                    <a:noFill/>
                  </pic:spPr>
                </pic:pic>
              </a:graphicData>
            </a:graphic>
          </wp:anchor>
        </w:drawing>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Alan S. Batey</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Kevin L. Beebe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306768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19">
                      <a:extLst>
                        <a:ext uri="{28A0092B-C50C-407E-A947-70E740481C1C}"/>
                      </a:extLst>
                    </a:blip>
                    <a:srcRect/>
                    <a:stretch>
                      <a:fillRect/>
                    </a:stretch>
                  </pic:blipFill>
                  <pic:spPr bwMode="auto">
                    <a:xfrm>
                      <a:off x="0" y="0"/>
                      <a:ext cx="3067685" cy="8255"/>
                    </a:xfrm>
                    <a:prstGeom prst="rect">
                      <a:avLst/>
                    </a:prstGeom>
                    <a:noFill/>
                  </pic:spPr>
                </pic:pic>
              </a:graphicData>
            </a:graphic>
          </wp:anchor>
        </w:drawing>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Kevin L. Beebe</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Eric J. Guerin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306768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20">
                      <a:extLst>
                        <a:ext uri="{28A0092B-C50C-407E-A947-70E740481C1C}"/>
                      </a:extLst>
                    </a:blip>
                    <a:srcRect/>
                    <a:stretch>
                      <a:fillRect/>
                    </a:stretch>
                  </pic:blipFill>
                  <pic:spPr bwMode="auto">
                    <a:xfrm>
                      <a:off x="0" y="0"/>
                      <a:ext cx="3067685" cy="8255"/>
                    </a:xfrm>
                    <a:prstGeom prst="rect">
                      <a:avLst/>
                    </a:prstGeom>
                    <a:noFill/>
                  </pic:spPr>
                </pic:pic>
              </a:graphicData>
            </a:graphic>
          </wp:anchor>
        </w:drawing>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Eric J. Guerin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Christine 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306768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21">
                      <a:extLst>
                        <a:ext uri="{28A0092B-C50C-407E-A947-70E740481C1C}"/>
                      </a:extLst>
                    </a:blip>
                    <a:srcRect/>
                    <a:stretch>
                      <a:fillRect/>
                    </a:stretch>
                  </pic:blipFill>
                  <pic:spPr bwMode="auto">
                    <a:xfrm>
                      <a:off x="0" y="0"/>
                      <a:ext cx="3067685" cy="8255"/>
                    </a:xfrm>
                    <a:prstGeom prst="rect">
                      <a:avLst/>
                    </a:prstGeom>
                    <a:noFill/>
                  </pic:spPr>
                </pic:pic>
              </a:graphicData>
            </a:graphic>
          </wp:anchor>
        </w:drawing>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Christine King</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Suzanne E. McBride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306768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22">
                      <a:extLst>
                        <a:ext uri="{28A0092B-C50C-407E-A947-70E740481C1C}"/>
                      </a:extLst>
                    </a:blip>
                    <a:srcRect/>
                    <a:stretch>
                      <a:fillRect/>
                    </a:stretch>
                  </pic:blipFill>
                  <pic:spPr bwMode="auto">
                    <a:xfrm>
                      <a:off x="0" y="0"/>
                      <a:ext cx="3067685" cy="8255"/>
                    </a:xfrm>
                    <a:prstGeom prst="rect">
                      <a:avLst/>
                    </a:prstGeom>
                    <a:noFill/>
                  </pic:spPr>
                </pic:pic>
              </a:graphicData>
            </a:graphic>
          </wp:anchor>
        </w:drawing>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Suzanne E. McBride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David P. McGlade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306768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23">
                      <a:extLst>
                        <a:ext uri="{28A0092B-C50C-407E-A947-70E740481C1C}"/>
                      </a:extLst>
                    </a:blip>
                    <a:srcRect/>
                    <a:stretch>
                      <a:fillRect/>
                    </a:stretch>
                  </pic:blipFill>
                  <pic:spPr bwMode="auto">
                    <a:xfrm>
                      <a:off x="0" y="0"/>
                      <a:ext cx="3067685" cy="8255"/>
                    </a:xfrm>
                    <a:prstGeom prst="rect">
                      <a:avLst/>
                    </a:prstGeom>
                    <a:noFill/>
                  </pic:spPr>
                </pic:pic>
              </a:graphicData>
            </a:graphic>
          </wp:anchor>
        </w:drawing>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David P. McGlade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Robert A. Schriesheim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306768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24">
                      <a:extLst>
                        <a:ext uri="{28A0092B-C50C-407E-A947-70E740481C1C}"/>
                      </a:extLst>
                    </a:blip>
                    <a:srcRect/>
                    <a:stretch>
                      <a:fillRect/>
                    </a:stretch>
                  </pic:blipFill>
                  <pic:spPr bwMode="auto">
                    <a:xfrm>
                      <a:off x="0" y="0"/>
                      <a:ext cx="3067685" cy="8255"/>
                    </a:xfrm>
                    <a:prstGeom prst="rect">
                      <a:avLst/>
                    </a:prstGeom>
                    <a:noFill/>
                  </pic:spPr>
                </pic:pic>
              </a:graphicData>
            </a:graphic>
          </wp:anchor>
        </w:drawing>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Robert A. Schriesheim</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Maryann Turcke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306768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25">
                      <a:extLst>
                        <a:ext uri="{28A0092B-C50C-407E-A947-70E740481C1C}"/>
                      </a:extLst>
                    </a:blip>
                    <a:srcRect/>
                    <a:stretch>
                      <a:fillRect/>
                    </a:stretch>
                  </pic:blipFill>
                  <pic:spPr bwMode="auto">
                    <a:xfrm>
                      <a:off x="0" y="0"/>
                      <a:ext cx="3067685" cy="8255"/>
                    </a:xfrm>
                    <a:prstGeom prst="rect">
                      <a:avLst/>
                    </a:prstGeom>
                    <a:noFill/>
                  </pic:spPr>
                </pic:pic>
              </a:graphicData>
            </a:graphic>
          </wp:anchor>
        </w:drawing>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Maryann Turcke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ectPr>
          <w:pgSz w:w="11900" w:h="16838" w:orient="portrait"/>
          <w:cols w:equalWidth="0" w:num="2">
            <w:col w:w="5700" w:space="720"/>
            <w:col w:w="4820"/>
          </w:cols>
          <w:pgMar w:left="320" w:top="126"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240"/>
          </w:cols>
          <w:pgMar w:left="320" w:top="126" w:right="339" w:bottom="1440" w:gutter="0" w:footer="0" w:header="0"/>
          <w:type w:val="continuous"/>
        </w:sectPr>
      </w:pPr>
    </w:p>
    <w:bookmarkStart w:id="72" w:name="page73"/>
    <w:bookmarkEnd w:id="72"/>
    <w:p>
      <w:pPr>
        <w:jc w:val="right"/>
        <w:spacing w:after="0"/>
        <w:rPr>
          <w:sz w:val="20"/>
          <w:szCs w:val="20"/>
          <w:color w:val="auto"/>
        </w:rPr>
      </w:pPr>
      <w:r>
        <w:rPr>
          <w:rFonts w:ascii="Times New Roman" w:cs="Times New Roman" w:eastAsia="Times New Roman" w:hAnsi="Times New Roman"/>
          <w:sz w:val="18"/>
          <w:szCs w:val="18"/>
          <w:b w:val="1"/>
          <w:bCs w:val="1"/>
          <w:color w:val="auto"/>
        </w:rPr>
        <w:t>Exhibit 10.7</w:t>
      </w:r>
    </w:p>
    <w:p>
      <w:pPr>
        <w:spacing w:after="0" w:line="214" w:lineRule="exact"/>
        <w:rPr>
          <w:sz w:val="20"/>
          <w:szCs w:val="20"/>
          <w:color w:val="auto"/>
        </w:rPr>
      </w:pPr>
    </w:p>
    <w:p>
      <w:pPr>
        <w:jc w:val="center"/>
        <w:spacing w:after="0"/>
        <w:rPr>
          <w:sz w:val="20"/>
          <w:szCs w:val="20"/>
          <w:color w:val="auto"/>
        </w:rPr>
      </w:pPr>
      <w:r>
        <w:rPr>
          <w:rFonts w:ascii="Cambria" w:cs="Cambria" w:eastAsia="Cambria" w:hAnsi="Cambria"/>
          <w:sz w:val="35"/>
          <w:szCs w:val="35"/>
          <w:b w:val="1"/>
          <w:bCs w:val="1"/>
          <w:color w:val="auto"/>
        </w:rPr>
        <w:t>SKYWORKS SOLUTIONS, INC.</w:t>
      </w:r>
    </w:p>
    <w:p>
      <w:pPr>
        <w:spacing w:after="0" w:line="98" w:lineRule="exact"/>
        <w:rPr>
          <w:sz w:val="20"/>
          <w:szCs w:val="20"/>
          <w:color w:val="auto"/>
        </w:rPr>
      </w:pPr>
    </w:p>
    <w:p>
      <w:pPr>
        <w:jc w:val="center"/>
        <w:ind w:right="40"/>
        <w:spacing w:after="0" w:line="254" w:lineRule="auto"/>
        <w:rPr>
          <w:sz w:val="20"/>
          <w:szCs w:val="20"/>
          <w:color w:val="auto"/>
        </w:rPr>
      </w:pPr>
      <w:r>
        <w:rPr>
          <w:rFonts w:ascii="Cambria" w:cs="Cambria" w:eastAsia="Cambria" w:hAnsi="Cambria"/>
          <w:sz w:val="24"/>
          <w:szCs w:val="24"/>
          <w:b w:val="1"/>
          <w:bCs w:val="1"/>
          <w:color w:val="auto"/>
        </w:rPr>
        <w:t>NONSTATUTORY STOCK OPTION AGREEMENT GRANTED UNDER SECOND AMENDED AND RESTATED 2015 LONG-TERM INCENTIVE PLAN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Date (the “Grant Date”): [ ]</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Name (the “Participant”): [ ]</w:t>
      </w:r>
    </w:p>
    <w:p>
      <w:pPr>
        <w:spacing w:after="0" w:line="231" w:lineRule="exact"/>
        <w:rPr>
          <w:sz w:val="20"/>
          <w:szCs w:val="20"/>
          <w:color w:val="auto"/>
        </w:rPr>
      </w:pPr>
    </w:p>
    <w:p>
      <w:pPr>
        <w:spacing w:after="0"/>
        <w:tabs>
          <w:tab w:leader="none" w:pos="4060" w:val="left"/>
        </w:tabs>
        <w:rPr>
          <w:sz w:val="20"/>
          <w:szCs w:val="20"/>
          <w:color w:val="auto"/>
        </w:rPr>
      </w:pPr>
      <w:r>
        <w:rPr>
          <w:rFonts w:ascii="Times New Roman" w:cs="Times New Roman" w:eastAsia="Times New Roman" w:hAnsi="Times New Roman"/>
          <w:sz w:val="21"/>
          <w:szCs w:val="21"/>
          <w:color w:val="auto"/>
        </w:rPr>
        <w:t>Award (the “Award”): options to purchase [</w:t>
      </w:r>
      <w:r>
        <w:rPr>
          <w:sz w:val="20"/>
          <w:szCs w:val="20"/>
          <w:color w:val="auto"/>
        </w:rPr>
        <w:tab/>
      </w:r>
      <w:r>
        <w:rPr>
          <w:rFonts w:ascii="Times New Roman" w:cs="Times New Roman" w:eastAsia="Times New Roman" w:hAnsi="Times New Roman"/>
          <w:sz w:val="21"/>
          <w:szCs w:val="21"/>
          <w:color w:val="auto"/>
        </w:rPr>
        <w:t>] shares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Exercise Price (the “Exercise Price”): [____] per share</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Final Exercise Date (the “Final Exercise Date”): [ ]</w:t>
      </w:r>
    </w:p>
    <w:p>
      <w:pPr>
        <w:spacing w:after="0" w:line="218" w:lineRule="exact"/>
        <w:rPr>
          <w:sz w:val="20"/>
          <w:szCs w:val="20"/>
          <w:color w:val="auto"/>
        </w:rPr>
      </w:pPr>
    </w:p>
    <w:p>
      <w:pPr>
        <w:ind w:firstLine="630"/>
        <w:spacing w:after="0" w:line="281" w:lineRule="auto"/>
        <w:rPr>
          <w:sz w:val="20"/>
          <w:szCs w:val="20"/>
          <w:color w:val="auto"/>
        </w:rPr>
      </w:pPr>
      <w:r>
        <w:rPr>
          <w:rFonts w:ascii="Times New Roman" w:cs="Times New Roman" w:eastAsia="Times New Roman" w:hAnsi="Times New Roman"/>
          <w:sz w:val="21"/>
          <w:szCs w:val="21"/>
          <w:color w:val="auto"/>
        </w:rPr>
        <w:t>AGREEMENT made on the Grant Date, between Skyworks Solutions, Inc., a Delaware corporation (the “Company”), and the Participant.</w:t>
      </w:r>
    </w:p>
    <w:p>
      <w:pPr>
        <w:spacing w:after="0" w:line="15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For good and valuable consideration, receipt of which is acknowledged, the parties hereto agree as follows:</w:t>
      </w:r>
    </w:p>
    <w:p>
      <w:pPr>
        <w:spacing w:after="0" w:line="218" w:lineRule="exact"/>
        <w:rPr>
          <w:sz w:val="20"/>
          <w:szCs w:val="20"/>
          <w:color w:val="auto"/>
        </w:rPr>
      </w:pPr>
    </w:p>
    <w:p>
      <w:pPr>
        <w:ind w:left="640" w:hanging="635"/>
        <w:spacing w:after="0"/>
        <w:tabs>
          <w:tab w:leader="none" w:pos="640" w:val="left"/>
        </w:tabs>
        <w:numPr>
          <w:ilvl w:val="0"/>
          <w:numId w:val="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Grant of Option</w:t>
      </w:r>
      <w:r>
        <w:rPr>
          <w:rFonts w:ascii="Times New Roman" w:cs="Times New Roman" w:eastAsia="Times New Roman" w:hAnsi="Times New Roman"/>
          <w:sz w:val="21"/>
          <w:szCs w:val="21"/>
          <w:color w:val="auto"/>
        </w:rPr>
        <w:t>.</w:t>
      </w:r>
    </w:p>
    <w:p>
      <w:pPr>
        <w:spacing w:after="0" w:line="218" w:lineRule="exact"/>
        <w:rPr>
          <w:sz w:val="20"/>
          <w:szCs w:val="20"/>
          <w:color w:val="auto"/>
        </w:rPr>
      </w:pPr>
    </w:p>
    <w:p>
      <w:pPr>
        <w:jc w:val="both"/>
        <w:ind w:firstLine="630"/>
        <w:spacing w:after="0" w:line="254" w:lineRule="auto"/>
        <w:rPr>
          <w:sz w:val="20"/>
          <w:szCs w:val="20"/>
          <w:color w:val="auto"/>
        </w:rPr>
      </w:pPr>
      <w:r>
        <w:rPr>
          <w:rFonts w:ascii="Times New Roman" w:cs="Times New Roman" w:eastAsia="Times New Roman" w:hAnsi="Times New Roman"/>
          <w:sz w:val="21"/>
          <w:szCs w:val="21"/>
          <w:color w:val="auto"/>
        </w:rPr>
        <w:t>This stock option agreement (the “Agreement”) evidences the grant by the Company on the Grant Date to the Participant of the Award. The Award represents an option to purchase, in whole or in part, shares (the “Shares”) of common stock, $0.25 par value per share, of the Company (“Common Stock”) at the Exercise Price, subject to the terms and conditions set forth in this Agreement and in the Company’s Second Amended and Restated 2015 Long-Term Incentive Plan (the “Plan”). Unless earlier terminated, this option shall expire at 5:00 p.m., Eastern Time, on the Final Exercise Date. The Participant agrees that the option shall be subject to the vesting provisions set forth in Section 2 of this Agreement and the restrictions on transfer set forth in Section 5 of this Agreement. If the Participant does not accept this option during the period beginning with the Grant Date and ending on the day that is two (2) business days prior to the first applicable vesting date, as set forth in Section 2, then the option will be forfeited immediately following such period and the Participant will have no further rights with respect to the option or any Shares issuable thereunder.</w:t>
      </w:r>
    </w:p>
    <w:p>
      <w:pPr>
        <w:spacing w:after="0" w:line="175" w:lineRule="exact"/>
        <w:rPr>
          <w:sz w:val="20"/>
          <w:szCs w:val="20"/>
          <w:color w:val="auto"/>
        </w:rPr>
      </w:pPr>
    </w:p>
    <w:p>
      <w:pPr>
        <w:jc w:val="both"/>
        <w:ind w:firstLine="630"/>
        <w:spacing w:after="0" w:line="259" w:lineRule="auto"/>
        <w:rPr>
          <w:sz w:val="20"/>
          <w:szCs w:val="20"/>
          <w:color w:val="auto"/>
        </w:rPr>
      </w:pPr>
      <w:r>
        <w:rPr>
          <w:rFonts w:ascii="Times New Roman" w:cs="Times New Roman" w:eastAsia="Times New Roman" w:hAnsi="Times New Roman"/>
          <w:sz w:val="21"/>
          <w:szCs w:val="21"/>
          <w:color w:val="auto"/>
        </w:rPr>
        <w:t>It is intended that the option evidenced by this Agreement shall not be an incentive stock option as defined in Section 422 of the Internal Revenue Code of 1986, as amended, and any regulations promulgated thereunder (the “Code”). Except as otherwise indicated by the context, the term “Participant”, as used in this Agreement, shall be deemed to include any person who acquires the right to exercise this option validly under its terms.</w:t>
      </w:r>
    </w:p>
    <w:p>
      <w:pPr>
        <w:sectPr>
          <w:pgSz w:w="11900" w:h="16838" w:orient="portrait"/>
          <w:cols w:equalWidth="0" w:num="1">
            <w:col w:w="11240"/>
          </w:cols>
          <w:pgMar w:left="320" w:top="1379" w:right="339" w:bottom="1440" w:gutter="0" w:footer="0" w:header="0"/>
        </w:sectPr>
      </w:pPr>
    </w:p>
    <w:bookmarkStart w:id="73" w:name="page74"/>
    <w:bookmarkEnd w:id="73"/>
    <w:p>
      <w:pPr>
        <w:ind w:left="640" w:hanging="635"/>
        <w:spacing w:after="0"/>
        <w:tabs>
          <w:tab w:leader="none" w:pos="640" w:val="left"/>
        </w:tabs>
        <w:numPr>
          <w:ilvl w:val="0"/>
          <w:numId w:val="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Vesting Schedule</w:t>
      </w:r>
      <w:r>
        <w:rPr>
          <w:rFonts w:ascii="Times New Roman" w:cs="Times New Roman" w:eastAsia="Times New Roman" w:hAnsi="Times New Roman"/>
          <w:sz w:val="21"/>
          <w:szCs w:val="21"/>
          <w:color w:val="auto"/>
        </w:rPr>
        <w:t>.</w:t>
      </w:r>
    </w:p>
    <w:p>
      <w:pPr>
        <w:spacing w:after="0" w:line="218" w:lineRule="exact"/>
        <w:rPr>
          <w:sz w:val="20"/>
          <w:szCs w:val="20"/>
          <w:color w:val="auto"/>
        </w:rPr>
      </w:pPr>
    </w:p>
    <w:p>
      <w:pPr>
        <w:jc w:val="both"/>
        <w:ind w:firstLine="630"/>
        <w:spacing w:after="0" w:line="256" w:lineRule="auto"/>
        <w:rPr>
          <w:sz w:val="20"/>
          <w:szCs w:val="20"/>
          <w:color w:val="auto"/>
        </w:rPr>
      </w:pPr>
      <w:r>
        <w:rPr>
          <w:rFonts w:ascii="Times New Roman" w:cs="Times New Roman" w:eastAsia="Times New Roman" w:hAnsi="Times New Roman"/>
          <w:sz w:val="21"/>
          <w:szCs w:val="21"/>
          <w:color w:val="auto"/>
        </w:rPr>
        <w:t>This option will become exercisable (“vest”) in accordance with the following vesting schedule: as to twenty-five percent (</w:t>
      </w:r>
      <w:r>
        <w:rPr>
          <w:rFonts w:ascii="Times New Roman" w:cs="Times New Roman" w:eastAsia="Times New Roman" w:hAnsi="Times New Roman"/>
          <w:sz w:val="21"/>
          <w:szCs w:val="21"/>
          <w:b w:val="1"/>
          <w:bCs w:val="1"/>
          <w:color w:val="auto"/>
        </w:rPr>
        <w:t>25%)</w:t>
      </w:r>
      <w:r>
        <w:rPr>
          <w:rFonts w:ascii="Times New Roman" w:cs="Times New Roman" w:eastAsia="Times New Roman" w:hAnsi="Times New Roman"/>
          <w:sz w:val="21"/>
          <w:szCs w:val="21"/>
          <w:color w:val="auto"/>
        </w:rPr>
        <w:t xml:space="preserve"> of the original number of Shares on the first anniversary of the Grant Date, as to twenty-five percent (</w:t>
      </w:r>
      <w:r>
        <w:rPr>
          <w:rFonts w:ascii="Times New Roman" w:cs="Times New Roman" w:eastAsia="Times New Roman" w:hAnsi="Times New Roman"/>
          <w:sz w:val="21"/>
          <w:szCs w:val="21"/>
          <w:b w:val="1"/>
          <w:bCs w:val="1"/>
          <w:color w:val="auto"/>
        </w:rPr>
        <w:t>25%)</w:t>
      </w:r>
      <w:r>
        <w:rPr>
          <w:rFonts w:ascii="Times New Roman" w:cs="Times New Roman" w:eastAsia="Times New Roman" w:hAnsi="Times New Roman"/>
          <w:sz w:val="21"/>
          <w:szCs w:val="21"/>
          <w:color w:val="auto"/>
        </w:rPr>
        <w:t xml:space="preserve"> of the original number of Shares on the second anniversary of the Grant Date, as to twenty-five percent (</w:t>
      </w:r>
      <w:r>
        <w:rPr>
          <w:rFonts w:ascii="Times New Roman" w:cs="Times New Roman" w:eastAsia="Times New Roman" w:hAnsi="Times New Roman"/>
          <w:sz w:val="21"/>
          <w:szCs w:val="21"/>
          <w:b w:val="1"/>
          <w:bCs w:val="1"/>
          <w:color w:val="auto"/>
        </w:rPr>
        <w:t>25%)</w:t>
      </w:r>
      <w:r>
        <w:rPr>
          <w:rFonts w:ascii="Times New Roman" w:cs="Times New Roman" w:eastAsia="Times New Roman" w:hAnsi="Times New Roman"/>
          <w:sz w:val="21"/>
          <w:szCs w:val="21"/>
          <w:color w:val="auto"/>
        </w:rPr>
        <w:t xml:space="preserve"> of the original number of Shares on the third anniversary of the Grant Date, and as to twenty-five percent (</w:t>
      </w:r>
      <w:r>
        <w:rPr>
          <w:rFonts w:ascii="Times New Roman" w:cs="Times New Roman" w:eastAsia="Times New Roman" w:hAnsi="Times New Roman"/>
          <w:sz w:val="21"/>
          <w:szCs w:val="21"/>
          <w:b w:val="1"/>
          <w:bCs w:val="1"/>
          <w:color w:val="auto"/>
        </w:rPr>
        <w:t>25%)</w:t>
      </w:r>
      <w:r>
        <w:rPr>
          <w:rFonts w:ascii="Times New Roman" w:cs="Times New Roman" w:eastAsia="Times New Roman" w:hAnsi="Times New Roman"/>
          <w:sz w:val="21"/>
          <w:szCs w:val="21"/>
          <w:color w:val="auto"/>
        </w:rPr>
        <w:t xml:space="preserve"> of the original number of Shares on the fourth anniversary of the Grant Date, provided the Participant continues to provide active service to the Company and/or its subsidiaries and affiliates on each vesting date. The Company shall have the sole discretion to define what constitutes providing active services for vesting purposes (including whether the Participant may still be considered to be providing services while on a leave of absence in accordance with the Company’s leave policies).</w:t>
      </w:r>
    </w:p>
    <w:p>
      <w:pPr>
        <w:spacing w:after="0" w:line="171" w:lineRule="exact"/>
        <w:rPr>
          <w:sz w:val="20"/>
          <w:szCs w:val="20"/>
          <w:color w:val="auto"/>
        </w:rPr>
      </w:pPr>
    </w:p>
    <w:p>
      <w:pPr>
        <w:jc w:val="both"/>
        <w:ind w:firstLine="630"/>
        <w:spacing w:after="0" w:line="264" w:lineRule="auto"/>
        <w:rPr>
          <w:sz w:val="20"/>
          <w:szCs w:val="20"/>
          <w:color w:val="auto"/>
        </w:rPr>
      </w:pPr>
      <w:r>
        <w:rPr>
          <w:rFonts w:ascii="Times New Roman" w:cs="Times New Roman" w:eastAsia="Times New Roman" w:hAnsi="Times New Roman"/>
          <w:sz w:val="21"/>
          <w:szCs w:val="21"/>
          <w:color w:val="auto"/>
        </w:rPr>
        <w:t>The right of exercise shall be cumulative so that to the extent the option is not exercised in any period to the maximum extent permissible it shall continue to be exercisable, in whole or in part, with respect to all Shares for which it is vested until the earlier of the Final Exercise Date or the termination of this option under Section 3 hereof or the Plan.</w:t>
      </w:r>
    </w:p>
    <w:p>
      <w:pPr>
        <w:spacing w:after="0" w:line="161" w:lineRule="exact"/>
        <w:rPr>
          <w:sz w:val="20"/>
          <w:szCs w:val="20"/>
          <w:color w:val="auto"/>
        </w:rPr>
      </w:pPr>
    </w:p>
    <w:p>
      <w:pPr>
        <w:ind w:left="640" w:hanging="635"/>
        <w:spacing w:after="0"/>
        <w:tabs>
          <w:tab w:leader="none" w:pos="640" w:val="left"/>
        </w:tabs>
        <w:numPr>
          <w:ilvl w:val="0"/>
          <w:numId w:val="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Exercise of Option</w:t>
      </w:r>
      <w:r>
        <w:rPr>
          <w:rFonts w:ascii="Times New Roman" w:cs="Times New Roman" w:eastAsia="Times New Roman" w:hAnsi="Times New Roman"/>
          <w:sz w:val="21"/>
          <w:szCs w:val="21"/>
          <w:color w:val="auto"/>
        </w:rPr>
        <w:t>.</w:t>
      </w:r>
    </w:p>
    <w:p>
      <w:pPr>
        <w:spacing w:after="0" w:line="218" w:lineRule="exact"/>
        <w:rPr>
          <w:rFonts w:ascii="Times New Roman" w:cs="Times New Roman" w:eastAsia="Times New Roman" w:hAnsi="Times New Roman"/>
          <w:sz w:val="21"/>
          <w:szCs w:val="21"/>
          <w:color w:val="auto"/>
        </w:rPr>
      </w:pPr>
    </w:p>
    <w:p>
      <w:pPr>
        <w:jc w:val="both"/>
        <w:ind w:firstLine="635"/>
        <w:spacing w:after="0" w:line="259" w:lineRule="auto"/>
        <w:tabs>
          <w:tab w:leader="none" w:pos="1257" w:val="left"/>
        </w:tabs>
        <w:numPr>
          <w:ilvl w:val="1"/>
          <w:numId w:val="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Form of Exercise</w:t>
      </w:r>
      <w:r>
        <w:rPr>
          <w:rFonts w:ascii="Times New Roman" w:cs="Times New Roman" w:eastAsia="Times New Roman" w:hAnsi="Times New Roman"/>
          <w:sz w:val="21"/>
          <w:szCs w:val="21"/>
          <w:color w:val="auto"/>
        </w:rPr>
        <w:t>. Each election to exercise this option shall be in writing, signed by the Participant, or by any other form of notice (including electronic notice) that has been approved by the Company, and received by the Company at its principal office or by a person designated by the Company, accompanied by this Agreement, and payment in full in the manner provided in the Plan. The Participant may purchase less than the number of Shares covered hereby, provided that no partial exercise of this option may be for any fractional share.</w:t>
      </w:r>
    </w:p>
    <w:p>
      <w:pPr>
        <w:spacing w:after="0" w:line="167" w:lineRule="exact"/>
        <w:rPr>
          <w:rFonts w:ascii="Times New Roman" w:cs="Times New Roman" w:eastAsia="Times New Roman" w:hAnsi="Times New Roman"/>
          <w:sz w:val="21"/>
          <w:szCs w:val="21"/>
          <w:color w:val="auto"/>
        </w:rPr>
      </w:pPr>
    </w:p>
    <w:p>
      <w:pPr>
        <w:jc w:val="both"/>
        <w:ind w:firstLine="635"/>
        <w:spacing w:after="0" w:line="263" w:lineRule="auto"/>
        <w:tabs>
          <w:tab w:leader="none" w:pos="1256" w:val="left"/>
        </w:tabs>
        <w:numPr>
          <w:ilvl w:val="1"/>
          <w:numId w:val="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Continuous Relationship with the Company Required</w:t>
      </w:r>
      <w:r>
        <w:rPr>
          <w:rFonts w:ascii="Times New Roman" w:cs="Times New Roman" w:eastAsia="Times New Roman" w:hAnsi="Times New Roman"/>
          <w:sz w:val="21"/>
          <w:szCs w:val="21"/>
          <w:color w:val="auto"/>
        </w:rPr>
        <w:t>. Except as otherwise provided in Section 5(d), 5(e), 11(d), and 11(e) of the Plan, this option may not be exercised unless the Participant, at the time he or she exercises this option, is, and has been at all times since the Grant Date, an employee or officer of, or consultant or advisor to, the Company or any other entity the employees, officers, consultants, or advisors of which are eligible to receive option grants under the Plan (an “Eligible Participant”).</w:t>
      </w:r>
    </w:p>
    <w:p>
      <w:pPr>
        <w:spacing w:after="0" w:line="162" w:lineRule="exact"/>
        <w:rPr>
          <w:rFonts w:ascii="Times New Roman" w:cs="Times New Roman" w:eastAsia="Times New Roman" w:hAnsi="Times New Roman"/>
          <w:sz w:val="21"/>
          <w:szCs w:val="21"/>
          <w:color w:val="auto"/>
        </w:rPr>
      </w:pPr>
    </w:p>
    <w:p>
      <w:pPr>
        <w:ind w:left="640" w:hanging="635"/>
        <w:spacing w:after="0"/>
        <w:tabs>
          <w:tab w:leader="none" w:pos="640" w:val="left"/>
        </w:tabs>
        <w:numPr>
          <w:ilvl w:val="0"/>
          <w:numId w:val="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Withholding</w:t>
      </w:r>
      <w:r>
        <w:rPr>
          <w:rFonts w:ascii="Times New Roman" w:cs="Times New Roman" w:eastAsia="Times New Roman" w:hAnsi="Times New Roman"/>
          <w:sz w:val="21"/>
          <w:szCs w:val="21"/>
          <w:color w:val="auto"/>
        </w:rPr>
        <w:t>.</w:t>
      </w:r>
    </w:p>
    <w:p>
      <w:pPr>
        <w:spacing w:after="0" w:line="218" w:lineRule="exact"/>
        <w:rPr>
          <w:sz w:val="20"/>
          <w:szCs w:val="20"/>
          <w:color w:val="auto"/>
        </w:rPr>
      </w:pPr>
    </w:p>
    <w:p>
      <w:pPr>
        <w:jc w:val="both"/>
        <w:ind w:firstLine="630"/>
        <w:spacing w:after="0" w:line="271" w:lineRule="auto"/>
        <w:rPr>
          <w:sz w:val="20"/>
          <w:szCs w:val="20"/>
          <w:color w:val="auto"/>
        </w:rPr>
      </w:pPr>
      <w:r>
        <w:rPr>
          <w:rFonts w:ascii="Times New Roman" w:cs="Times New Roman" w:eastAsia="Times New Roman" w:hAnsi="Times New Roman"/>
          <w:sz w:val="21"/>
          <w:szCs w:val="21"/>
          <w:color w:val="auto"/>
        </w:rPr>
        <w:t>No Shares will be issued pursuant to the exercise of this option unless and until the Participant pays to the Company, or makes provision satisfactory to the Company for payment of, any federal, state, local or foreign taxes of any kind required by law to be withheld in respect of this option.</w:t>
      </w:r>
    </w:p>
    <w:p>
      <w:pPr>
        <w:spacing w:after="0" w:line="153" w:lineRule="exact"/>
        <w:rPr>
          <w:sz w:val="20"/>
          <w:szCs w:val="20"/>
          <w:color w:val="auto"/>
        </w:rPr>
      </w:pPr>
    </w:p>
    <w:p>
      <w:pPr>
        <w:ind w:left="640" w:hanging="635"/>
        <w:spacing w:after="0"/>
        <w:tabs>
          <w:tab w:leader="none" w:pos="640" w:val="left"/>
        </w:tabs>
        <w:numPr>
          <w:ilvl w:val="0"/>
          <w:numId w:val="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Nontransferability of Option</w:t>
      </w:r>
      <w:r>
        <w:rPr>
          <w:rFonts w:ascii="Times New Roman" w:cs="Times New Roman" w:eastAsia="Times New Roman" w:hAnsi="Times New Roman"/>
          <w:sz w:val="21"/>
          <w:szCs w:val="21"/>
          <w:color w:val="auto"/>
        </w:rPr>
        <w:t>.</w:t>
      </w:r>
    </w:p>
    <w:p>
      <w:pPr>
        <w:spacing w:after="0" w:line="218" w:lineRule="exact"/>
        <w:rPr>
          <w:sz w:val="20"/>
          <w:szCs w:val="20"/>
          <w:color w:val="auto"/>
        </w:rPr>
      </w:pPr>
    </w:p>
    <w:p>
      <w:pPr>
        <w:ind w:firstLine="630"/>
        <w:spacing w:after="0" w:line="281" w:lineRule="auto"/>
        <w:rPr>
          <w:sz w:val="20"/>
          <w:szCs w:val="20"/>
          <w:color w:val="auto"/>
        </w:rPr>
      </w:pPr>
      <w:r>
        <w:rPr>
          <w:rFonts w:ascii="Times New Roman" w:cs="Times New Roman" w:eastAsia="Times New Roman" w:hAnsi="Times New Roman"/>
          <w:sz w:val="21"/>
          <w:szCs w:val="21"/>
          <w:color w:val="auto"/>
        </w:rPr>
        <w:t>This option may not be sold, assigned, transferred, pledged or otherwise encumbered by the Participant, either voluntarily or by operation of law, except by will or the laws of descent</w:t>
      </w:r>
    </w:p>
    <w:p>
      <w:pPr>
        <w:sectPr>
          <w:pgSz w:w="11900" w:h="16838" w:orient="portrait"/>
          <w:cols w:equalWidth="0" w:num="1">
            <w:col w:w="11240"/>
          </w:cols>
          <w:pgMar w:left="320" w:top="1386"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21"/>
          <w:szCs w:val="21"/>
          <w:color w:val="auto"/>
        </w:rPr>
        <w:t>and distribution, and, during the lifetime of the Participant, this option shall be exercisable only by the Participant.</w:t>
      </w:r>
    </w:p>
    <w:p>
      <w:pPr>
        <w:spacing w:after="0" w:line="218" w:lineRule="exact"/>
        <w:rPr>
          <w:sz w:val="20"/>
          <w:szCs w:val="20"/>
          <w:color w:val="auto"/>
        </w:rPr>
      </w:pPr>
    </w:p>
    <w:p>
      <w:pPr>
        <w:ind w:left="640" w:hanging="635"/>
        <w:spacing w:after="0"/>
        <w:tabs>
          <w:tab w:leader="none" w:pos="640" w:val="left"/>
        </w:tabs>
        <w:numPr>
          <w:ilvl w:val="0"/>
          <w:numId w:val="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Provisions of the Plan</w:t>
      </w:r>
      <w:r>
        <w:rPr>
          <w:rFonts w:ascii="Times New Roman" w:cs="Times New Roman" w:eastAsia="Times New Roman" w:hAnsi="Times New Roman"/>
          <w:sz w:val="21"/>
          <w:szCs w:val="21"/>
          <w:color w:val="auto"/>
        </w:rPr>
        <w:t>.</w:t>
      </w:r>
    </w:p>
    <w:p>
      <w:pPr>
        <w:spacing w:after="0" w:line="21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This Agreement is subject to the provisions of the Plan, a copy of which is furnished to the Participant with this Agreement.</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Capitalized terms not otherwise defined in this Agreement shall have the meaning set forth in the Plan.</w:t>
      </w:r>
    </w:p>
    <w:p>
      <w:pPr>
        <w:spacing w:after="0" w:line="205" w:lineRule="exact"/>
        <w:rPr>
          <w:sz w:val="20"/>
          <w:szCs w:val="20"/>
          <w:color w:val="auto"/>
        </w:rPr>
      </w:pPr>
    </w:p>
    <w:p>
      <w:pPr>
        <w:ind w:left="640" w:hanging="635"/>
        <w:spacing w:after="0"/>
        <w:tabs>
          <w:tab w:leader="none" w:pos="640" w:val="left"/>
        </w:tabs>
        <w:numPr>
          <w:ilvl w:val="0"/>
          <w:numId w:val="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Miscellaneous</w:t>
      </w:r>
      <w:r>
        <w:rPr>
          <w:rFonts w:ascii="Times New Roman" w:cs="Times New Roman" w:eastAsia="Times New Roman" w:hAnsi="Times New Roman"/>
          <w:sz w:val="21"/>
          <w:szCs w:val="21"/>
          <w:color w:val="auto"/>
        </w:rPr>
        <w:t>.</w:t>
      </w:r>
    </w:p>
    <w:p>
      <w:pPr>
        <w:spacing w:after="0" w:line="218" w:lineRule="exact"/>
        <w:rPr>
          <w:rFonts w:ascii="Times New Roman" w:cs="Times New Roman" w:eastAsia="Times New Roman" w:hAnsi="Times New Roman"/>
          <w:sz w:val="21"/>
          <w:szCs w:val="21"/>
          <w:color w:val="auto"/>
        </w:rPr>
      </w:pPr>
    </w:p>
    <w:p>
      <w:pPr>
        <w:jc w:val="both"/>
        <w:ind w:firstLine="635"/>
        <w:spacing w:after="0" w:line="259" w:lineRule="auto"/>
        <w:tabs>
          <w:tab w:leader="none" w:pos="1257" w:val="left"/>
        </w:tabs>
        <w:numPr>
          <w:ilvl w:val="1"/>
          <w:numId w:val="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 Advice Regarding Grant</w:t>
      </w:r>
      <w:r>
        <w:rPr>
          <w:rFonts w:ascii="Times New Roman" w:cs="Times New Roman" w:eastAsia="Times New Roman" w:hAnsi="Times New Roman"/>
          <w:sz w:val="21"/>
          <w:szCs w:val="21"/>
          <w:color w:val="auto"/>
        </w:rPr>
        <w:t>. The Participant is hereby advised to consult with the Participant’s own personal tax, legal and financial advisors regarding the Participant’s participation in the Plan before taking any action related to the Plan. The Participant acknowledges and agrees that he or she is relying solely on such advisors and not on any statements or representations of the Company or any of its agents. The Participant understands that the Participant (and not the Company) shall be responsible for the Participant’s own tax liability that may arise as a result of this investment or the transactions contemplated by this Agreement.</w:t>
      </w:r>
    </w:p>
    <w:p>
      <w:pPr>
        <w:spacing w:after="0" w:line="167" w:lineRule="exact"/>
        <w:rPr>
          <w:rFonts w:ascii="Times New Roman" w:cs="Times New Roman" w:eastAsia="Times New Roman" w:hAnsi="Times New Roman"/>
          <w:sz w:val="21"/>
          <w:szCs w:val="21"/>
          <w:color w:val="auto"/>
        </w:rPr>
      </w:pPr>
    </w:p>
    <w:p>
      <w:pPr>
        <w:jc w:val="both"/>
        <w:ind w:firstLine="635"/>
        <w:spacing w:after="0" w:line="259" w:lineRule="auto"/>
        <w:tabs>
          <w:tab w:leader="none" w:pos="1256" w:val="left"/>
        </w:tabs>
        <w:numPr>
          <w:ilvl w:val="1"/>
          <w:numId w:val="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 Rights to Employment</w:t>
      </w:r>
      <w:r>
        <w:rPr>
          <w:rFonts w:ascii="Times New Roman" w:cs="Times New Roman" w:eastAsia="Times New Roman" w:hAnsi="Times New Roman"/>
          <w:sz w:val="21"/>
          <w:szCs w:val="21"/>
          <w:color w:val="auto"/>
        </w:rPr>
        <w:t>. The Participant acknowledges and agrees that the vesting of the option pursuant to Section 2 hereof is earned only by continuing to provide active service to the Company as an Eligible Participant at the will of the Company. The Participant further acknowledges and agrees that the transactions contemplated hereunder and the vesting schedule set forth herein do not constitute an express or implied promise of continued engagement as an employee or consultant for the vesting period, for any period, or at all.</w:t>
      </w:r>
    </w:p>
    <w:p>
      <w:pPr>
        <w:spacing w:after="0" w:line="167" w:lineRule="exact"/>
        <w:rPr>
          <w:rFonts w:ascii="Times New Roman" w:cs="Times New Roman" w:eastAsia="Times New Roman" w:hAnsi="Times New Roman"/>
          <w:sz w:val="21"/>
          <w:szCs w:val="21"/>
          <w:color w:val="auto"/>
        </w:rPr>
      </w:pPr>
    </w:p>
    <w:p>
      <w:pPr>
        <w:jc w:val="both"/>
        <w:ind w:firstLine="635"/>
        <w:spacing w:after="0" w:line="259" w:lineRule="auto"/>
        <w:tabs>
          <w:tab w:leader="none" w:pos="1257" w:val="left"/>
        </w:tabs>
        <w:numPr>
          <w:ilvl w:val="1"/>
          <w:numId w:val="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Clawback Policy</w:t>
      </w:r>
      <w:r>
        <w:rPr>
          <w:rFonts w:ascii="Times New Roman" w:cs="Times New Roman" w:eastAsia="Times New Roman" w:hAnsi="Times New Roman"/>
          <w:sz w:val="21"/>
          <w:szCs w:val="21"/>
          <w:color w:val="auto"/>
        </w:rPr>
        <w:t>. By accepting this Award, the Participant acknowledges and agrees that this option is subject to the provisions of any compensation clawback or recovery policy that the Company has in effect or may adopt in the future. The Participant agrees that in the event it is determined in accordance with any such policy that any compensation or compensatory award granted, earned or paid to the Participant under this Award must be forfeited or reimbursed to the Company, the Participant will promptly take any action necessary to effectuate such forfeiture and/or reimbursement.</w:t>
      </w:r>
    </w:p>
    <w:p>
      <w:pPr>
        <w:spacing w:after="0" w:line="167" w:lineRule="exact"/>
        <w:rPr>
          <w:rFonts w:ascii="Times New Roman" w:cs="Times New Roman" w:eastAsia="Times New Roman" w:hAnsi="Times New Roman"/>
          <w:sz w:val="21"/>
          <w:szCs w:val="21"/>
          <w:color w:val="auto"/>
        </w:rPr>
      </w:pPr>
    </w:p>
    <w:p>
      <w:pPr>
        <w:jc w:val="both"/>
        <w:ind w:firstLine="635"/>
        <w:spacing w:after="0" w:line="255" w:lineRule="auto"/>
        <w:tabs>
          <w:tab w:leader="none" w:pos="1256" w:val="left"/>
        </w:tabs>
        <w:numPr>
          <w:ilvl w:val="1"/>
          <w:numId w:val="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Invention Assignment.</w:t>
      </w:r>
      <w:r>
        <w:rPr>
          <w:rFonts w:ascii="Times New Roman" w:cs="Times New Roman" w:eastAsia="Times New Roman" w:hAnsi="Times New Roman"/>
          <w:sz w:val="21"/>
          <w:szCs w:val="21"/>
          <w:color w:val="auto"/>
        </w:rPr>
        <w:t xml:space="preserve"> The Participant agrees that he or she will promptly disclose to the Company any invention or discovery, whether or not patentable (hereafter termed “invention” or “inventions”) that he or she makes or conceives, or first actually reduces to practice, solely or jointly with others, during the Participant’s service, and which at the time of disclosure to the Company or at the time of making or conceiving, or first actually reducing to practice (a) results from or is related to any assignments given to or assumed by the Participant, or (b) is subject to any contractual obligation of the Company to a third party, or</w:t>
      </w:r>
    </w:p>
    <w:p>
      <w:pPr>
        <w:spacing w:after="0" w:line="1" w:lineRule="exact"/>
        <w:rPr>
          <w:rFonts w:ascii="Times New Roman" w:cs="Times New Roman" w:eastAsia="Times New Roman" w:hAnsi="Times New Roman"/>
          <w:sz w:val="21"/>
          <w:szCs w:val="21"/>
          <w:color w:val="auto"/>
        </w:rPr>
      </w:pPr>
    </w:p>
    <w:p>
      <w:pPr>
        <w:jc w:val="both"/>
        <w:spacing w:after="0" w:line="251"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 utilized the time, equipment, supplies, facilities, or trade secret information of the Company, or (d) pertains to any actual or anticipated Company work, product, research, business activity, or any logical extension thereof, and the Participant will assign and does hereby assign to the Company the Participant’s entire right, title and interest (domestic and foreign and including all rights under</w:t>
      </w:r>
    </w:p>
    <w:p>
      <w:pPr>
        <w:sectPr>
          <w:pgSz w:w="11900" w:h="16838" w:orient="portrait"/>
          <w:cols w:equalWidth="0" w:num="1">
            <w:col w:w="11240"/>
          </w:cols>
          <w:pgMar w:left="320" w:top="1386" w:right="339" w:bottom="1440" w:gutter="0" w:footer="0" w:header="0"/>
        </w:sectPr>
      </w:pPr>
    </w:p>
    <w:bookmarkStart w:id="75" w:name="page76"/>
    <w:bookmarkEnd w:id="75"/>
    <w:p>
      <w:pPr>
        <w:spacing w:after="0" w:line="281" w:lineRule="auto"/>
        <w:rPr>
          <w:sz w:val="20"/>
          <w:szCs w:val="20"/>
          <w:color w:val="auto"/>
        </w:rPr>
      </w:pPr>
      <w:r>
        <w:rPr>
          <w:rFonts w:ascii="Times New Roman" w:cs="Times New Roman" w:eastAsia="Times New Roman" w:hAnsi="Times New Roman"/>
          <w:sz w:val="21"/>
          <w:szCs w:val="21"/>
          <w:color w:val="auto"/>
        </w:rPr>
        <w:t>the International Convention for the Protection of Industrial Property) in all such inventions, subject to the requirements of law, and without further compensation or award of any kind to the Participant from the Company, or any customer.</w:t>
      </w:r>
    </w:p>
    <w:p>
      <w:pPr>
        <w:spacing w:after="0" w:line="143" w:lineRule="exact"/>
        <w:rPr>
          <w:sz w:val="20"/>
          <w:szCs w:val="20"/>
          <w:color w:val="auto"/>
        </w:rPr>
      </w:pPr>
    </w:p>
    <w:p>
      <w:pPr>
        <w:jc w:val="both"/>
        <w:ind w:firstLine="635"/>
        <w:spacing w:after="0" w:line="271" w:lineRule="auto"/>
        <w:tabs>
          <w:tab w:leader="none" w:pos="1257" w:val="left"/>
        </w:tabs>
        <w:numPr>
          <w:ilvl w:val="0"/>
          <w:numId w:val="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Severability</w:t>
      </w:r>
      <w:r>
        <w:rPr>
          <w:rFonts w:ascii="Times New Roman" w:cs="Times New Roman" w:eastAsia="Times New Roman" w:hAnsi="Times New Roman"/>
          <w:sz w:val="21"/>
          <w:szCs w:val="21"/>
          <w:color w:val="auto"/>
        </w:rPr>
        <w:t>. The invalidity or unenforceability of any provision of this Agreement shall not affect the validity or enforceability of any other provision of this Agreement, and each other provision of this Agreement shall be severable and enforceable to the extent permitted by law.</w:t>
      </w:r>
    </w:p>
    <w:p>
      <w:pPr>
        <w:spacing w:after="0" w:line="153" w:lineRule="exact"/>
        <w:rPr>
          <w:rFonts w:ascii="Times New Roman" w:cs="Times New Roman" w:eastAsia="Times New Roman" w:hAnsi="Times New Roman"/>
          <w:sz w:val="21"/>
          <w:szCs w:val="21"/>
          <w:color w:val="auto"/>
        </w:rPr>
      </w:pPr>
    </w:p>
    <w:p>
      <w:pPr>
        <w:ind w:firstLine="635"/>
        <w:spacing w:after="0" w:line="281" w:lineRule="auto"/>
        <w:tabs>
          <w:tab w:leader="none" w:pos="1260" w:val="left"/>
        </w:tabs>
        <w:numPr>
          <w:ilvl w:val="0"/>
          <w:numId w:val="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Waiver</w:t>
      </w:r>
      <w:r>
        <w:rPr>
          <w:rFonts w:ascii="Times New Roman" w:cs="Times New Roman" w:eastAsia="Times New Roman" w:hAnsi="Times New Roman"/>
          <w:sz w:val="21"/>
          <w:szCs w:val="21"/>
          <w:color w:val="auto"/>
        </w:rPr>
        <w:t>. Any provision for the benefit of the Company contained in this Agreement may be waived, either generally or in any particular instance, by the Board of Directors of the Company.</w:t>
      </w:r>
    </w:p>
    <w:p>
      <w:pPr>
        <w:spacing w:after="0" w:line="143" w:lineRule="exact"/>
        <w:rPr>
          <w:rFonts w:ascii="Times New Roman" w:cs="Times New Roman" w:eastAsia="Times New Roman" w:hAnsi="Times New Roman"/>
          <w:sz w:val="21"/>
          <w:szCs w:val="21"/>
          <w:color w:val="auto"/>
        </w:rPr>
      </w:pPr>
    </w:p>
    <w:p>
      <w:pPr>
        <w:jc w:val="both"/>
        <w:ind w:firstLine="635"/>
        <w:spacing w:after="0" w:line="271" w:lineRule="auto"/>
        <w:tabs>
          <w:tab w:leader="none" w:pos="1256" w:val="left"/>
        </w:tabs>
        <w:numPr>
          <w:ilvl w:val="0"/>
          <w:numId w:val="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Binding Effect</w:t>
      </w:r>
      <w:r>
        <w:rPr>
          <w:rFonts w:ascii="Times New Roman" w:cs="Times New Roman" w:eastAsia="Times New Roman" w:hAnsi="Times New Roman"/>
          <w:sz w:val="21"/>
          <w:szCs w:val="21"/>
          <w:color w:val="auto"/>
        </w:rPr>
        <w:t>. This Agreement shall be binding upon and inure to the benefit of the Company and the Participant and their respective heirs, executors, administrators, legal representatives, successors and assigns, subject to the restrictions on transfer set forth in Section 5 of this Agreement.</w:t>
      </w:r>
    </w:p>
    <w:p>
      <w:pPr>
        <w:spacing w:after="0" w:line="153" w:lineRule="exact"/>
        <w:rPr>
          <w:rFonts w:ascii="Times New Roman" w:cs="Times New Roman" w:eastAsia="Times New Roman" w:hAnsi="Times New Roman"/>
          <w:sz w:val="21"/>
          <w:szCs w:val="21"/>
          <w:color w:val="auto"/>
        </w:rPr>
      </w:pPr>
    </w:p>
    <w:p>
      <w:pPr>
        <w:jc w:val="both"/>
        <w:ind w:firstLine="635"/>
        <w:spacing w:after="0" w:line="259" w:lineRule="auto"/>
        <w:tabs>
          <w:tab w:leader="none" w:pos="1256" w:val="left"/>
        </w:tabs>
        <w:numPr>
          <w:ilvl w:val="0"/>
          <w:numId w:val="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Notice</w:t>
      </w:r>
      <w:r>
        <w:rPr>
          <w:rFonts w:ascii="Times New Roman" w:cs="Times New Roman" w:eastAsia="Times New Roman" w:hAnsi="Times New Roman"/>
          <w:sz w:val="21"/>
          <w:szCs w:val="21"/>
          <w:color w:val="auto"/>
        </w:rPr>
        <w:t>. All notices required or permitted hereunder shall be in writing and deemed effectively given upon personal delivery or five days after deposit in the United States Post Office, by registered or certified mail, postage prepaid, addressed to the other party hereto at the address shown beneath his or its respective signature to this Agreement, or at such other address or addresses as either party shall designate to the other in accordance with this Section 7.</w:t>
      </w:r>
    </w:p>
    <w:p>
      <w:pPr>
        <w:spacing w:after="0" w:line="178" w:lineRule="exact"/>
        <w:rPr>
          <w:rFonts w:ascii="Times New Roman" w:cs="Times New Roman" w:eastAsia="Times New Roman" w:hAnsi="Times New Roman"/>
          <w:sz w:val="21"/>
          <w:szCs w:val="21"/>
          <w:color w:val="auto"/>
        </w:rPr>
      </w:pPr>
    </w:p>
    <w:p>
      <w:pPr>
        <w:ind w:firstLine="635"/>
        <w:spacing w:after="0" w:line="281" w:lineRule="auto"/>
        <w:tabs>
          <w:tab w:leader="none" w:pos="1248" w:val="left"/>
        </w:tabs>
        <w:numPr>
          <w:ilvl w:val="0"/>
          <w:numId w:val="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Pronouns</w:t>
      </w:r>
      <w:r>
        <w:rPr>
          <w:rFonts w:ascii="Times New Roman" w:cs="Times New Roman" w:eastAsia="Times New Roman" w:hAnsi="Times New Roman"/>
          <w:sz w:val="21"/>
          <w:szCs w:val="21"/>
          <w:color w:val="auto"/>
        </w:rPr>
        <w:t>. Whenever the context may require, any pronouns used in this Agreement shall include the corresponding masculine, feminine or neuter forms, and the singular form of nouns and pronouns shall include the plural, and vice versa.</w:t>
      </w:r>
    </w:p>
    <w:p>
      <w:pPr>
        <w:spacing w:after="0" w:line="143" w:lineRule="exact"/>
        <w:rPr>
          <w:rFonts w:ascii="Times New Roman" w:cs="Times New Roman" w:eastAsia="Times New Roman" w:hAnsi="Times New Roman"/>
          <w:sz w:val="21"/>
          <w:szCs w:val="21"/>
          <w:color w:val="auto"/>
        </w:rPr>
      </w:pPr>
    </w:p>
    <w:p>
      <w:pPr>
        <w:jc w:val="both"/>
        <w:ind w:firstLine="635"/>
        <w:spacing w:after="0" w:line="264" w:lineRule="auto"/>
        <w:tabs>
          <w:tab w:leader="none" w:pos="1248" w:val="left"/>
        </w:tabs>
        <w:numPr>
          <w:ilvl w:val="0"/>
          <w:numId w:val="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Governing Law</w:t>
      </w:r>
      <w:r>
        <w:rPr>
          <w:rFonts w:ascii="Times New Roman" w:cs="Times New Roman" w:eastAsia="Times New Roman" w:hAnsi="Times New Roman"/>
          <w:sz w:val="21"/>
          <w:szCs w:val="21"/>
          <w:color w:val="auto"/>
        </w:rPr>
        <w:t>. This Agreement and any disputes hereunder shall be governed by and construed in accordance with the internal laws of the State of Delaware without giving effect to any choice or conflict of law provision or rule (whether of Delaware or any other jurisdiction) that would cause the application of laws of any jurisdiction other than those of Delaware.</w:t>
      </w:r>
    </w:p>
    <w:p>
      <w:pPr>
        <w:spacing w:after="0" w:line="174" w:lineRule="exact"/>
        <w:rPr>
          <w:rFonts w:ascii="Times New Roman" w:cs="Times New Roman" w:eastAsia="Times New Roman" w:hAnsi="Times New Roman"/>
          <w:sz w:val="21"/>
          <w:szCs w:val="21"/>
          <w:color w:val="auto"/>
        </w:rPr>
      </w:pPr>
    </w:p>
    <w:p>
      <w:pPr>
        <w:jc w:val="both"/>
        <w:ind w:firstLine="635"/>
        <w:spacing w:after="0" w:line="259" w:lineRule="auto"/>
        <w:tabs>
          <w:tab w:leader="none" w:pos="1256" w:val="left"/>
        </w:tabs>
        <w:numPr>
          <w:ilvl w:val="0"/>
          <w:numId w:val="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Participant’s Acknowledgments</w:t>
      </w:r>
      <w:r>
        <w:rPr>
          <w:rFonts w:ascii="Times New Roman" w:cs="Times New Roman" w:eastAsia="Times New Roman" w:hAnsi="Times New Roman"/>
          <w:sz w:val="21"/>
          <w:szCs w:val="21"/>
          <w:color w:val="auto"/>
        </w:rPr>
        <w:t>. The Participant acknowledges that he or she: (i) has read this Agreement; (ii) has been represented in the preparation, negotiation, and execution of this Agreement by legal counsel of the Participant’s own choice or has voluntarily declined to seek such counsel; (iii) understands the terms and consequences of this Agreement; and (iv) is fully aware of the legal and binding effect of this Agreement.</w:t>
      </w:r>
    </w:p>
    <w:p>
      <w:pPr>
        <w:sectPr>
          <w:pgSz w:w="11900" w:h="16838" w:orient="portrait"/>
          <w:cols w:equalWidth="0" w:num="1">
            <w:col w:w="11240"/>
          </w:cols>
          <w:pgMar w:left="320" w:top="1386"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20"/>
          <w:szCs w:val="20"/>
          <w:color w:val="auto"/>
        </w:rPr>
        <w:t>IN WITNESS WHEREOF, the parties hereto have executed this Agreement as of the day and year first above written.</w:t>
      </w:r>
    </w:p>
    <w:p>
      <w:pPr>
        <w:sectPr>
          <w:pgSz w:w="11900" w:h="16838" w:orient="portrait"/>
          <w:cols w:equalWidth="0" w:num="1">
            <w:col w:w="9900"/>
          </w:cols>
          <w:pgMar w:left="960" w:top="1385" w:right="10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21"/>
          <w:szCs w:val="21"/>
          <w:b w:val="1"/>
          <w:bCs w:val="1"/>
          <w:color w:val="auto"/>
        </w:rPr>
        <w:t>Skyworks Solutions, Inc</w:t>
      </w:r>
      <w:r>
        <w:rPr>
          <w:rFonts w:ascii="Times New Roman" w:cs="Times New Roman" w:eastAsia="Times New Roman" w:hAnsi="Times New Roman"/>
          <w:sz w:val="21"/>
          <w:szCs w:val="21"/>
          <w:color w:val="auto"/>
        </w:rPr>
        <w:t>.</w:t>
      </w:r>
    </w:p>
    <w:p>
      <w:pPr>
        <w:spacing w:after="0" w:line="223" w:lineRule="exact"/>
        <w:rPr>
          <w:sz w:val="20"/>
          <w:szCs w:val="20"/>
          <w:color w:val="auto"/>
        </w:rPr>
      </w:pPr>
    </w:p>
    <w:p>
      <w:pPr>
        <w:ind w:left="3140"/>
        <w:spacing w:after="0"/>
        <w:rPr>
          <w:sz w:val="20"/>
          <w:szCs w:val="20"/>
          <w:color w:val="auto"/>
        </w:rPr>
      </w:pPr>
      <w:r>
        <w:rPr>
          <w:rFonts w:ascii="Arial" w:cs="Arial" w:eastAsia="Arial" w:hAnsi="Arial"/>
          <w:sz w:val="21"/>
          <w:szCs w:val="21"/>
          <w:u w:val="single" w:color="auto"/>
          <w:color w:val="auto"/>
        </w:rPr>
        <w:t>______________________</w:t>
      </w:r>
    </w:p>
    <w:p>
      <w:pPr>
        <w:spacing w:after="0" w:line="37"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21"/>
          <w:szCs w:val="21"/>
          <w:color w:val="auto"/>
        </w:rPr>
        <w:t>Liam K. Griffin</w:t>
      </w:r>
    </w:p>
    <w:p>
      <w:pPr>
        <w:spacing w:after="0" w:line="15"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21"/>
          <w:szCs w:val="21"/>
          <w:color w:val="auto"/>
        </w:rPr>
        <w:t>Chairman, Chief Executive Officer and President</w:t>
      </w:r>
    </w:p>
    <w:p>
      <w:pPr>
        <w:spacing w:after="0" w:line="216"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21"/>
          <w:szCs w:val="21"/>
          <w:b w:val="1"/>
          <w:bCs w:val="1"/>
          <w:color w:val="auto"/>
        </w:rPr>
        <w:t>Participant (Signature):____________________</w:t>
      </w:r>
    </w:p>
    <w:p>
      <w:pPr>
        <w:spacing w:after="0" w:line="218"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21"/>
          <w:szCs w:val="21"/>
          <w:color w:val="auto"/>
        </w:rPr>
        <w:t xml:space="preserve">Print Name </w:t>
      </w:r>
      <w:r>
        <w:rPr>
          <w:rFonts w:ascii="Times New Roman" w:cs="Times New Roman" w:eastAsia="Times New Roman" w:hAnsi="Times New Roman"/>
          <w:sz w:val="21"/>
          <w:szCs w:val="21"/>
          <w:b w:val="1"/>
          <w:bCs w:val="1"/>
          <w:color w:val="auto"/>
        </w:rPr>
        <w:t>______________________________</w:t>
      </w:r>
    </w:p>
    <w:p>
      <w:pPr>
        <w:sectPr>
          <w:pgSz w:w="11900" w:h="16838" w:orient="portrait"/>
          <w:cols w:equalWidth="0" w:num="1">
            <w:col w:w="9900"/>
          </w:cols>
          <w:pgMar w:left="960" w:top="1385" w:right="1039" w:bottom="1440" w:gutter="0" w:footer="0" w:header="0"/>
          <w:type w:val="continuous"/>
        </w:sectPr>
      </w:pPr>
    </w:p>
    <w:bookmarkStart w:id="77" w:name="page78"/>
    <w:bookmarkEnd w:id="77"/>
    <w:p>
      <w:pPr>
        <w:jc w:val="right"/>
        <w:spacing w:after="0"/>
        <w:rPr>
          <w:sz w:val="20"/>
          <w:szCs w:val="20"/>
          <w:color w:val="auto"/>
        </w:rPr>
      </w:pPr>
      <w:r>
        <w:rPr>
          <w:rFonts w:ascii="Times New Roman" w:cs="Times New Roman" w:eastAsia="Times New Roman" w:hAnsi="Times New Roman"/>
          <w:sz w:val="18"/>
          <w:szCs w:val="18"/>
          <w:b w:val="1"/>
          <w:bCs w:val="1"/>
          <w:color w:val="auto"/>
        </w:rPr>
        <w:t>Exhibit 10.8</w:t>
      </w:r>
    </w:p>
    <w:p>
      <w:pPr>
        <w:spacing w:after="0" w:line="194" w:lineRule="exact"/>
        <w:rPr>
          <w:sz w:val="20"/>
          <w:szCs w:val="20"/>
          <w:color w:val="auto"/>
        </w:rPr>
      </w:pPr>
    </w:p>
    <w:p>
      <w:pPr>
        <w:jc w:val="center"/>
        <w:spacing w:after="0"/>
        <w:rPr>
          <w:sz w:val="20"/>
          <w:szCs w:val="20"/>
          <w:color w:val="auto"/>
        </w:rPr>
      </w:pPr>
      <w:r>
        <w:rPr>
          <w:rFonts w:ascii="Cambria" w:cs="Cambria" w:eastAsia="Cambria" w:hAnsi="Cambria"/>
          <w:sz w:val="35"/>
          <w:szCs w:val="35"/>
          <w:b w:val="1"/>
          <w:bCs w:val="1"/>
          <w:color w:val="auto"/>
        </w:rPr>
        <w:t>SKYWORKS SOLUTIONS, INC.</w:t>
      </w:r>
    </w:p>
    <w:p>
      <w:pPr>
        <w:jc w:val="center"/>
        <w:ind w:right="40"/>
        <w:spacing w:after="0" w:line="254" w:lineRule="auto"/>
        <w:rPr>
          <w:sz w:val="20"/>
          <w:szCs w:val="20"/>
          <w:color w:val="auto"/>
        </w:rPr>
      </w:pPr>
      <w:r>
        <w:rPr>
          <w:rFonts w:ascii="Cambria" w:cs="Cambria" w:eastAsia="Cambria" w:hAnsi="Cambria"/>
          <w:sz w:val="24"/>
          <w:szCs w:val="24"/>
          <w:b w:val="1"/>
          <w:bCs w:val="1"/>
          <w:color w:val="auto"/>
        </w:rPr>
        <w:t>PERFORMANCE SHARE AGREEMENT GRANTED UNDER SECOND AMENDED AND RESTATED 2015 LONG-TERM INCENTIVE PLAN</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Date (the “Grant Date”): [ ]</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Name (the “Participant”): [ ]</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Award (the “Award”): [ ] performance shares</w:t>
      </w:r>
    </w:p>
    <w:p>
      <w:pPr>
        <w:spacing w:after="0" w:line="218" w:lineRule="exact"/>
        <w:rPr>
          <w:sz w:val="20"/>
          <w:szCs w:val="20"/>
          <w:color w:val="auto"/>
        </w:rPr>
      </w:pPr>
    </w:p>
    <w:p>
      <w:pPr>
        <w:ind w:right="300" w:firstLine="630"/>
        <w:spacing w:after="0" w:line="281" w:lineRule="auto"/>
        <w:rPr>
          <w:sz w:val="20"/>
          <w:szCs w:val="20"/>
          <w:color w:val="auto"/>
        </w:rPr>
      </w:pPr>
      <w:r>
        <w:rPr>
          <w:rFonts w:ascii="Times New Roman" w:cs="Times New Roman" w:eastAsia="Times New Roman" w:hAnsi="Times New Roman"/>
          <w:sz w:val="21"/>
          <w:szCs w:val="21"/>
          <w:color w:val="auto"/>
        </w:rPr>
        <w:t>AGREEMENT made on the Grant Date, between Skyworks Solutions, Inc., a Delaware corporation (the “Company”), and the Participant.</w:t>
      </w:r>
    </w:p>
    <w:p>
      <w:pPr>
        <w:spacing w:after="0" w:line="14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For good and valuable consideration, receipt of which is acknowledged, the parties hereto agree as follows:</w:t>
      </w:r>
    </w:p>
    <w:p>
      <w:pPr>
        <w:spacing w:after="0" w:line="231" w:lineRule="exact"/>
        <w:rPr>
          <w:sz w:val="20"/>
          <w:szCs w:val="20"/>
          <w:color w:val="auto"/>
        </w:rPr>
      </w:pPr>
    </w:p>
    <w:p>
      <w:pPr>
        <w:ind w:left="1260" w:hanging="625"/>
        <w:spacing w:after="0"/>
        <w:tabs>
          <w:tab w:leader="none" w:pos="1260" w:val="left"/>
        </w:tabs>
        <w:numPr>
          <w:ilvl w:val="0"/>
          <w:numId w:val="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Grant of Award</w:t>
      </w:r>
      <w:r>
        <w:rPr>
          <w:rFonts w:ascii="Times New Roman" w:cs="Times New Roman" w:eastAsia="Times New Roman" w:hAnsi="Times New Roman"/>
          <w:sz w:val="21"/>
          <w:szCs w:val="21"/>
          <w:color w:val="auto"/>
        </w:rPr>
        <w:t>.</w:t>
      </w:r>
    </w:p>
    <w:p>
      <w:pPr>
        <w:spacing w:after="0" w:line="218" w:lineRule="exact"/>
        <w:rPr>
          <w:sz w:val="20"/>
          <w:szCs w:val="20"/>
          <w:color w:val="auto"/>
        </w:rPr>
      </w:pPr>
    </w:p>
    <w:p>
      <w:pPr>
        <w:jc w:val="both"/>
        <w:ind w:firstLine="630"/>
        <w:spacing w:after="0" w:line="253" w:lineRule="auto"/>
        <w:rPr>
          <w:sz w:val="20"/>
          <w:szCs w:val="20"/>
          <w:color w:val="auto"/>
        </w:rPr>
      </w:pPr>
      <w:r>
        <w:rPr>
          <w:rFonts w:ascii="Times New Roman" w:cs="Times New Roman" w:eastAsia="Times New Roman" w:hAnsi="Times New Roman"/>
          <w:sz w:val="21"/>
          <w:szCs w:val="21"/>
          <w:color w:val="auto"/>
        </w:rPr>
        <w:t>This Performance Share Agreement (the “Agreement”) evidences the grant by the Company on the Grant Date to the Participant of the Award, subject to the terms and conditions set forth in this Agreement and in the Company’s Second Amended and Restated 2015 Long-Term Incentive Plan (the “Plan”). Each performance share represents the right to receive such number of shares of the common stock, $0.25 par value per share, of the Company (“Common Stock”) as determined in accordance with the terms set forth in Exhibit A to this Agreement. The shares of Common Stock that are issuable upon, and to the extent of, the achievement of the Performance Goals are referred to in this Agreement as “Shares.” No Shares shall be issued by the Company and delivered to the Participant unless, and until, all conditions set forth herein for such issuance and delivery are met, including but not limited to the achievement of an applicable Performance Goal. If the Participant does not accept this Award during the period beginning with the Grant Date and ending on the day that is two (2) business days prior to the first applicable vesting date, as set forth in Exhibit A, then the Award will be forfeited immediately following such period and the Participant will have no further rights with respect to the Award or any Shares issuable thereunder.</w:t>
      </w:r>
    </w:p>
    <w:p>
      <w:pPr>
        <w:spacing w:after="0" w:line="180" w:lineRule="exact"/>
        <w:rPr>
          <w:sz w:val="20"/>
          <w:szCs w:val="20"/>
          <w:color w:val="auto"/>
        </w:rPr>
      </w:pPr>
    </w:p>
    <w:p>
      <w:pPr>
        <w:ind w:left="1260" w:hanging="625"/>
        <w:spacing w:after="0"/>
        <w:tabs>
          <w:tab w:leader="none" w:pos="1260" w:val="left"/>
        </w:tabs>
        <w:numPr>
          <w:ilvl w:val="0"/>
          <w:numId w:val="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Earning Shares; Forfeiture</w:t>
      </w:r>
      <w:r>
        <w:rPr>
          <w:rFonts w:ascii="Times New Roman" w:cs="Times New Roman" w:eastAsia="Times New Roman" w:hAnsi="Times New Roman"/>
          <w:sz w:val="21"/>
          <w:szCs w:val="21"/>
          <w:color w:val="auto"/>
        </w:rPr>
        <w:t>.</w:t>
      </w:r>
    </w:p>
    <w:p>
      <w:pPr>
        <w:spacing w:after="0" w:line="218" w:lineRule="exact"/>
        <w:rPr>
          <w:rFonts w:ascii="Times New Roman" w:cs="Times New Roman" w:eastAsia="Times New Roman" w:hAnsi="Times New Roman"/>
          <w:sz w:val="21"/>
          <w:szCs w:val="21"/>
          <w:color w:val="auto"/>
        </w:rPr>
      </w:pPr>
    </w:p>
    <w:p>
      <w:pPr>
        <w:jc w:val="both"/>
        <w:ind w:firstLine="1265"/>
        <w:spacing w:after="0" w:line="263" w:lineRule="auto"/>
        <w:tabs>
          <w:tab w:leader="none" w:pos="1887" w:val="left"/>
        </w:tabs>
        <w:numPr>
          <w:ilvl w:val="1"/>
          <w:numId w:val="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Shares shall be deemed earned if, and to the extent, the applicable Performance Goal is satisfied as of the applicable Measurement Date set forth in Exhibit A. If the applicable Performance Goal is not met as of the applicable Measurement Date, the Company shall have no obligation to issue the portion of the Shares allocable to such Performance Goal, and this Award shall be forfeited with respect thereto.</w:t>
      </w:r>
    </w:p>
    <w:p>
      <w:pPr>
        <w:spacing w:after="0" w:line="162" w:lineRule="exact"/>
        <w:rPr>
          <w:rFonts w:ascii="Times New Roman" w:cs="Times New Roman" w:eastAsia="Times New Roman" w:hAnsi="Times New Roman"/>
          <w:sz w:val="21"/>
          <w:szCs w:val="21"/>
          <w:color w:val="auto"/>
        </w:rPr>
      </w:pPr>
    </w:p>
    <w:p>
      <w:pPr>
        <w:jc w:val="both"/>
        <w:ind w:firstLine="1265"/>
        <w:spacing w:after="0" w:line="259" w:lineRule="auto"/>
        <w:tabs>
          <w:tab w:leader="none" w:pos="1886" w:val="left"/>
        </w:tabs>
        <w:numPr>
          <w:ilvl w:val="1"/>
          <w:numId w:val="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the foregoing, if the Participant’s employment with the Company terminates for any reason prior to the applicable vesting date, as set forth in Exhibit A, the Company shall have no obligation to issue any Shares (or any earned but unissued Shares, if applicable) to the Participant under this Agreement and this Award shall be forfeited, except as otherwise expressly provided in the Plan or in a separate</w:t>
      </w:r>
    </w:p>
    <w:p>
      <w:pPr>
        <w:sectPr>
          <w:pgSz w:w="11900" w:h="16838" w:orient="portrait"/>
          <w:cols w:equalWidth="0" w:num="1">
            <w:col w:w="11240"/>
          </w:cols>
          <w:pgMar w:left="320" w:top="1012" w:right="339" w:bottom="1440" w:gutter="0" w:footer="0" w:header="0"/>
        </w:sectPr>
      </w:pPr>
    </w:p>
    <w:bookmarkStart w:id="78" w:name="page79"/>
    <w:bookmarkEnd w:id="78"/>
    <w:p>
      <w:pPr>
        <w:jc w:val="both"/>
        <w:spacing w:after="0" w:line="271" w:lineRule="auto"/>
        <w:rPr>
          <w:sz w:val="20"/>
          <w:szCs w:val="20"/>
          <w:color w:val="auto"/>
        </w:rPr>
      </w:pPr>
      <w:r>
        <w:rPr>
          <w:rFonts w:ascii="Times New Roman" w:cs="Times New Roman" w:eastAsia="Times New Roman" w:hAnsi="Times New Roman"/>
          <w:sz w:val="21"/>
          <w:szCs w:val="21"/>
          <w:color w:val="auto"/>
        </w:rPr>
        <w:t>written agreement between the Company and the Participant. The Company shall have the sole discretion to define what constitutes providing active services for vesting purposes (including whether the Participant may still be considered to be providing services while on a leave of absence in accordance with the Company’s leave policies).</w:t>
      </w:r>
    </w:p>
    <w:p>
      <w:pPr>
        <w:spacing w:after="0" w:line="153" w:lineRule="exact"/>
        <w:rPr>
          <w:sz w:val="20"/>
          <w:szCs w:val="20"/>
          <w:color w:val="auto"/>
        </w:rPr>
      </w:pPr>
    </w:p>
    <w:p>
      <w:pPr>
        <w:ind w:left="1260" w:hanging="625"/>
        <w:spacing w:after="0"/>
        <w:tabs>
          <w:tab w:leader="none" w:pos="1260" w:val="left"/>
        </w:tabs>
        <w:numPr>
          <w:ilvl w:val="0"/>
          <w:numId w:val="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Issuance of Shares</w:t>
      </w:r>
      <w:r>
        <w:rPr>
          <w:rFonts w:ascii="Times New Roman" w:cs="Times New Roman" w:eastAsia="Times New Roman" w:hAnsi="Times New Roman"/>
          <w:sz w:val="21"/>
          <w:szCs w:val="21"/>
          <w:color w:val="auto"/>
        </w:rPr>
        <w:t>.</w:t>
      </w:r>
    </w:p>
    <w:p>
      <w:pPr>
        <w:spacing w:after="0" w:line="218" w:lineRule="exact"/>
        <w:rPr>
          <w:rFonts w:ascii="Times New Roman" w:cs="Times New Roman" w:eastAsia="Times New Roman" w:hAnsi="Times New Roman"/>
          <w:sz w:val="21"/>
          <w:szCs w:val="21"/>
          <w:color w:val="auto"/>
        </w:rPr>
      </w:pPr>
    </w:p>
    <w:p>
      <w:pPr>
        <w:jc w:val="both"/>
        <w:ind w:firstLine="1265"/>
        <w:spacing w:after="0" w:line="264" w:lineRule="auto"/>
        <w:tabs>
          <w:tab w:leader="none" w:pos="1887" w:val="left"/>
        </w:tabs>
        <w:numPr>
          <w:ilvl w:val="1"/>
          <w:numId w:val="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Subject to the provisions of the Plan, the number of Shares issued to the Participant shall be determined under Exhibit A and such Shares, if any, shall be issued to the Participant within 30 days of the applicable vesting date, or such other date as provided in the Plan, as applicable.</w:t>
      </w:r>
    </w:p>
    <w:p>
      <w:pPr>
        <w:spacing w:after="0" w:line="174" w:lineRule="exact"/>
        <w:rPr>
          <w:rFonts w:ascii="Times New Roman" w:cs="Times New Roman" w:eastAsia="Times New Roman" w:hAnsi="Times New Roman"/>
          <w:sz w:val="21"/>
          <w:szCs w:val="21"/>
          <w:color w:val="auto"/>
        </w:rPr>
      </w:pPr>
    </w:p>
    <w:p>
      <w:pPr>
        <w:jc w:val="both"/>
        <w:ind w:firstLine="1265"/>
        <w:spacing w:after="0" w:line="259" w:lineRule="auto"/>
        <w:tabs>
          <w:tab w:leader="none" w:pos="1886" w:val="left"/>
        </w:tabs>
        <w:numPr>
          <w:ilvl w:val="1"/>
          <w:numId w:val="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shall not be obligated to issue and deliver the Shares to the Participant within 30 days of the applicable vesting date, or on any other date as provided in the Plan, unless the issuance and delivery of the Shares shall comply with all relevant provisions of law and other legal requirements including, without limitation, any applicable federal or state securities laws and the requirements of any stock exchange upon which shares of Common Stock may then be listed.</w:t>
      </w:r>
    </w:p>
    <w:p>
      <w:pPr>
        <w:spacing w:after="0" w:line="165" w:lineRule="exact"/>
        <w:rPr>
          <w:rFonts w:ascii="Times New Roman" w:cs="Times New Roman" w:eastAsia="Times New Roman" w:hAnsi="Times New Roman"/>
          <w:sz w:val="21"/>
          <w:szCs w:val="21"/>
          <w:color w:val="auto"/>
        </w:rPr>
      </w:pPr>
    </w:p>
    <w:p>
      <w:pPr>
        <w:ind w:left="1260" w:hanging="625"/>
        <w:spacing w:after="0"/>
        <w:tabs>
          <w:tab w:leader="none" w:pos="1260" w:val="left"/>
        </w:tabs>
        <w:numPr>
          <w:ilvl w:val="0"/>
          <w:numId w:val="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Restrictions on Transfer</w:t>
      </w:r>
      <w:r>
        <w:rPr>
          <w:rFonts w:ascii="Times New Roman" w:cs="Times New Roman" w:eastAsia="Times New Roman" w:hAnsi="Times New Roman"/>
          <w:sz w:val="21"/>
          <w:szCs w:val="21"/>
          <w:color w:val="auto"/>
        </w:rPr>
        <w:t>.</w:t>
      </w:r>
    </w:p>
    <w:p>
      <w:pPr>
        <w:spacing w:after="0" w:line="218" w:lineRule="exact"/>
        <w:rPr>
          <w:sz w:val="20"/>
          <w:szCs w:val="20"/>
          <w:color w:val="auto"/>
        </w:rPr>
      </w:pPr>
    </w:p>
    <w:p>
      <w:pPr>
        <w:jc w:val="both"/>
        <w:ind w:firstLine="630"/>
        <w:spacing w:after="0" w:line="271" w:lineRule="auto"/>
        <w:rPr>
          <w:sz w:val="20"/>
          <w:szCs w:val="20"/>
          <w:color w:val="auto"/>
        </w:rPr>
      </w:pPr>
      <w:r>
        <w:rPr>
          <w:rFonts w:ascii="Times New Roman" w:cs="Times New Roman" w:eastAsia="Times New Roman" w:hAnsi="Times New Roman"/>
          <w:sz w:val="21"/>
          <w:szCs w:val="21"/>
          <w:color w:val="auto"/>
        </w:rPr>
        <w:t>The Participant shall not sell, assign, transfer, pledge, hypothecate or otherwise dispose of, by operation of law or otherwise, the Award or the Shares subject to the Award (until such Shares have been issued upon vesting of the Award pursuant to Section 3(a) hereof), or any interest therein, except by will or the laws of descent and distribution.</w:t>
      </w:r>
    </w:p>
    <w:p>
      <w:pPr>
        <w:spacing w:after="0" w:line="153" w:lineRule="exact"/>
        <w:rPr>
          <w:sz w:val="20"/>
          <w:szCs w:val="20"/>
          <w:color w:val="auto"/>
        </w:rPr>
      </w:pPr>
    </w:p>
    <w:p>
      <w:pPr>
        <w:ind w:left="1260" w:hanging="625"/>
        <w:spacing w:after="0"/>
        <w:tabs>
          <w:tab w:leader="none" w:pos="1260" w:val="left"/>
        </w:tabs>
        <w:numPr>
          <w:ilvl w:val="0"/>
          <w:numId w:val="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Provisions of the Plan; Dividend and Other Shareholder Rights.</w:t>
      </w:r>
    </w:p>
    <w:p>
      <w:pPr>
        <w:spacing w:after="0" w:line="218" w:lineRule="exact"/>
        <w:rPr>
          <w:sz w:val="20"/>
          <w:szCs w:val="20"/>
          <w:color w:val="auto"/>
        </w:rPr>
      </w:pPr>
    </w:p>
    <w:p>
      <w:pPr>
        <w:jc w:val="both"/>
        <w:ind w:firstLine="630"/>
        <w:spacing w:after="0" w:line="259" w:lineRule="auto"/>
        <w:rPr>
          <w:sz w:val="20"/>
          <w:szCs w:val="20"/>
          <w:color w:val="auto"/>
        </w:rPr>
      </w:pPr>
      <w:r>
        <w:rPr>
          <w:rFonts w:ascii="Times New Roman" w:cs="Times New Roman" w:eastAsia="Times New Roman" w:hAnsi="Times New Roman"/>
          <w:sz w:val="21"/>
          <w:szCs w:val="21"/>
          <w:color w:val="auto"/>
        </w:rPr>
        <w:t>This Agreement is subject to the provisions of the Plan, a copy of which is furnished to the Participant with this Agreement. Capitalized terms not otherwise defined in this Agreement shall have the meaning set forth in the Plan. Except as set forth in the Plan, neither the Participant nor any person claiming under or through the Participant shall be, or have any rights or privileges of, a stockholder of the Company in respect of the Shares issuable pursuant to the performance shares granted hereunder until the Shares have been issued by the Company and delivered to the Participant.</w:t>
      </w:r>
    </w:p>
    <w:p>
      <w:pPr>
        <w:spacing w:after="0" w:line="167" w:lineRule="exact"/>
        <w:rPr>
          <w:sz w:val="20"/>
          <w:szCs w:val="20"/>
          <w:color w:val="auto"/>
        </w:rPr>
      </w:pPr>
    </w:p>
    <w:p>
      <w:pPr>
        <w:ind w:left="1260" w:hanging="625"/>
        <w:spacing w:after="0"/>
        <w:tabs>
          <w:tab w:leader="none" w:pos="1260" w:val="left"/>
        </w:tabs>
        <w:numPr>
          <w:ilvl w:val="0"/>
          <w:numId w:val="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Withholding Taxes; No Section 83(b) Election</w:t>
      </w:r>
      <w:r>
        <w:rPr>
          <w:rFonts w:ascii="Times New Roman" w:cs="Times New Roman" w:eastAsia="Times New Roman" w:hAnsi="Times New Roman"/>
          <w:sz w:val="21"/>
          <w:szCs w:val="21"/>
          <w:color w:val="auto"/>
        </w:rPr>
        <w:t>.</w:t>
      </w:r>
    </w:p>
    <w:p>
      <w:pPr>
        <w:spacing w:after="0" w:line="218" w:lineRule="exact"/>
        <w:rPr>
          <w:rFonts w:ascii="Times New Roman" w:cs="Times New Roman" w:eastAsia="Times New Roman" w:hAnsi="Times New Roman"/>
          <w:sz w:val="21"/>
          <w:szCs w:val="21"/>
          <w:color w:val="auto"/>
        </w:rPr>
      </w:pPr>
    </w:p>
    <w:p>
      <w:pPr>
        <w:jc w:val="both"/>
        <w:ind w:firstLine="1265"/>
        <w:spacing w:after="0" w:line="257" w:lineRule="auto"/>
        <w:tabs>
          <w:tab w:leader="none" w:pos="1887" w:val="left"/>
        </w:tabs>
        <w:numPr>
          <w:ilvl w:val="1"/>
          <w:numId w:val="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On the date that Shares are to be issued upon vesting of the Award pursuant to Section 3 hereof, the Company shall automatically, and without any action or election by the Participant, withhold a number of Shares having a Fair Market Value on such date equal to the amount sufficient to satisfy the taxes required by law to be withheld, based on the minimum statutory withholding rates for federal, state, local and foreign income tax and payroll tax purposes that are applicable to such taxable income; provided, however, that if the Participant is permitted by the Committee to elect to use a higher withholding rate, the number of Shares withheld shall be based on such higher withholding rate.</w:t>
      </w:r>
    </w:p>
    <w:p>
      <w:pPr>
        <w:spacing w:after="0" w:line="168" w:lineRule="exact"/>
        <w:rPr>
          <w:rFonts w:ascii="Times New Roman" w:cs="Times New Roman" w:eastAsia="Times New Roman" w:hAnsi="Times New Roman"/>
          <w:sz w:val="21"/>
          <w:szCs w:val="21"/>
          <w:color w:val="auto"/>
        </w:rPr>
      </w:pPr>
    </w:p>
    <w:p>
      <w:pPr>
        <w:ind w:firstLine="1265"/>
        <w:spacing w:after="0" w:line="294" w:lineRule="auto"/>
        <w:tabs>
          <w:tab w:leader="none" w:pos="1886" w:val="left"/>
        </w:tabs>
        <w:numPr>
          <w:ilvl w:val="1"/>
          <w:numId w:val="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Participant acknowledges that no election under Section 83(b) of the Internal Revenue Code of 1986 may be filed with respect to this Award or the Shares issued hereunder.</w:t>
      </w:r>
    </w:p>
    <w:p>
      <w:pPr>
        <w:sectPr>
          <w:pgSz w:w="11900" w:h="16838" w:orient="portrait"/>
          <w:cols w:equalWidth="0" w:num="1">
            <w:col w:w="11240"/>
          </w:cols>
          <w:pgMar w:left="320" w:top="1005" w:right="339" w:bottom="1440" w:gutter="0" w:footer="0" w:header="0"/>
        </w:sectPr>
      </w:pPr>
    </w:p>
    <w:bookmarkStart w:id="79" w:name="page80"/>
    <w:bookmarkEnd w:id="79"/>
    <w:p>
      <w:pPr>
        <w:ind w:left="625" w:hanging="625"/>
        <w:spacing w:after="0"/>
        <w:tabs>
          <w:tab w:leader="none" w:pos="625" w:val="left"/>
        </w:tabs>
        <w:numPr>
          <w:ilvl w:val="0"/>
          <w:numId w:val="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Miscellaneous</w:t>
      </w:r>
      <w:r>
        <w:rPr>
          <w:rFonts w:ascii="Times New Roman" w:cs="Times New Roman" w:eastAsia="Times New Roman" w:hAnsi="Times New Roman"/>
          <w:sz w:val="21"/>
          <w:szCs w:val="21"/>
          <w:color w:val="auto"/>
        </w:rPr>
        <w:t>.</w:t>
      </w:r>
    </w:p>
    <w:p>
      <w:pPr>
        <w:spacing w:after="0" w:line="218" w:lineRule="exact"/>
        <w:rPr>
          <w:rFonts w:ascii="Times New Roman" w:cs="Times New Roman" w:eastAsia="Times New Roman" w:hAnsi="Times New Roman"/>
          <w:sz w:val="21"/>
          <w:szCs w:val="21"/>
          <w:color w:val="auto"/>
        </w:rPr>
      </w:pPr>
    </w:p>
    <w:p>
      <w:pPr>
        <w:jc w:val="both"/>
        <w:ind w:left="-635" w:firstLine="1265"/>
        <w:spacing w:after="0" w:line="259" w:lineRule="auto"/>
        <w:tabs>
          <w:tab w:leader="none" w:pos="1252" w:val="left"/>
        </w:tabs>
        <w:numPr>
          <w:ilvl w:val="1"/>
          <w:numId w:val="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 Advice Regarding Grant</w:t>
      </w:r>
      <w:r>
        <w:rPr>
          <w:rFonts w:ascii="Times New Roman" w:cs="Times New Roman" w:eastAsia="Times New Roman" w:hAnsi="Times New Roman"/>
          <w:sz w:val="21"/>
          <w:szCs w:val="21"/>
          <w:color w:val="auto"/>
        </w:rPr>
        <w:t>. The Participant is hereby advised to consult with the Participant’s own personal tax, legal and financial advisors regarding the Participant’s participation in the Plan before taking any action related to the Plan. The Participant acknowledges and agrees that he or she is relying solely on such advisors and not on any statements or representations of the Company or any of its agents. The Participant understands that the Participant (and not the Company) shall be responsible for the Participant’s own tax liability that may arise as a result of this investment or the transactions contemplated by this Agreement.</w:t>
      </w:r>
    </w:p>
    <w:p>
      <w:pPr>
        <w:spacing w:after="0" w:line="167" w:lineRule="exact"/>
        <w:rPr>
          <w:rFonts w:ascii="Times New Roman" w:cs="Times New Roman" w:eastAsia="Times New Roman" w:hAnsi="Times New Roman"/>
          <w:sz w:val="21"/>
          <w:szCs w:val="21"/>
          <w:color w:val="auto"/>
        </w:rPr>
      </w:pPr>
    </w:p>
    <w:p>
      <w:pPr>
        <w:jc w:val="both"/>
        <w:ind w:left="-635" w:firstLine="1265"/>
        <w:spacing w:after="0" w:line="257" w:lineRule="auto"/>
        <w:tabs>
          <w:tab w:leader="none" w:pos="1251" w:val="left"/>
        </w:tabs>
        <w:numPr>
          <w:ilvl w:val="1"/>
          <w:numId w:val="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 Rights to Employment</w:t>
      </w:r>
      <w:r>
        <w:rPr>
          <w:rFonts w:ascii="Times New Roman" w:cs="Times New Roman" w:eastAsia="Times New Roman" w:hAnsi="Times New Roman"/>
          <w:sz w:val="21"/>
          <w:szCs w:val="21"/>
          <w:color w:val="auto"/>
        </w:rPr>
        <w:t>. The Participant acknowledges and agrees that his or her right to receive Shares pursuant to Section 2 hereof is triggered only by the achievement by the Company of the Performance Goal(s), continuing to provide active service to the Company until the Compensation Committee has made a determination that such Performance Goal(s) has (have) been achieved and the satisfaction of any continuing service requirements set forth in Exhibit A. The Participant further acknowledges and agrees that the transactions contemplated hereunder and the Performance Goals set forth herein do not constitute an express or implied promise of continued engagement as an employee for the Performance Period, for any period, or at all.</w:t>
      </w:r>
    </w:p>
    <w:p>
      <w:pPr>
        <w:spacing w:after="0" w:line="168" w:lineRule="exact"/>
        <w:rPr>
          <w:rFonts w:ascii="Times New Roman" w:cs="Times New Roman" w:eastAsia="Times New Roman" w:hAnsi="Times New Roman"/>
          <w:sz w:val="21"/>
          <w:szCs w:val="21"/>
          <w:color w:val="auto"/>
        </w:rPr>
      </w:pPr>
    </w:p>
    <w:p>
      <w:pPr>
        <w:jc w:val="both"/>
        <w:ind w:left="-635" w:firstLine="1265"/>
        <w:spacing w:after="0" w:line="259" w:lineRule="auto"/>
        <w:tabs>
          <w:tab w:leader="none" w:pos="1252" w:val="left"/>
        </w:tabs>
        <w:numPr>
          <w:ilvl w:val="1"/>
          <w:numId w:val="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Clawback Policy</w:t>
      </w:r>
      <w:r>
        <w:rPr>
          <w:rFonts w:ascii="Times New Roman" w:cs="Times New Roman" w:eastAsia="Times New Roman" w:hAnsi="Times New Roman"/>
          <w:sz w:val="21"/>
          <w:szCs w:val="21"/>
          <w:color w:val="auto"/>
        </w:rPr>
        <w:t>. By accepting this Award, the Participant acknowledges and agrees that this Award is subject to the provisions of any compensation clawback or recovery policy that the Company has in effect or may adopt in the future. The Participant agrees that in the event it is determined in accordance with any such policy that any compensation or compensatory award granted, earned or paid to the Participant under this Award must be forfeited or reimbursed to the Company, the Participant will promptly take any action necessary to effectuate such forfeiture and/or reimbursement.</w:t>
      </w:r>
    </w:p>
    <w:p>
      <w:pPr>
        <w:spacing w:after="0" w:line="167" w:lineRule="exact"/>
        <w:rPr>
          <w:rFonts w:ascii="Times New Roman" w:cs="Times New Roman" w:eastAsia="Times New Roman" w:hAnsi="Times New Roman"/>
          <w:sz w:val="21"/>
          <w:szCs w:val="21"/>
          <w:color w:val="auto"/>
        </w:rPr>
      </w:pPr>
    </w:p>
    <w:p>
      <w:pPr>
        <w:jc w:val="both"/>
        <w:ind w:left="-635" w:firstLine="1265"/>
        <w:spacing w:after="0" w:line="254" w:lineRule="auto"/>
        <w:tabs>
          <w:tab w:leader="none" w:pos="1251" w:val="left"/>
        </w:tabs>
        <w:numPr>
          <w:ilvl w:val="1"/>
          <w:numId w:val="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Invention Assignment.</w:t>
      </w:r>
      <w:r>
        <w:rPr>
          <w:rFonts w:ascii="Times New Roman" w:cs="Times New Roman" w:eastAsia="Times New Roman" w:hAnsi="Times New Roman"/>
          <w:sz w:val="21"/>
          <w:szCs w:val="21"/>
          <w:color w:val="auto"/>
        </w:rPr>
        <w:t xml:space="preserve"> The Participant agrees that he or she will promptly disclose to the Company any invention or discovery, whether or not patentable (hereafter termed “invention” or “inventions”) that he or she makes or conceives, or first actually reduces to practice, solely or jointly with others, during the Participant’s employment, and which at the time of disclosure to the Company or at the time of making or conceiving, or first actually reducing to practice (a) results from or is related to any assignments given to or assumed by the Participant, or (b) is subject to any contractual obligation of the Company to a third party, or (c) utilized the time, equipment, supplies, facilities, or trade secret information of the Company, or (d) pertains to any actual or anticipated Company work, product, research, business activity, or any logical extension thereof, and the Participant will assign and does hereby assign to the Company the Participant’s entire right, title and interest (domestic and foreign and including all rights under the International Convention for the Protection of Industrial Property) in all such inventions, subject to the requirements of law, and without further compensation or award of any kind to the Participant from the Company, or any customer.</w:t>
      </w:r>
    </w:p>
    <w:p>
      <w:pPr>
        <w:spacing w:after="0" w:line="175" w:lineRule="exact"/>
        <w:rPr>
          <w:rFonts w:ascii="Times New Roman" w:cs="Times New Roman" w:eastAsia="Times New Roman" w:hAnsi="Times New Roman"/>
          <w:sz w:val="21"/>
          <w:szCs w:val="21"/>
          <w:color w:val="auto"/>
        </w:rPr>
      </w:pPr>
    </w:p>
    <w:p>
      <w:pPr>
        <w:jc w:val="both"/>
        <w:ind w:left="-635" w:firstLine="1265"/>
        <w:spacing w:after="0" w:line="271" w:lineRule="auto"/>
        <w:tabs>
          <w:tab w:leader="none" w:pos="1252" w:val="left"/>
        </w:tabs>
        <w:numPr>
          <w:ilvl w:val="1"/>
          <w:numId w:val="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Severability</w:t>
      </w:r>
      <w:r>
        <w:rPr>
          <w:rFonts w:ascii="Times New Roman" w:cs="Times New Roman" w:eastAsia="Times New Roman" w:hAnsi="Times New Roman"/>
          <w:sz w:val="21"/>
          <w:szCs w:val="21"/>
          <w:color w:val="auto"/>
        </w:rPr>
        <w:t>. The invalidity or unenforceability of any provision of this Agreement shall not affect the validity or enforceability of any other provision of this Agreement, and each other provision of this Agreement shall be severable and enforceable to the extent permitted by law.</w:t>
      </w:r>
    </w:p>
    <w:p>
      <w:pPr>
        <w:spacing w:after="0" w:line="153" w:lineRule="exact"/>
        <w:rPr>
          <w:rFonts w:ascii="Times New Roman" w:cs="Times New Roman" w:eastAsia="Times New Roman" w:hAnsi="Times New Roman"/>
          <w:sz w:val="21"/>
          <w:szCs w:val="21"/>
          <w:color w:val="auto"/>
        </w:rPr>
      </w:pPr>
    </w:p>
    <w:p>
      <w:pPr>
        <w:ind w:left="-635" w:firstLine="1265"/>
        <w:spacing w:after="0" w:line="281" w:lineRule="auto"/>
        <w:tabs>
          <w:tab w:leader="none" w:pos="1255" w:val="left"/>
        </w:tabs>
        <w:numPr>
          <w:ilvl w:val="1"/>
          <w:numId w:val="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Waiver</w:t>
      </w:r>
      <w:r>
        <w:rPr>
          <w:rFonts w:ascii="Times New Roman" w:cs="Times New Roman" w:eastAsia="Times New Roman" w:hAnsi="Times New Roman"/>
          <w:sz w:val="21"/>
          <w:szCs w:val="21"/>
          <w:color w:val="auto"/>
        </w:rPr>
        <w:t>. Any provision for the benefit of the Company contained in this Agreement may be waived, either generally or in any particular instance, by the Board of Directors of the Company.</w:t>
      </w:r>
    </w:p>
    <w:p>
      <w:pPr>
        <w:spacing w:after="0" w:line="143" w:lineRule="exact"/>
        <w:rPr>
          <w:rFonts w:ascii="Times New Roman" w:cs="Times New Roman" w:eastAsia="Times New Roman" w:hAnsi="Times New Roman"/>
          <w:sz w:val="21"/>
          <w:szCs w:val="21"/>
          <w:color w:val="auto"/>
        </w:rPr>
      </w:pPr>
    </w:p>
    <w:p>
      <w:pPr>
        <w:jc w:val="both"/>
        <w:ind w:left="-635" w:firstLine="1265"/>
        <w:spacing w:after="0" w:line="271" w:lineRule="auto"/>
        <w:tabs>
          <w:tab w:leader="none" w:pos="1251" w:val="left"/>
        </w:tabs>
        <w:numPr>
          <w:ilvl w:val="1"/>
          <w:numId w:val="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Binding Effect</w:t>
      </w:r>
      <w:r>
        <w:rPr>
          <w:rFonts w:ascii="Times New Roman" w:cs="Times New Roman" w:eastAsia="Times New Roman" w:hAnsi="Times New Roman"/>
          <w:sz w:val="21"/>
          <w:szCs w:val="21"/>
          <w:color w:val="auto"/>
        </w:rPr>
        <w:t>. This Agreement shall be binding upon and inure to the benefit of the Company and the Participant and their respective heirs, executors, administrators, legal representatives, successors and assigns, subject to the restrictions on transfer set forth in Section 4 of this Agreement.</w:t>
      </w:r>
    </w:p>
    <w:p>
      <w:pPr>
        <w:sectPr>
          <w:pgSz w:w="11900" w:h="16838" w:orient="portrait"/>
          <w:cols w:equalWidth="0" w:num="1">
            <w:col w:w="10605"/>
          </w:cols>
          <w:pgMar w:left="955" w:top="1005" w:right="339" w:bottom="1440" w:gutter="0" w:footer="0" w:header="0"/>
        </w:sectPr>
      </w:pPr>
    </w:p>
    <w:bookmarkStart w:id="80" w:name="page81"/>
    <w:bookmarkEnd w:id="80"/>
    <w:p>
      <w:pPr>
        <w:jc w:val="both"/>
        <w:ind w:left="-1120" w:firstLine="1265"/>
        <w:spacing w:after="0" w:line="263" w:lineRule="auto"/>
        <w:tabs>
          <w:tab w:leader="none" w:pos="766" w:val="left"/>
        </w:tabs>
        <w:numPr>
          <w:ilvl w:val="0"/>
          <w:numId w:val="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Notice</w:t>
      </w:r>
      <w:r>
        <w:rPr>
          <w:rFonts w:ascii="Times New Roman" w:cs="Times New Roman" w:eastAsia="Times New Roman" w:hAnsi="Times New Roman"/>
          <w:sz w:val="21"/>
          <w:szCs w:val="21"/>
          <w:color w:val="auto"/>
        </w:rPr>
        <w:t>. All notices required or permitted hereunder shall be in writing and deemed effectively given upon personal delivery or five days after deposit in the United States Post Office, by registered or certified mail, postage prepaid, addressed to the other party hereto at the address shown beneath his or its respective signature to this Agreement, or at such other address or addresses as either party shall designate to the other in accordance with this Section 7.</w:t>
      </w:r>
    </w:p>
    <w:p>
      <w:pPr>
        <w:spacing w:after="0" w:line="162" w:lineRule="exact"/>
        <w:rPr>
          <w:rFonts w:ascii="Times New Roman" w:cs="Times New Roman" w:eastAsia="Times New Roman" w:hAnsi="Times New Roman"/>
          <w:sz w:val="21"/>
          <w:szCs w:val="21"/>
          <w:color w:val="auto"/>
        </w:rPr>
      </w:pPr>
    </w:p>
    <w:p>
      <w:pPr>
        <w:jc w:val="both"/>
        <w:ind w:left="-1120" w:firstLine="1265"/>
        <w:spacing w:after="0" w:line="264" w:lineRule="auto"/>
        <w:tabs>
          <w:tab w:leader="none" w:pos="759" w:val="left"/>
        </w:tabs>
        <w:numPr>
          <w:ilvl w:val="0"/>
          <w:numId w:val="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Pronouns</w:t>
      </w:r>
      <w:r>
        <w:rPr>
          <w:rFonts w:ascii="Times New Roman" w:cs="Times New Roman" w:eastAsia="Times New Roman" w:hAnsi="Times New Roman"/>
          <w:sz w:val="21"/>
          <w:szCs w:val="21"/>
          <w:color w:val="auto"/>
        </w:rPr>
        <w:t>. Whenever the context may require, any pronouns used in this Agreement shall include the corresponding masculine, feminine or neuter forms, and the singular form of nouns and pronouns shall include the plural, and vice versa.</w:t>
      </w:r>
    </w:p>
    <w:p>
      <w:pPr>
        <w:spacing w:after="0" w:line="174" w:lineRule="exact"/>
        <w:rPr>
          <w:rFonts w:ascii="Times New Roman" w:cs="Times New Roman" w:eastAsia="Times New Roman" w:hAnsi="Times New Roman"/>
          <w:sz w:val="21"/>
          <w:szCs w:val="21"/>
          <w:color w:val="auto"/>
        </w:rPr>
      </w:pPr>
    </w:p>
    <w:p>
      <w:pPr>
        <w:jc w:val="both"/>
        <w:ind w:left="-1120" w:firstLine="1265"/>
        <w:spacing w:after="0" w:line="259" w:lineRule="auto"/>
        <w:tabs>
          <w:tab w:leader="none" w:pos="759" w:val="left"/>
        </w:tabs>
        <w:numPr>
          <w:ilvl w:val="0"/>
          <w:numId w:val="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Governing Law</w:t>
      </w:r>
      <w:r>
        <w:rPr>
          <w:rFonts w:ascii="Times New Roman" w:cs="Times New Roman" w:eastAsia="Times New Roman" w:hAnsi="Times New Roman"/>
          <w:sz w:val="21"/>
          <w:szCs w:val="21"/>
          <w:color w:val="auto"/>
        </w:rPr>
        <w:t>. This Agreement and any disputes hereunder shall be governed by and construed in accordance with the internal laws of the State of Delaware without giving effect to any choice or conflict of law provision or rule (whether of Delaware or any other jurisdiction) that would cause the application of laws of any jurisdiction other than those of Delaware.</w:t>
      </w:r>
    </w:p>
    <w:p>
      <w:pPr>
        <w:spacing w:after="0" w:line="165" w:lineRule="exact"/>
        <w:rPr>
          <w:rFonts w:ascii="Times New Roman" w:cs="Times New Roman" w:eastAsia="Times New Roman" w:hAnsi="Times New Roman"/>
          <w:sz w:val="21"/>
          <w:szCs w:val="21"/>
          <w:color w:val="auto"/>
        </w:rPr>
      </w:pPr>
    </w:p>
    <w:p>
      <w:pPr>
        <w:jc w:val="both"/>
        <w:ind w:left="-1120" w:firstLine="1265"/>
        <w:spacing w:after="0" w:line="263" w:lineRule="auto"/>
        <w:tabs>
          <w:tab w:leader="none" w:pos="766" w:val="left"/>
        </w:tabs>
        <w:numPr>
          <w:ilvl w:val="0"/>
          <w:numId w:val="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Participant’s Acknowledgments</w:t>
      </w:r>
      <w:r>
        <w:rPr>
          <w:rFonts w:ascii="Times New Roman" w:cs="Times New Roman" w:eastAsia="Times New Roman" w:hAnsi="Times New Roman"/>
          <w:sz w:val="21"/>
          <w:szCs w:val="21"/>
          <w:color w:val="auto"/>
        </w:rPr>
        <w:t>. The Participant acknowledges that he or she: (i) has read this Agreement; (ii) has been represented in the preparation, negotiation, and execution of this Agreement by legal counsel of the Participant’s own choice or has voluntarily declined to seek such counsel; (iii) understands the terms and consequences of this Agreement; and (iv) is fully aware of the legal and binding effect of this Agreement.</w:t>
      </w:r>
    </w:p>
    <w:p>
      <w:pPr>
        <w:spacing w:after="0" w:line="162" w:lineRule="exact"/>
        <w:rPr>
          <w:rFonts w:ascii="Times New Roman" w:cs="Times New Roman" w:eastAsia="Times New Roman" w:hAnsi="Times New Roman"/>
          <w:sz w:val="21"/>
          <w:szCs w:val="21"/>
          <w:color w:val="auto"/>
        </w:rPr>
      </w:pPr>
    </w:p>
    <w:p>
      <w:pPr>
        <w:jc w:val="both"/>
        <w:ind w:left="-1120" w:firstLine="1265"/>
        <w:spacing w:after="0" w:line="263" w:lineRule="auto"/>
        <w:tabs>
          <w:tab w:leader="none" w:pos="759" w:val="left"/>
        </w:tabs>
        <w:numPr>
          <w:ilvl w:val="0"/>
          <w:numId w:val="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Section 409A</w:t>
      </w:r>
      <w:r>
        <w:rPr>
          <w:rFonts w:ascii="Times New Roman" w:cs="Times New Roman" w:eastAsia="Times New Roman" w:hAnsi="Times New Roman"/>
          <w:sz w:val="21"/>
          <w:szCs w:val="21"/>
          <w:color w:val="auto"/>
        </w:rPr>
        <w:t>. This Agreement is intended to be exempt from, or compliant with, Section 409A and shall be interpreted and construed consistently therewith. Notwithstanding the foregoing, in no event shall the Company have any liability to the Participant or to any other person in the event that the Agreement is determined to not be exempt from or compliant with Section 409A.</w:t>
      </w:r>
    </w:p>
    <w:p>
      <w:pPr>
        <w:spacing w:after="0" w:line="162" w:lineRule="exact"/>
        <w:rPr>
          <w:rFonts w:ascii="Times New Roman" w:cs="Times New Roman" w:eastAsia="Times New Roman" w:hAnsi="Times New Roman"/>
          <w:sz w:val="21"/>
          <w:szCs w:val="21"/>
          <w:color w:val="auto"/>
        </w:rPr>
      </w:pPr>
    </w:p>
    <w:p>
      <w:pPr>
        <w:jc w:val="both"/>
        <w:ind w:left="-1120" w:firstLine="1265"/>
        <w:spacing w:after="0" w:line="264" w:lineRule="auto"/>
        <w:tabs>
          <w:tab w:leader="none" w:pos="759" w:val="left"/>
        </w:tabs>
        <w:numPr>
          <w:ilvl w:val="0"/>
          <w:numId w:val="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Unfunded Rights</w:t>
      </w:r>
      <w:r>
        <w:rPr>
          <w:rFonts w:ascii="Times New Roman" w:cs="Times New Roman" w:eastAsia="Times New Roman" w:hAnsi="Times New Roman"/>
          <w:sz w:val="21"/>
          <w:szCs w:val="21"/>
          <w:color w:val="auto"/>
        </w:rPr>
        <w:t>. The right of the Participant to receive Shares pursuant to this Agreement is an unfunded and unsecured obligation of the Company. The Participant shall have no rights under this Agreement other than those of an unsecured general creditor of the Company.</w:t>
      </w:r>
    </w:p>
    <w:p>
      <w:pPr>
        <w:sectPr>
          <w:pgSz w:w="11900" w:h="16838" w:orient="portrait"/>
          <w:cols w:equalWidth="0" w:num="1">
            <w:col w:w="10120"/>
          </w:cols>
          <w:pgMar w:left="1440" w:top="1005"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20"/>
          <w:szCs w:val="20"/>
          <w:color w:val="auto"/>
        </w:rPr>
        <w:t>IN WITNESS WHEREOF, the parties hereto have executed this Agreement as of the day and year first above written.</w:t>
      </w:r>
    </w:p>
    <w:p>
      <w:pPr>
        <w:sectPr>
          <w:pgSz w:w="11900" w:h="16838" w:orient="portrait"/>
          <w:cols w:equalWidth="0" w:num="1">
            <w:col w:w="9900"/>
          </w:cols>
          <w:pgMar w:left="960" w:top="1005" w:right="1039" w:bottom="1440" w:gutter="0" w:footer="0" w:header="0"/>
        </w:sectPr>
      </w:pPr>
    </w:p>
    <w:p>
      <w:pPr>
        <w:spacing w:after="0" w:line="226"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21"/>
          <w:szCs w:val="21"/>
          <w:b w:val="1"/>
          <w:bCs w:val="1"/>
          <w:color w:val="auto"/>
        </w:rPr>
        <w:t>Skyworks Solutions, Inc</w:t>
      </w:r>
      <w:r>
        <w:rPr>
          <w:rFonts w:ascii="Times New Roman" w:cs="Times New Roman" w:eastAsia="Times New Roman" w:hAnsi="Times New Roman"/>
          <w:sz w:val="21"/>
          <w:szCs w:val="21"/>
          <w:color w:val="auto"/>
        </w:rPr>
        <w:t>.</w:t>
      </w:r>
    </w:p>
    <w:p>
      <w:pPr>
        <w:spacing w:after="0" w:line="236" w:lineRule="exact"/>
        <w:rPr>
          <w:sz w:val="20"/>
          <w:szCs w:val="20"/>
          <w:color w:val="auto"/>
        </w:rPr>
      </w:pPr>
    </w:p>
    <w:p>
      <w:pPr>
        <w:ind w:left="3140"/>
        <w:spacing w:after="0"/>
        <w:rPr>
          <w:sz w:val="20"/>
          <w:szCs w:val="20"/>
          <w:color w:val="auto"/>
        </w:rPr>
      </w:pPr>
      <w:r>
        <w:rPr>
          <w:rFonts w:ascii="Arial" w:cs="Arial" w:eastAsia="Arial" w:hAnsi="Arial"/>
          <w:sz w:val="21"/>
          <w:szCs w:val="21"/>
          <w:u w:val="single" w:color="auto"/>
          <w:color w:val="auto"/>
        </w:rPr>
        <w:t>______________________</w:t>
      </w:r>
    </w:p>
    <w:p>
      <w:pPr>
        <w:spacing w:after="0" w:line="31"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21"/>
          <w:szCs w:val="21"/>
          <w:color w:val="auto"/>
        </w:rPr>
        <w:t>Liam K. Griffin</w:t>
      </w:r>
    </w:p>
    <w:p>
      <w:pPr>
        <w:spacing w:after="0" w:line="8"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21"/>
          <w:szCs w:val="21"/>
          <w:color w:val="auto"/>
        </w:rPr>
        <w:t>Chairman, Chief Executive Officer and President</w:t>
      </w:r>
    </w:p>
    <w:p>
      <w:pPr>
        <w:spacing w:after="0" w:line="216"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21"/>
          <w:szCs w:val="21"/>
          <w:b w:val="1"/>
          <w:bCs w:val="1"/>
          <w:color w:val="auto"/>
        </w:rPr>
        <w:t>Participant (Signature):____________________</w:t>
      </w:r>
    </w:p>
    <w:p>
      <w:pPr>
        <w:spacing w:after="0" w:line="218"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21"/>
          <w:szCs w:val="21"/>
          <w:color w:val="auto"/>
        </w:rPr>
        <w:t xml:space="preserve">Print Name </w:t>
      </w:r>
      <w:r>
        <w:rPr>
          <w:rFonts w:ascii="Times New Roman" w:cs="Times New Roman" w:eastAsia="Times New Roman" w:hAnsi="Times New Roman"/>
          <w:sz w:val="21"/>
          <w:szCs w:val="21"/>
          <w:b w:val="1"/>
          <w:bCs w:val="1"/>
          <w:color w:val="auto"/>
        </w:rPr>
        <w:t>______________________________</w:t>
      </w:r>
    </w:p>
    <w:p>
      <w:pPr>
        <w:sectPr>
          <w:pgSz w:w="11900" w:h="16838" w:orient="portrait"/>
          <w:cols w:equalWidth="0" w:num="1">
            <w:col w:w="9900"/>
          </w:cols>
          <w:pgMar w:left="960" w:top="1005" w:right="1039" w:bottom="1440" w:gutter="0" w:footer="0" w:header="0"/>
          <w:type w:val="continuous"/>
        </w:sectPr>
      </w:pPr>
    </w:p>
    <w:bookmarkStart w:id="82" w:name="page83"/>
    <w:bookmarkEnd w:id="82"/>
    <w:p>
      <w:pPr>
        <w:jc w:val="right"/>
        <w:spacing w:after="0"/>
        <w:rPr>
          <w:sz w:val="20"/>
          <w:szCs w:val="20"/>
          <w:color w:val="auto"/>
        </w:rPr>
      </w:pPr>
      <w:r>
        <w:rPr>
          <w:rFonts w:ascii="Times New Roman" w:cs="Times New Roman" w:eastAsia="Times New Roman" w:hAnsi="Times New Roman"/>
          <w:sz w:val="18"/>
          <w:szCs w:val="18"/>
          <w:b w:val="1"/>
          <w:bCs w:val="1"/>
          <w:color w:val="auto"/>
        </w:rPr>
        <w:t>Exhibit 10.9</w:t>
      </w:r>
    </w:p>
    <w:p>
      <w:pPr>
        <w:spacing w:after="0" w:line="194" w:lineRule="exact"/>
        <w:rPr>
          <w:sz w:val="20"/>
          <w:szCs w:val="20"/>
          <w:color w:val="auto"/>
        </w:rPr>
      </w:pPr>
    </w:p>
    <w:p>
      <w:pPr>
        <w:jc w:val="center"/>
        <w:spacing w:after="0"/>
        <w:rPr>
          <w:sz w:val="20"/>
          <w:szCs w:val="20"/>
          <w:color w:val="auto"/>
        </w:rPr>
      </w:pPr>
      <w:r>
        <w:rPr>
          <w:rFonts w:ascii="Cambria" w:cs="Cambria" w:eastAsia="Cambria" w:hAnsi="Cambria"/>
          <w:sz w:val="35"/>
          <w:szCs w:val="35"/>
          <w:b w:val="1"/>
          <w:bCs w:val="1"/>
          <w:color w:val="auto"/>
        </w:rPr>
        <w:t>SKYWORKS SOLUTIONS, INC.</w:t>
      </w:r>
    </w:p>
    <w:p>
      <w:pPr>
        <w:jc w:val="center"/>
        <w:ind w:right="40"/>
        <w:spacing w:after="0" w:line="254" w:lineRule="auto"/>
        <w:rPr>
          <w:sz w:val="20"/>
          <w:szCs w:val="20"/>
          <w:color w:val="auto"/>
        </w:rPr>
      </w:pPr>
      <w:r>
        <w:rPr>
          <w:rFonts w:ascii="Cambria" w:cs="Cambria" w:eastAsia="Cambria" w:hAnsi="Cambria"/>
          <w:sz w:val="24"/>
          <w:szCs w:val="24"/>
          <w:b w:val="1"/>
          <w:bCs w:val="1"/>
          <w:color w:val="auto"/>
        </w:rPr>
        <w:t>RESTRICTED STOCK UNIT AGREEMENT GRANTED UNDER SECOND AMENDED AND RESTATED 2015 LONG-TERM INCENTIVE PLAN</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Date (the “Grant Date”): [ ]</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Name (the “Participant”): [ ]</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Award (the “Award”): [ ] restricted stock units</w:t>
      </w:r>
    </w:p>
    <w:p>
      <w:pPr>
        <w:spacing w:after="0" w:line="200" w:lineRule="exact"/>
        <w:rPr>
          <w:sz w:val="20"/>
          <w:szCs w:val="20"/>
          <w:color w:val="auto"/>
        </w:rPr>
      </w:pPr>
    </w:p>
    <w:p>
      <w:pPr>
        <w:spacing w:after="0" w:line="254" w:lineRule="exact"/>
        <w:rPr>
          <w:sz w:val="20"/>
          <w:szCs w:val="20"/>
          <w:color w:val="auto"/>
        </w:rPr>
      </w:pPr>
    </w:p>
    <w:p>
      <w:pPr>
        <w:ind w:right="300" w:firstLine="630"/>
        <w:spacing w:after="0" w:line="281" w:lineRule="auto"/>
        <w:rPr>
          <w:sz w:val="20"/>
          <w:szCs w:val="20"/>
          <w:color w:val="auto"/>
        </w:rPr>
      </w:pPr>
      <w:r>
        <w:rPr>
          <w:rFonts w:ascii="Times New Roman" w:cs="Times New Roman" w:eastAsia="Times New Roman" w:hAnsi="Times New Roman"/>
          <w:sz w:val="21"/>
          <w:szCs w:val="21"/>
          <w:color w:val="auto"/>
        </w:rPr>
        <w:t>AGREEMENT made on the Grant Date, between Skyworks Solutions, Inc., a Delaware corporation (the “Company”), and the Participant.</w:t>
      </w:r>
    </w:p>
    <w:p>
      <w:pPr>
        <w:spacing w:after="0" w:line="15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For good and valuable consideration, receipt of which is acknowledged, the parties hereto agree as follows:</w:t>
      </w:r>
    </w:p>
    <w:p>
      <w:pPr>
        <w:spacing w:after="0" w:line="218" w:lineRule="exact"/>
        <w:rPr>
          <w:sz w:val="20"/>
          <w:szCs w:val="20"/>
          <w:color w:val="auto"/>
        </w:rPr>
      </w:pPr>
    </w:p>
    <w:p>
      <w:pPr>
        <w:ind w:left="1260" w:hanging="625"/>
        <w:spacing w:after="0"/>
        <w:tabs>
          <w:tab w:leader="none" w:pos="1260" w:val="left"/>
        </w:tabs>
        <w:numPr>
          <w:ilvl w:val="0"/>
          <w:numId w:val="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Grant of Award</w:t>
      </w:r>
      <w:r>
        <w:rPr>
          <w:rFonts w:ascii="Times New Roman" w:cs="Times New Roman" w:eastAsia="Times New Roman" w:hAnsi="Times New Roman"/>
          <w:sz w:val="21"/>
          <w:szCs w:val="21"/>
          <w:color w:val="auto"/>
        </w:rPr>
        <w:t>.</w:t>
      </w:r>
    </w:p>
    <w:p>
      <w:pPr>
        <w:spacing w:after="0" w:line="218" w:lineRule="exact"/>
        <w:rPr>
          <w:sz w:val="20"/>
          <w:szCs w:val="20"/>
          <w:color w:val="auto"/>
        </w:rPr>
      </w:pPr>
    </w:p>
    <w:p>
      <w:pPr>
        <w:jc w:val="both"/>
        <w:ind w:firstLine="630"/>
        <w:spacing w:after="0" w:line="254" w:lineRule="auto"/>
        <w:rPr>
          <w:sz w:val="20"/>
          <w:szCs w:val="20"/>
          <w:color w:val="auto"/>
        </w:rPr>
      </w:pPr>
      <w:r>
        <w:rPr>
          <w:rFonts w:ascii="Times New Roman" w:cs="Times New Roman" w:eastAsia="Times New Roman" w:hAnsi="Times New Roman"/>
          <w:sz w:val="21"/>
          <w:szCs w:val="21"/>
          <w:color w:val="auto"/>
        </w:rPr>
        <w:t>This Restricted Stock Unit Agreement (the “Agreement”) evidences the grant by the Company on the Grant Date to the Participant of the Award, subject to the terms and conditions set forth in this Agreement and in the Company’s Second Amended and Restated 2015 Long-Term Incentive Plan (the “Plan”). Each Restricted Stock Unit represents the right to receive one share of the common stock, $0.25 par value per share, of the Company (“Common Stock”) upon the satisfaction of the vesting conditions as provided in Section 2 of this Agreement. The shares of Common Stock that are issuable upon vesting are referred to in this Agreement as “Shares.” No Shares shall be issued by the Company and delivered to the Participant unless, and until, all conditions set forth herein for such issuance and delivery are met. If the Participant does not accept this Award during the period beginning with the Grant Date and ending on the day that is two (2) business days prior to the first applicable vesting date, as set forth in Section 2, then the Award will be forfeited immediately following such period and the Participant will have no further rights with respect to the Award or any Shares issuable thereunder.</w:t>
      </w:r>
    </w:p>
    <w:p>
      <w:pPr>
        <w:spacing w:after="0" w:line="175" w:lineRule="exact"/>
        <w:rPr>
          <w:sz w:val="20"/>
          <w:szCs w:val="20"/>
          <w:color w:val="auto"/>
        </w:rPr>
      </w:pPr>
    </w:p>
    <w:p>
      <w:pPr>
        <w:ind w:left="1260" w:hanging="625"/>
        <w:spacing w:after="0"/>
        <w:tabs>
          <w:tab w:leader="none" w:pos="1260" w:val="left"/>
        </w:tabs>
        <w:numPr>
          <w:ilvl w:val="0"/>
          <w:numId w:val="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Vesting Schedule; Forfeiture</w:t>
      </w:r>
      <w:r>
        <w:rPr>
          <w:rFonts w:ascii="Times New Roman" w:cs="Times New Roman" w:eastAsia="Times New Roman" w:hAnsi="Times New Roman"/>
          <w:sz w:val="21"/>
          <w:szCs w:val="21"/>
          <w:color w:val="auto"/>
        </w:rPr>
        <w:t>.</w:t>
      </w:r>
    </w:p>
    <w:p>
      <w:pPr>
        <w:spacing w:after="0" w:line="218" w:lineRule="exact"/>
        <w:rPr>
          <w:rFonts w:ascii="Times New Roman" w:cs="Times New Roman" w:eastAsia="Times New Roman" w:hAnsi="Times New Roman"/>
          <w:sz w:val="21"/>
          <w:szCs w:val="21"/>
          <w:color w:val="auto"/>
        </w:rPr>
      </w:pPr>
    </w:p>
    <w:p>
      <w:pPr>
        <w:jc w:val="both"/>
        <w:ind w:firstLine="1265"/>
        <w:spacing w:after="0" w:line="255" w:lineRule="auto"/>
        <w:tabs>
          <w:tab w:leader="none" w:pos="1887" w:val="left"/>
        </w:tabs>
        <w:numPr>
          <w:ilvl w:val="1"/>
          <w:numId w:val="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Vesting Schedule</w:t>
      </w:r>
      <w:r>
        <w:rPr>
          <w:rFonts w:ascii="Times New Roman" w:cs="Times New Roman" w:eastAsia="Times New Roman" w:hAnsi="Times New Roman"/>
          <w:sz w:val="21"/>
          <w:szCs w:val="21"/>
          <w:color w:val="auto"/>
        </w:rPr>
        <w:t>. Unless otherwise provided in this Agreement or the Plan, the Award shall vest in accordance with the following vesting schedule: twenty-five percent (</w:t>
      </w:r>
      <w:r>
        <w:rPr>
          <w:rFonts w:ascii="Times New Roman" w:cs="Times New Roman" w:eastAsia="Times New Roman" w:hAnsi="Times New Roman"/>
          <w:sz w:val="21"/>
          <w:szCs w:val="21"/>
          <w:b w:val="1"/>
          <w:bCs w:val="1"/>
          <w:color w:val="auto"/>
        </w:rPr>
        <w:t>25%)</w:t>
      </w:r>
      <w:r>
        <w:rPr>
          <w:rFonts w:ascii="Times New Roman" w:cs="Times New Roman" w:eastAsia="Times New Roman" w:hAnsi="Times New Roman"/>
          <w:sz w:val="21"/>
          <w:szCs w:val="21"/>
          <w:color w:val="auto"/>
        </w:rPr>
        <w:t xml:space="preserve"> of the total number of Restricted Stock Units shall vest on the first anniversary of the Grant Date, twenty-five percent (</w:t>
      </w:r>
      <w:r>
        <w:rPr>
          <w:rFonts w:ascii="Times New Roman" w:cs="Times New Roman" w:eastAsia="Times New Roman" w:hAnsi="Times New Roman"/>
          <w:sz w:val="21"/>
          <w:szCs w:val="21"/>
          <w:b w:val="1"/>
          <w:bCs w:val="1"/>
          <w:color w:val="auto"/>
        </w:rPr>
        <w:t>25%)</w:t>
      </w:r>
      <w:r>
        <w:rPr>
          <w:rFonts w:ascii="Times New Roman" w:cs="Times New Roman" w:eastAsia="Times New Roman" w:hAnsi="Times New Roman"/>
          <w:sz w:val="21"/>
          <w:szCs w:val="21"/>
          <w:color w:val="auto"/>
        </w:rPr>
        <w:t xml:space="preserve"> of the total number of Restricted Stock Units shall vest on the second anniversary of the Grant Date, twenty-five percent (</w:t>
      </w:r>
      <w:r>
        <w:rPr>
          <w:rFonts w:ascii="Times New Roman" w:cs="Times New Roman" w:eastAsia="Times New Roman" w:hAnsi="Times New Roman"/>
          <w:sz w:val="21"/>
          <w:szCs w:val="21"/>
          <w:b w:val="1"/>
          <w:bCs w:val="1"/>
          <w:color w:val="auto"/>
        </w:rPr>
        <w:t>25%)</w:t>
      </w:r>
      <w:r>
        <w:rPr>
          <w:rFonts w:ascii="Times New Roman" w:cs="Times New Roman" w:eastAsia="Times New Roman" w:hAnsi="Times New Roman"/>
          <w:sz w:val="21"/>
          <w:szCs w:val="21"/>
          <w:color w:val="auto"/>
        </w:rPr>
        <w:t xml:space="preserve"> of the total number of Restricted Stock Units shall vest on the third anniversary of the Grant Date and twenty-five percent (</w:t>
      </w:r>
      <w:r>
        <w:rPr>
          <w:rFonts w:ascii="Times New Roman" w:cs="Times New Roman" w:eastAsia="Times New Roman" w:hAnsi="Times New Roman"/>
          <w:sz w:val="21"/>
          <w:szCs w:val="21"/>
          <w:b w:val="1"/>
          <w:bCs w:val="1"/>
          <w:color w:val="auto"/>
        </w:rPr>
        <w:t>25%)</w:t>
      </w:r>
      <w:r>
        <w:rPr>
          <w:rFonts w:ascii="Times New Roman" w:cs="Times New Roman" w:eastAsia="Times New Roman" w:hAnsi="Times New Roman"/>
          <w:sz w:val="21"/>
          <w:szCs w:val="21"/>
          <w:color w:val="auto"/>
        </w:rPr>
        <w:t xml:space="preserve"> of the total number of Restricted Stock Units shall vest on the fourth anniversary of the Grant Date, provided the Participant continues to provide active service to the Company and/or its subsidiaries and affiliates on each vesting date. The Company shall have the sole</w:t>
      </w:r>
    </w:p>
    <w:p>
      <w:pPr>
        <w:sectPr>
          <w:pgSz w:w="11900" w:h="16838" w:orient="portrait"/>
          <w:cols w:equalWidth="0" w:num="1">
            <w:col w:w="11240"/>
          </w:cols>
          <w:pgMar w:left="320" w:top="1248" w:right="339" w:bottom="1440" w:gutter="0" w:footer="0" w:header="0"/>
        </w:sectPr>
      </w:pPr>
    </w:p>
    <w:bookmarkStart w:id="83" w:name="page84"/>
    <w:bookmarkEnd w:id="83"/>
    <w:p>
      <w:pPr>
        <w:spacing w:after="0" w:line="294" w:lineRule="auto"/>
        <w:rPr>
          <w:sz w:val="20"/>
          <w:szCs w:val="20"/>
          <w:color w:val="auto"/>
        </w:rPr>
      </w:pPr>
      <w:r>
        <w:rPr>
          <w:rFonts w:ascii="Times New Roman" w:cs="Times New Roman" w:eastAsia="Times New Roman" w:hAnsi="Times New Roman"/>
          <w:sz w:val="21"/>
          <w:szCs w:val="21"/>
          <w:color w:val="auto"/>
        </w:rPr>
        <w:t>discretion to define what constitutes providing active services for vesting purposes (including whether the Participant may still be considered to be providing services while on a leave of absence in accordance with the Company’s leave policies).</w:t>
      </w:r>
    </w:p>
    <w:p>
      <w:pPr>
        <w:spacing w:after="0" w:line="130" w:lineRule="exact"/>
        <w:rPr>
          <w:sz w:val="20"/>
          <w:szCs w:val="20"/>
          <w:color w:val="auto"/>
        </w:rPr>
      </w:pPr>
    </w:p>
    <w:p>
      <w:pPr>
        <w:jc w:val="both"/>
        <w:ind w:firstLine="1265"/>
        <w:spacing w:after="0" w:line="255" w:lineRule="auto"/>
        <w:tabs>
          <w:tab w:leader="none" w:pos="1886" w:val="left"/>
        </w:tabs>
        <w:numPr>
          <w:ilvl w:val="1"/>
          <w:numId w:val="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Forfeiture upon Termination of Service</w:t>
      </w:r>
      <w:r>
        <w:rPr>
          <w:rFonts w:ascii="Times New Roman" w:cs="Times New Roman" w:eastAsia="Times New Roman" w:hAnsi="Times New Roman"/>
          <w:sz w:val="21"/>
          <w:szCs w:val="21"/>
          <w:color w:val="auto"/>
        </w:rPr>
        <w:t>. Except as otherwise provided in the Plan, in the event that the Participant ceases to be employed by the Company for any reason or no reason, with or without Cause, all of the Restricted Stock Units that have not yet vested pursuant to Section 2(a) of this Agreement as of the time of such Termination of Service shall be forfeited immediately and automatically, without the payment of any consideration to the Participant, effective as of such Termination of Service. The Participant shall have no further rights with respect to any Restricted Stock Units that are so forfeited. If the Participant is employed by a Subsidiary of the Company, any references in this Agreement to employment with the Company shall instead be deemed to refer to employment with such Subsidiary.</w:t>
      </w:r>
    </w:p>
    <w:p>
      <w:pPr>
        <w:spacing w:after="0" w:line="173" w:lineRule="exact"/>
        <w:rPr>
          <w:rFonts w:ascii="Times New Roman" w:cs="Times New Roman" w:eastAsia="Times New Roman" w:hAnsi="Times New Roman"/>
          <w:sz w:val="21"/>
          <w:szCs w:val="21"/>
          <w:color w:val="auto"/>
        </w:rPr>
      </w:pPr>
    </w:p>
    <w:p>
      <w:pPr>
        <w:ind w:left="1260" w:hanging="625"/>
        <w:spacing w:after="0"/>
        <w:tabs>
          <w:tab w:leader="none" w:pos="1260" w:val="left"/>
        </w:tabs>
        <w:numPr>
          <w:ilvl w:val="0"/>
          <w:numId w:val="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Issuance of Shares</w:t>
      </w:r>
      <w:r>
        <w:rPr>
          <w:rFonts w:ascii="Times New Roman" w:cs="Times New Roman" w:eastAsia="Times New Roman" w:hAnsi="Times New Roman"/>
          <w:sz w:val="21"/>
          <w:szCs w:val="21"/>
          <w:color w:val="auto"/>
        </w:rPr>
        <w:t>.</w:t>
      </w:r>
    </w:p>
    <w:p>
      <w:pPr>
        <w:spacing w:after="0" w:line="218" w:lineRule="exact"/>
        <w:rPr>
          <w:rFonts w:ascii="Times New Roman" w:cs="Times New Roman" w:eastAsia="Times New Roman" w:hAnsi="Times New Roman"/>
          <w:sz w:val="21"/>
          <w:szCs w:val="21"/>
          <w:color w:val="auto"/>
        </w:rPr>
      </w:pPr>
    </w:p>
    <w:p>
      <w:pPr>
        <w:jc w:val="both"/>
        <w:ind w:firstLine="1265"/>
        <w:spacing w:after="0" w:line="271" w:lineRule="auto"/>
        <w:tabs>
          <w:tab w:leader="none" w:pos="1887" w:val="left"/>
        </w:tabs>
        <w:numPr>
          <w:ilvl w:val="1"/>
          <w:numId w:val="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Subject to the provisions of this Agreement, any Shares subject to vested Restricted Stock Units shall be issued within 30 days following the applicable vesting date as set forth in Section 2 above. Settlement of Restricted Stock Units shall be in Shares only.</w:t>
      </w:r>
    </w:p>
    <w:p>
      <w:pPr>
        <w:spacing w:after="0" w:line="153" w:lineRule="exact"/>
        <w:rPr>
          <w:rFonts w:ascii="Times New Roman" w:cs="Times New Roman" w:eastAsia="Times New Roman" w:hAnsi="Times New Roman"/>
          <w:sz w:val="21"/>
          <w:szCs w:val="21"/>
          <w:color w:val="auto"/>
        </w:rPr>
      </w:pPr>
    </w:p>
    <w:p>
      <w:pPr>
        <w:jc w:val="both"/>
        <w:ind w:firstLine="1265"/>
        <w:spacing w:after="0" w:line="259" w:lineRule="auto"/>
        <w:tabs>
          <w:tab w:leader="none" w:pos="1886" w:val="left"/>
        </w:tabs>
        <w:numPr>
          <w:ilvl w:val="1"/>
          <w:numId w:val="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shall not be obligated to issue and deliver the Shares to the Participant on any vesting date, unless the issuance and delivery of the Shares shall comply with all relevant provisions of law and other legal requirements including, without limitation, any applicable federal or state or foreign securities laws and the requirements of any stock exchange upon which the Shares may then be listed.</w:t>
      </w:r>
    </w:p>
    <w:p>
      <w:pPr>
        <w:spacing w:after="0" w:line="178" w:lineRule="exact"/>
        <w:rPr>
          <w:rFonts w:ascii="Times New Roman" w:cs="Times New Roman" w:eastAsia="Times New Roman" w:hAnsi="Times New Roman"/>
          <w:sz w:val="21"/>
          <w:szCs w:val="21"/>
          <w:color w:val="auto"/>
        </w:rPr>
      </w:pPr>
    </w:p>
    <w:p>
      <w:pPr>
        <w:ind w:left="1260" w:hanging="625"/>
        <w:spacing w:after="0"/>
        <w:tabs>
          <w:tab w:leader="none" w:pos="1260" w:val="left"/>
        </w:tabs>
        <w:numPr>
          <w:ilvl w:val="0"/>
          <w:numId w:val="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Restrictions on Transfer</w:t>
      </w:r>
      <w:r>
        <w:rPr>
          <w:rFonts w:ascii="Times New Roman" w:cs="Times New Roman" w:eastAsia="Times New Roman" w:hAnsi="Times New Roman"/>
          <w:sz w:val="21"/>
          <w:szCs w:val="21"/>
          <w:color w:val="auto"/>
        </w:rPr>
        <w:t>.</w:t>
      </w:r>
    </w:p>
    <w:p>
      <w:pPr>
        <w:spacing w:after="0" w:line="218" w:lineRule="exact"/>
        <w:rPr>
          <w:sz w:val="20"/>
          <w:szCs w:val="20"/>
          <w:color w:val="auto"/>
        </w:rPr>
      </w:pPr>
    </w:p>
    <w:p>
      <w:pPr>
        <w:jc w:val="both"/>
        <w:ind w:firstLine="630"/>
        <w:spacing w:after="0" w:line="264" w:lineRule="auto"/>
        <w:rPr>
          <w:sz w:val="20"/>
          <w:szCs w:val="20"/>
          <w:color w:val="auto"/>
        </w:rPr>
      </w:pPr>
      <w:r>
        <w:rPr>
          <w:rFonts w:ascii="Times New Roman" w:cs="Times New Roman" w:eastAsia="Times New Roman" w:hAnsi="Times New Roman"/>
          <w:sz w:val="21"/>
          <w:szCs w:val="21"/>
          <w:color w:val="auto"/>
        </w:rPr>
        <w:t>The Participant shall not sell, assign, transfer, pledge, hypothecate or otherwise dispose of, by operation of law or otherwise, the Award or the Shares subject to the Award (until such Shares have been issued upon vesting of the Award pursuant to Section 3(a) hereof), or any interest therein, except by will or the laws of descent and distribution.</w:t>
      </w:r>
    </w:p>
    <w:p>
      <w:pPr>
        <w:spacing w:after="0" w:line="161" w:lineRule="exact"/>
        <w:rPr>
          <w:sz w:val="20"/>
          <w:szCs w:val="20"/>
          <w:color w:val="auto"/>
        </w:rPr>
      </w:pPr>
    </w:p>
    <w:p>
      <w:pPr>
        <w:ind w:left="1260" w:hanging="625"/>
        <w:spacing w:after="0"/>
        <w:tabs>
          <w:tab w:leader="none" w:pos="1260" w:val="left"/>
        </w:tabs>
        <w:numPr>
          <w:ilvl w:val="0"/>
          <w:numId w:val="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Provisions of the Plan; Dividend and Other Shareholder Rights.</w:t>
      </w:r>
    </w:p>
    <w:p>
      <w:pPr>
        <w:spacing w:after="0" w:line="231" w:lineRule="exact"/>
        <w:rPr>
          <w:sz w:val="20"/>
          <w:szCs w:val="20"/>
          <w:color w:val="auto"/>
        </w:rPr>
      </w:pPr>
    </w:p>
    <w:p>
      <w:pPr>
        <w:jc w:val="both"/>
        <w:ind w:firstLine="630"/>
        <w:spacing w:after="0" w:line="256" w:lineRule="auto"/>
        <w:rPr>
          <w:sz w:val="20"/>
          <w:szCs w:val="20"/>
          <w:color w:val="auto"/>
        </w:rPr>
      </w:pPr>
      <w:r>
        <w:rPr>
          <w:rFonts w:ascii="Times New Roman" w:cs="Times New Roman" w:eastAsia="Times New Roman" w:hAnsi="Times New Roman"/>
          <w:sz w:val="21"/>
          <w:szCs w:val="21"/>
          <w:color w:val="auto"/>
        </w:rPr>
        <w:t>This Agreement is subject to the provisions of the Plan, a copy of which is furnished to the Participant with this Agreement. Capitalized terms not otherwise defined in this Agreement shall have the meaning set forth in the Plan. Except as set forth in the Plan, neither the Participant nor any person claiming under or through the Participant shall be, or have any rights or privileges of, a stockholder of the Company in respect of the Shares issuable pursuant to the Restricted Stock Units granted hereunder until the Shares have been issued by the Company and delivered to the Participant.</w:t>
      </w:r>
    </w:p>
    <w:p>
      <w:pPr>
        <w:spacing w:after="0" w:line="182" w:lineRule="exact"/>
        <w:rPr>
          <w:sz w:val="20"/>
          <w:szCs w:val="20"/>
          <w:color w:val="auto"/>
        </w:rPr>
      </w:pPr>
    </w:p>
    <w:p>
      <w:pPr>
        <w:ind w:left="1260" w:hanging="625"/>
        <w:spacing w:after="0"/>
        <w:tabs>
          <w:tab w:leader="none" w:pos="1260" w:val="left"/>
        </w:tabs>
        <w:numPr>
          <w:ilvl w:val="0"/>
          <w:numId w:val="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Withholding Taxes; No Section 83(b) Election</w:t>
      </w:r>
      <w:r>
        <w:rPr>
          <w:rFonts w:ascii="Times New Roman" w:cs="Times New Roman" w:eastAsia="Times New Roman" w:hAnsi="Times New Roman"/>
          <w:sz w:val="21"/>
          <w:szCs w:val="21"/>
          <w:color w:val="auto"/>
        </w:rPr>
        <w:t>.</w:t>
      </w:r>
    </w:p>
    <w:p>
      <w:pPr>
        <w:spacing w:after="0" w:line="218" w:lineRule="exact"/>
        <w:rPr>
          <w:rFonts w:ascii="Times New Roman" w:cs="Times New Roman" w:eastAsia="Times New Roman" w:hAnsi="Times New Roman"/>
          <w:sz w:val="21"/>
          <w:szCs w:val="21"/>
          <w:color w:val="auto"/>
        </w:rPr>
      </w:pPr>
    </w:p>
    <w:p>
      <w:pPr>
        <w:jc w:val="both"/>
        <w:ind w:firstLine="1265"/>
        <w:spacing w:after="0" w:line="264" w:lineRule="auto"/>
        <w:tabs>
          <w:tab w:leader="none" w:pos="1887" w:val="left"/>
        </w:tabs>
        <w:numPr>
          <w:ilvl w:val="1"/>
          <w:numId w:val="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On the date that Shares are to be issued upon vesting of the Award pursuant to Section 3 hereof, the Company shall automatically, and without any action or election by the Participant, withhold a number of Shares having a Fair Market Value on such</w:t>
      </w:r>
    </w:p>
    <w:p>
      <w:pPr>
        <w:sectPr>
          <w:pgSz w:w="11900" w:h="16838" w:orient="portrait"/>
          <w:cols w:equalWidth="0" w:num="1">
            <w:col w:w="11240"/>
          </w:cols>
          <w:pgMar w:left="320" w:top="1241" w:right="339" w:bottom="1440" w:gutter="0" w:footer="0" w:header="0"/>
        </w:sectPr>
      </w:pPr>
    </w:p>
    <w:bookmarkStart w:id="84" w:name="page85"/>
    <w:bookmarkEnd w:id="84"/>
    <w:p>
      <w:pPr>
        <w:jc w:val="both"/>
        <w:spacing w:after="0" w:line="263" w:lineRule="auto"/>
        <w:rPr>
          <w:sz w:val="20"/>
          <w:szCs w:val="20"/>
          <w:color w:val="auto"/>
        </w:rPr>
      </w:pPr>
      <w:r>
        <w:rPr>
          <w:rFonts w:ascii="Times New Roman" w:cs="Times New Roman" w:eastAsia="Times New Roman" w:hAnsi="Times New Roman"/>
          <w:sz w:val="21"/>
          <w:szCs w:val="21"/>
          <w:color w:val="auto"/>
        </w:rPr>
        <w:t>date equal to the amount sufficient to satisfy the taxes required by law to be withheld, based on the minimum statutory withholding rates for federal, state, local and foreign income tax and payroll tax purposes that are applicable to such taxable income; provided, however, that if the Participant is permitted by the Committee to elect to use a higher withholding rate, the number of Shares withheld shall be based on such higher withholding rate.</w:t>
      </w:r>
    </w:p>
    <w:p>
      <w:pPr>
        <w:spacing w:after="0" w:line="162" w:lineRule="exact"/>
        <w:rPr>
          <w:sz w:val="20"/>
          <w:szCs w:val="20"/>
          <w:color w:val="auto"/>
        </w:rPr>
      </w:pPr>
    </w:p>
    <w:p>
      <w:pPr>
        <w:ind w:firstLine="1265"/>
        <w:spacing w:after="0" w:line="281" w:lineRule="auto"/>
        <w:tabs>
          <w:tab w:leader="none" w:pos="1886" w:val="left"/>
        </w:tabs>
        <w:numPr>
          <w:ilvl w:val="1"/>
          <w:numId w:val="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Participant acknowledges that no election under Section 83(b) of the Internal Revenue Code of 1986 may be filed with respect to this Award or the Shares issued hereunder.</w:t>
      </w:r>
    </w:p>
    <w:p>
      <w:pPr>
        <w:spacing w:after="0" w:line="156" w:lineRule="exact"/>
        <w:rPr>
          <w:rFonts w:ascii="Times New Roman" w:cs="Times New Roman" w:eastAsia="Times New Roman" w:hAnsi="Times New Roman"/>
          <w:sz w:val="21"/>
          <w:szCs w:val="21"/>
          <w:color w:val="auto"/>
        </w:rPr>
      </w:pPr>
    </w:p>
    <w:p>
      <w:pPr>
        <w:ind w:left="1260" w:hanging="625"/>
        <w:spacing w:after="0"/>
        <w:tabs>
          <w:tab w:leader="none" w:pos="1260" w:val="left"/>
        </w:tabs>
        <w:numPr>
          <w:ilvl w:val="0"/>
          <w:numId w:val="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Miscellaneous</w:t>
      </w:r>
      <w:r>
        <w:rPr>
          <w:rFonts w:ascii="Times New Roman" w:cs="Times New Roman" w:eastAsia="Times New Roman" w:hAnsi="Times New Roman"/>
          <w:sz w:val="21"/>
          <w:szCs w:val="21"/>
          <w:color w:val="auto"/>
        </w:rPr>
        <w:t>.</w:t>
      </w:r>
    </w:p>
    <w:p>
      <w:pPr>
        <w:spacing w:after="0" w:line="218" w:lineRule="exact"/>
        <w:rPr>
          <w:rFonts w:ascii="Times New Roman" w:cs="Times New Roman" w:eastAsia="Times New Roman" w:hAnsi="Times New Roman"/>
          <w:sz w:val="21"/>
          <w:szCs w:val="21"/>
          <w:color w:val="auto"/>
        </w:rPr>
      </w:pPr>
    </w:p>
    <w:p>
      <w:pPr>
        <w:jc w:val="both"/>
        <w:ind w:firstLine="1265"/>
        <w:spacing w:after="0" w:line="259" w:lineRule="auto"/>
        <w:tabs>
          <w:tab w:leader="none" w:pos="1887" w:val="left"/>
        </w:tabs>
        <w:numPr>
          <w:ilvl w:val="1"/>
          <w:numId w:val="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 Advice Regarding Grant</w:t>
      </w:r>
      <w:r>
        <w:rPr>
          <w:rFonts w:ascii="Times New Roman" w:cs="Times New Roman" w:eastAsia="Times New Roman" w:hAnsi="Times New Roman"/>
          <w:sz w:val="21"/>
          <w:szCs w:val="21"/>
          <w:color w:val="auto"/>
        </w:rPr>
        <w:t>. The Participant is hereby advised to consult with the Participant’s own personal tax, legal and financial advisors regarding the Participant’s participation in the Plan before taking any action related to the Plan. The Participant acknowledges and agrees that he or she is relying solely on such advisors and not on any statements or representations of the Company or any of its agents. The Participant understands that the Participant (and not the Company) shall be responsible for the Participant’s own tax liability that may arise as a result of this investment or the transactions contemplated by this Agreement.</w:t>
      </w:r>
    </w:p>
    <w:p>
      <w:pPr>
        <w:spacing w:after="0" w:line="167" w:lineRule="exact"/>
        <w:rPr>
          <w:rFonts w:ascii="Times New Roman" w:cs="Times New Roman" w:eastAsia="Times New Roman" w:hAnsi="Times New Roman"/>
          <w:sz w:val="21"/>
          <w:szCs w:val="21"/>
          <w:color w:val="auto"/>
        </w:rPr>
      </w:pPr>
    </w:p>
    <w:p>
      <w:pPr>
        <w:jc w:val="both"/>
        <w:ind w:firstLine="1265"/>
        <w:spacing w:after="0" w:line="256" w:lineRule="auto"/>
        <w:tabs>
          <w:tab w:leader="none" w:pos="1886" w:val="left"/>
        </w:tabs>
        <w:numPr>
          <w:ilvl w:val="1"/>
          <w:numId w:val="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 Rights to Employment</w:t>
      </w:r>
      <w:r>
        <w:rPr>
          <w:rFonts w:ascii="Times New Roman" w:cs="Times New Roman" w:eastAsia="Times New Roman" w:hAnsi="Times New Roman"/>
          <w:sz w:val="21"/>
          <w:szCs w:val="21"/>
          <w:color w:val="auto"/>
        </w:rPr>
        <w:t>. The Participant acknowledges and agrees that the vesting of the Shares pursuant to Section 2 hereof is earned only by continuing to provide active service to the Company as an employee at the will of the Company. The Participant further acknowledges and agrees that the transactions contemplated hereunder and the vesting schedule set forth herein do not constitute an express or implied promise of continued engagement as an employee for the vesting period, for any period, or at all.</w:t>
      </w:r>
    </w:p>
    <w:p>
      <w:pPr>
        <w:spacing w:after="0" w:line="182" w:lineRule="exact"/>
        <w:rPr>
          <w:rFonts w:ascii="Times New Roman" w:cs="Times New Roman" w:eastAsia="Times New Roman" w:hAnsi="Times New Roman"/>
          <w:sz w:val="21"/>
          <w:szCs w:val="21"/>
          <w:color w:val="auto"/>
        </w:rPr>
      </w:pPr>
    </w:p>
    <w:p>
      <w:pPr>
        <w:jc w:val="both"/>
        <w:ind w:firstLine="1265"/>
        <w:spacing w:after="0" w:line="253" w:lineRule="auto"/>
        <w:tabs>
          <w:tab w:leader="none" w:pos="1887" w:val="left"/>
        </w:tabs>
        <w:numPr>
          <w:ilvl w:val="1"/>
          <w:numId w:val="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Invention Assignment.</w:t>
      </w:r>
      <w:r>
        <w:rPr>
          <w:rFonts w:ascii="Times New Roman" w:cs="Times New Roman" w:eastAsia="Times New Roman" w:hAnsi="Times New Roman"/>
          <w:sz w:val="21"/>
          <w:szCs w:val="21"/>
          <w:color w:val="auto"/>
        </w:rPr>
        <w:t xml:space="preserve"> The Participant agrees that he or she will promptly disclose to the Company any invention or discovery, whether or not patentable (hereafter termed “invention” or “inventions”) that he or she makes or conceives, or first actually reduces to practice, solely or jointly with others, during the Participant’s employment, and which at the time of disclosure to the Company or at the time of making or conceiving, or first actually reducing to practice (a) results from or is related to any assignments given to or assumed by the Participant, or (b) is subject to any contractual obligation of the Company to a third party, or (c) utilized the time, equipment, supplies, facilities, or trade secret information of the Company, or (d) pertains to any actual or anticipated Company work, product, research, business activity, or any logical extension thereof, and the Participant will assign and does hereby assign to the Company the Participant’s entire right, title and interest (domestic and foreign and including all rights under the International Convention for the Protection of Industrial Property) in all such inventions, subject to the requirements of law, and without further compensation or award of any kind to the Participant from the Company, or any customer.</w:t>
      </w:r>
    </w:p>
    <w:p>
      <w:pPr>
        <w:spacing w:after="0" w:line="185" w:lineRule="exact"/>
        <w:rPr>
          <w:rFonts w:ascii="Times New Roman" w:cs="Times New Roman" w:eastAsia="Times New Roman" w:hAnsi="Times New Roman"/>
          <w:sz w:val="21"/>
          <w:szCs w:val="21"/>
          <w:color w:val="auto"/>
        </w:rPr>
      </w:pPr>
    </w:p>
    <w:p>
      <w:pPr>
        <w:jc w:val="both"/>
        <w:ind w:firstLine="1265"/>
        <w:spacing w:after="0" w:line="264" w:lineRule="auto"/>
        <w:tabs>
          <w:tab w:leader="none" w:pos="1886" w:val="left"/>
        </w:tabs>
        <w:numPr>
          <w:ilvl w:val="1"/>
          <w:numId w:val="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Severability</w:t>
      </w:r>
      <w:r>
        <w:rPr>
          <w:rFonts w:ascii="Times New Roman" w:cs="Times New Roman" w:eastAsia="Times New Roman" w:hAnsi="Times New Roman"/>
          <w:sz w:val="21"/>
          <w:szCs w:val="21"/>
          <w:color w:val="auto"/>
        </w:rPr>
        <w:t>. The invalidity or unenforceability of any provision of this Agreement shall not affect the validity or enforceability of any other provision of this Agreement, and each other provision of this Agreement shall be severable and enforceable to the extent permitted by law.</w:t>
      </w:r>
    </w:p>
    <w:p>
      <w:pPr>
        <w:sectPr>
          <w:pgSz w:w="11900" w:h="16838" w:orient="portrait"/>
          <w:cols w:equalWidth="0" w:num="1">
            <w:col w:w="11240"/>
          </w:cols>
          <w:pgMar w:left="320" w:top="1241" w:right="339" w:bottom="1440" w:gutter="0" w:footer="0" w:header="0"/>
        </w:sectPr>
      </w:pPr>
    </w:p>
    <w:bookmarkStart w:id="85" w:name="page86"/>
    <w:bookmarkEnd w:id="85"/>
    <w:p>
      <w:pPr>
        <w:ind w:left="-1120" w:firstLine="1265"/>
        <w:spacing w:after="0" w:line="294" w:lineRule="auto"/>
        <w:tabs>
          <w:tab w:leader="none" w:pos="767" w:val="left"/>
        </w:tabs>
        <w:numPr>
          <w:ilvl w:val="0"/>
          <w:numId w:val="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Waiver</w:t>
      </w:r>
      <w:r>
        <w:rPr>
          <w:rFonts w:ascii="Times New Roman" w:cs="Times New Roman" w:eastAsia="Times New Roman" w:hAnsi="Times New Roman"/>
          <w:sz w:val="21"/>
          <w:szCs w:val="21"/>
          <w:color w:val="auto"/>
        </w:rPr>
        <w:t>. Any provision for the benefit of the Company contained in this Agreement may be waived, either generally or in any particular instance, by the Board of Directors of the Company.</w:t>
      </w:r>
    </w:p>
    <w:p>
      <w:pPr>
        <w:spacing w:after="0" w:line="130" w:lineRule="exact"/>
        <w:rPr>
          <w:rFonts w:ascii="Times New Roman" w:cs="Times New Roman" w:eastAsia="Times New Roman" w:hAnsi="Times New Roman"/>
          <w:sz w:val="21"/>
          <w:szCs w:val="21"/>
          <w:color w:val="auto"/>
        </w:rPr>
      </w:pPr>
    </w:p>
    <w:p>
      <w:pPr>
        <w:jc w:val="both"/>
        <w:ind w:left="-1120" w:firstLine="1265"/>
        <w:spacing w:after="0" w:line="264" w:lineRule="auto"/>
        <w:tabs>
          <w:tab w:leader="none" w:pos="770" w:val="left"/>
        </w:tabs>
        <w:numPr>
          <w:ilvl w:val="0"/>
          <w:numId w:val="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Binding Effect</w:t>
      </w:r>
      <w:r>
        <w:rPr>
          <w:rFonts w:ascii="Times New Roman" w:cs="Times New Roman" w:eastAsia="Times New Roman" w:hAnsi="Times New Roman"/>
          <w:sz w:val="21"/>
          <w:szCs w:val="21"/>
          <w:color w:val="auto"/>
        </w:rPr>
        <w:t>. This Agreement shall be binding upon and inure to the benefit of the Company and the Participant and their respective heirs, executors, administrators, legal representatives, successors and assigns, subject to the restrictions on transfer set forth in Section 4 of this Agreement.</w:t>
      </w:r>
    </w:p>
    <w:p>
      <w:pPr>
        <w:spacing w:after="0" w:line="161" w:lineRule="exact"/>
        <w:rPr>
          <w:rFonts w:ascii="Times New Roman" w:cs="Times New Roman" w:eastAsia="Times New Roman" w:hAnsi="Times New Roman"/>
          <w:sz w:val="21"/>
          <w:szCs w:val="21"/>
          <w:color w:val="auto"/>
        </w:rPr>
      </w:pPr>
    </w:p>
    <w:p>
      <w:pPr>
        <w:jc w:val="both"/>
        <w:ind w:left="-1120" w:firstLine="1265"/>
        <w:spacing w:after="0" w:line="263" w:lineRule="auto"/>
        <w:tabs>
          <w:tab w:leader="none" w:pos="766" w:val="left"/>
        </w:tabs>
        <w:numPr>
          <w:ilvl w:val="0"/>
          <w:numId w:val="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Notice</w:t>
      </w:r>
      <w:r>
        <w:rPr>
          <w:rFonts w:ascii="Times New Roman" w:cs="Times New Roman" w:eastAsia="Times New Roman" w:hAnsi="Times New Roman"/>
          <w:sz w:val="21"/>
          <w:szCs w:val="21"/>
          <w:color w:val="auto"/>
        </w:rPr>
        <w:t>. All notices required or permitted hereunder shall be in writing and deemed effectively given upon personal delivery or five days after deposit in the United States Post Office, by registered or certified mail, postage prepaid, addressed to the other party hereto at the address shown beneath his or its respective signature to this Agreement, or at such other address or addresses as either party shall designate to the other in accordance with this Section 7.</w:t>
      </w:r>
    </w:p>
    <w:p>
      <w:pPr>
        <w:spacing w:after="0" w:line="162" w:lineRule="exact"/>
        <w:rPr>
          <w:rFonts w:ascii="Times New Roman" w:cs="Times New Roman" w:eastAsia="Times New Roman" w:hAnsi="Times New Roman"/>
          <w:sz w:val="21"/>
          <w:szCs w:val="21"/>
          <w:color w:val="auto"/>
        </w:rPr>
      </w:pPr>
    </w:p>
    <w:p>
      <w:pPr>
        <w:jc w:val="both"/>
        <w:ind w:left="-1120" w:firstLine="1265"/>
        <w:spacing w:after="0" w:line="271" w:lineRule="auto"/>
        <w:tabs>
          <w:tab w:leader="none" w:pos="766" w:val="left"/>
        </w:tabs>
        <w:numPr>
          <w:ilvl w:val="0"/>
          <w:numId w:val="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Pronouns</w:t>
      </w:r>
      <w:r>
        <w:rPr>
          <w:rFonts w:ascii="Times New Roman" w:cs="Times New Roman" w:eastAsia="Times New Roman" w:hAnsi="Times New Roman"/>
          <w:sz w:val="21"/>
          <w:szCs w:val="21"/>
          <w:color w:val="auto"/>
        </w:rPr>
        <w:t>. Whenever the context may require, any pronouns used in this Agreement shall include the corresponding masculine, feminine or neuter forms, and the singular form of nouns and pronouns shall include the plural, and vice versa.</w:t>
      </w:r>
    </w:p>
    <w:p>
      <w:pPr>
        <w:spacing w:after="0" w:line="153" w:lineRule="exact"/>
        <w:rPr>
          <w:rFonts w:ascii="Times New Roman" w:cs="Times New Roman" w:eastAsia="Times New Roman" w:hAnsi="Times New Roman"/>
          <w:sz w:val="21"/>
          <w:szCs w:val="21"/>
          <w:color w:val="auto"/>
        </w:rPr>
      </w:pPr>
    </w:p>
    <w:p>
      <w:pPr>
        <w:jc w:val="both"/>
        <w:ind w:left="-1120" w:firstLine="1265"/>
        <w:spacing w:after="0" w:line="259" w:lineRule="auto"/>
        <w:tabs>
          <w:tab w:leader="none" w:pos="759" w:val="left"/>
        </w:tabs>
        <w:numPr>
          <w:ilvl w:val="0"/>
          <w:numId w:val="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Governing Law</w:t>
      </w:r>
      <w:r>
        <w:rPr>
          <w:rFonts w:ascii="Times New Roman" w:cs="Times New Roman" w:eastAsia="Times New Roman" w:hAnsi="Times New Roman"/>
          <w:sz w:val="21"/>
          <w:szCs w:val="21"/>
          <w:color w:val="auto"/>
        </w:rPr>
        <w:t>. This Agreement and any disputes hereunder shall be governed by and construed in accordance with the internal laws of the State of Delaware without giving effect to any choice or conflict of law provision or rule (whether of Delaware or any other jurisdiction) that would cause the application of laws of any jurisdiction other than those of Delaware.</w:t>
      </w:r>
    </w:p>
    <w:p>
      <w:pPr>
        <w:spacing w:after="0" w:line="165" w:lineRule="exact"/>
        <w:rPr>
          <w:rFonts w:ascii="Times New Roman" w:cs="Times New Roman" w:eastAsia="Times New Roman" w:hAnsi="Times New Roman"/>
          <w:sz w:val="21"/>
          <w:szCs w:val="21"/>
          <w:color w:val="auto"/>
        </w:rPr>
      </w:pPr>
    </w:p>
    <w:p>
      <w:pPr>
        <w:jc w:val="both"/>
        <w:ind w:left="-1120" w:firstLine="1265"/>
        <w:spacing w:after="0" w:line="263" w:lineRule="auto"/>
        <w:tabs>
          <w:tab w:leader="none" w:pos="759" w:val="left"/>
        </w:tabs>
        <w:numPr>
          <w:ilvl w:val="0"/>
          <w:numId w:val="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Participant’s Acknowledgments</w:t>
      </w:r>
      <w:r>
        <w:rPr>
          <w:rFonts w:ascii="Times New Roman" w:cs="Times New Roman" w:eastAsia="Times New Roman" w:hAnsi="Times New Roman"/>
          <w:sz w:val="21"/>
          <w:szCs w:val="21"/>
          <w:color w:val="auto"/>
        </w:rPr>
        <w:t>. The Participant acknowledges that he or she: (i) has read this Agreement; (ii) has been represented in the preparation, negotiation, and execution of this Agreement by legal counsel of the Participant’s own choice or has voluntarily declined to seek such counsel; (iii) understands the terms and consequences of this Agreement; and (iv) is fully aware of the legal and binding effect of this Agreement.</w:t>
      </w:r>
    </w:p>
    <w:p>
      <w:pPr>
        <w:spacing w:after="0" w:line="162" w:lineRule="exact"/>
        <w:rPr>
          <w:rFonts w:ascii="Times New Roman" w:cs="Times New Roman" w:eastAsia="Times New Roman" w:hAnsi="Times New Roman"/>
          <w:sz w:val="21"/>
          <w:szCs w:val="21"/>
          <w:color w:val="auto"/>
        </w:rPr>
      </w:pPr>
    </w:p>
    <w:p>
      <w:pPr>
        <w:jc w:val="both"/>
        <w:ind w:left="-1120" w:firstLine="1265"/>
        <w:spacing w:after="0" w:line="263" w:lineRule="auto"/>
        <w:tabs>
          <w:tab w:leader="none" w:pos="766" w:val="left"/>
        </w:tabs>
        <w:numPr>
          <w:ilvl w:val="0"/>
          <w:numId w:val="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Section 409A</w:t>
      </w:r>
      <w:r>
        <w:rPr>
          <w:rFonts w:ascii="Times New Roman" w:cs="Times New Roman" w:eastAsia="Times New Roman" w:hAnsi="Times New Roman"/>
          <w:sz w:val="21"/>
          <w:szCs w:val="21"/>
          <w:color w:val="auto"/>
        </w:rPr>
        <w:t>. This Agreement is intended to be exempt from, or compliant with, Section 409A and shall be interpreted and construed consistently therewith. Notwithstanding the foregoing, in no event shall the Company have any liability to the Participant or to any other person in the event that the Agreement is determined to not be exempt from or compliant with Section 409A.</w:t>
      </w:r>
    </w:p>
    <w:p>
      <w:pPr>
        <w:spacing w:after="0" w:line="267" w:lineRule="exact"/>
        <w:rPr>
          <w:rFonts w:ascii="Times New Roman" w:cs="Times New Roman" w:eastAsia="Times New Roman" w:hAnsi="Times New Roman"/>
          <w:sz w:val="21"/>
          <w:szCs w:val="21"/>
          <w:color w:val="auto"/>
        </w:rPr>
      </w:pPr>
    </w:p>
    <w:p>
      <w:pPr>
        <w:jc w:val="both"/>
        <w:ind w:left="-1120" w:firstLine="1265"/>
        <w:spacing w:after="0" w:line="264" w:lineRule="auto"/>
        <w:tabs>
          <w:tab w:leader="none" w:pos="759" w:val="left"/>
        </w:tabs>
        <w:numPr>
          <w:ilvl w:val="0"/>
          <w:numId w:val="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Unfunded Rights</w:t>
      </w:r>
      <w:r>
        <w:rPr>
          <w:rFonts w:ascii="Times New Roman" w:cs="Times New Roman" w:eastAsia="Times New Roman" w:hAnsi="Times New Roman"/>
          <w:sz w:val="21"/>
          <w:szCs w:val="21"/>
          <w:color w:val="auto"/>
        </w:rPr>
        <w:t>. The right of the Participant to receive Shares pursuant to this Agreement is an unfunded and unsecured obligation of the Company. The Participant shall have no rights under this Agreement other than those of an unsecured general creditor of the Company.</w:t>
      </w:r>
    </w:p>
    <w:p>
      <w:pPr>
        <w:sectPr>
          <w:pgSz w:w="11900" w:h="16838" w:orient="portrait"/>
          <w:cols w:equalWidth="0" w:num="1">
            <w:col w:w="10120"/>
          </w:cols>
          <w:pgMar w:left="1440" w:top="1241"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20"/>
          <w:szCs w:val="20"/>
          <w:color w:val="auto"/>
        </w:rPr>
        <w:t>IN WITNESS WHEREOF, the parties hereto have executed this Agreement as of the day and year first above written.</w:t>
      </w:r>
    </w:p>
    <w:p>
      <w:pPr>
        <w:sectPr>
          <w:pgSz w:w="11900" w:h="16838" w:orient="portrait"/>
          <w:cols w:equalWidth="0" w:num="1">
            <w:col w:w="9900"/>
          </w:cols>
          <w:pgMar w:left="960" w:top="1241" w:right="1039" w:bottom="1440" w:gutter="0" w:footer="0" w:header="0"/>
        </w:sectPr>
      </w:pPr>
    </w:p>
    <w:p>
      <w:pPr>
        <w:spacing w:after="0" w:line="239"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21"/>
          <w:szCs w:val="21"/>
          <w:b w:val="1"/>
          <w:bCs w:val="1"/>
          <w:color w:val="auto"/>
        </w:rPr>
        <w:t>Skyworks Solutions, Inc</w:t>
      </w:r>
      <w:r>
        <w:rPr>
          <w:rFonts w:ascii="Times New Roman" w:cs="Times New Roman" w:eastAsia="Times New Roman" w:hAnsi="Times New Roman"/>
          <w:sz w:val="21"/>
          <w:szCs w:val="21"/>
          <w:color w:val="auto"/>
        </w:rPr>
        <w:t>.</w:t>
      </w:r>
    </w:p>
    <w:p>
      <w:pPr>
        <w:spacing w:after="0" w:line="223" w:lineRule="exact"/>
        <w:rPr>
          <w:sz w:val="20"/>
          <w:szCs w:val="20"/>
          <w:color w:val="auto"/>
        </w:rPr>
      </w:pPr>
    </w:p>
    <w:p>
      <w:pPr>
        <w:ind w:left="3140"/>
        <w:spacing w:after="0"/>
        <w:rPr>
          <w:sz w:val="20"/>
          <w:szCs w:val="20"/>
          <w:color w:val="auto"/>
        </w:rPr>
      </w:pPr>
      <w:r>
        <w:rPr>
          <w:rFonts w:ascii="Arial" w:cs="Arial" w:eastAsia="Arial" w:hAnsi="Arial"/>
          <w:sz w:val="21"/>
          <w:szCs w:val="21"/>
          <w:u w:val="single" w:color="auto"/>
          <w:color w:val="auto"/>
        </w:rPr>
        <w:t>______________________</w:t>
      </w:r>
    </w:p>
    <w:p>
      <w:pPr>
        <w:spacing w:after="0" w:line="31"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21"/>
          <w:szCs w:val="21"/>
          <w:color w:val="auto"/>
        </w:rPr>
        <w:t>Liam K. Griffin</w:t>
      </w:r>
    </w:p>
    <w:p>
      <w:pPr>
        <w:spacing w:after="0" w:line="8"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21"/>
          <w:szCs w:val="21"/>
          <w:color w:val="auto"/>
        </w:rPr>
        <w:t>Chairman, Chief Executive Officer and President</w:t>
      </w:r>
    </w:p>
    <w:p>
      <w:pPr>
        <w:spacing w:after="0" w:line="216"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21"/>
          <w:szCs w:val="21"/>
          <w:b w:val="1"/>
          <w:bCs w:val="1"/>
          <w:color w:val="auto"/>
        </w:rPr>
        <w:t>Participant (Signature):____________________</w:t>
      </w:r>
    </w:p>
    <w:p>
      <w:pPr>
        <w:spacing w:after="0" w:line="231"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21"/>
          <w:szCs w:val="21"/>
          <w:color w:val="auto"/>
        </w:rPr>
        <w:t xml:space="preserve">Print Name </w:t>
      </w:r>
      <w:r>
        <w:rPr>
          <w:rFonts w:ascii="Times New Roman" w:cs="Times New Roman" w:eastAsia="Times New Roman" w:hAnsi="Times New Roman"/>
          <w:sz w:val="21"/>
          <w:szCs w:val="21"/>
          <w:b w:val="1"/>
          <w:bCs w:val="1"/>
          <w:color w:val="auto"/>
        </w:rPr>
        <w:t>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1597660</wp:posOffset>
            </wp:positionH>
            <wp:positionV relativeFrom="paragraph">
              <wp:posOffset>16510</wp:posOffset>
            </wp:positionV>
            <wp:extent cx="5196840" cy="23368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26">
                      <a:extLst>
                        <a:ext uri="{28A0092B-C50C-407E-A947-70E740481C1C}"/>
                      </a:extLst>
                    </a:blip>
                    <a:srcRect/>
                    <a:stretch>
                      <a:fillRect/>
                    </a:stretch>
                  </pic:blipFill>
                  <pic:spPr bwMode="auto">
                    <a:xfrm>
                      <a:off x="0" y="0"/>
                      <a:ext cx="5196840" cy="233680"/>
                    </a:xfrm>
                    <a:prstGeom prst="rect">
                      <a:avLst/>
                    </a:prstGeom>
                    <a:noFill/>
                  </pic:spPr>
                </pic:pic>
              </a:graphicData>
            </a:graphic>
          </wp:anchor>
        </w:drawing>
      </w:r>
    </w:p>
    <w:p>
      <w:pPr>
        <w:sectPr>
          <w:pgSz w:w="11900" w:h="16838" w:orient="portrait"/>
          <w:cols w:equalWidth="0" w:num="1">
            <w:col w:w="9900"/>
          </w:cols>
          <w:pgMar w:left="960" w:top="1241" w:right="1039" w:bottom="1440" w:gutter="0" w:footer="0" w:header="0"/>
          <w:type w:val="continuous"/>
        </w:sectPr>
      </w:pPr>
    </w:p>
    <w:bookmarkStart w:id="87" w:name="page88"/>
    <w:bookmarkEnd w:id="87"/>
    <w:p>
      <w:pPr>
        <w:jc w:val="right"/>
        <w:spacing w:after="0"/>
        <w:rPr>
          <w:sz w:val="20"/>
          <w:szCs w:val="20"/>
          <w:color w:val="auto"/>
        </w:rPr>
      </w:pPr>
      <w:r>
        <w:rPr>
          <w:rFonts w:ascii="Times New Roman" w:cs="Times New Roman" w:eastAsia="Times New Roman" w:hAnsi="Times New Roman"/>
          <w:sz w:val="18"/>
          <w:szCs w:val="18"/>
          <w:b w:val="1"/>
          <w:bCs w:val="1"/>
          <w:color w:val="auto"/>
        </w:rPr>
        <w:t>Exhibit 19</w:t>
      </w: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SKYWORKS SOLUTIONS, INC.</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COMPANY POLICY REGARDING INSIDER TRADING AND DISCLOSURE OF MATERIAL NON-PUBLIC INFORMATION</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Introduction and Background</w:t>
      </w:r>
    </w:p>
    <w:p>
      <w:pPr>
        <w:spacing w:after="0" w:line="243" w:lineRule="exact"/>
        <w:rPr>
          <w:sz w:val="20"/>
          <w:szCs w:val="20"/>
          <w:color w:val="auto"/>
        </w:rPr>
      </w:pPr>
    </w:p>
    <w:p>
      <w:pPr>
        <w:jc w:val="both"/>
        <w:ind w:firstLine="315"/>
        <w:spacing w:after="0" w:line="281" w:lineRule="auto"/>
        <w:rPr>
          <w:sz w:val="20"/>
          <w:szCs w:val="20"/>
          <w:color w:val="auto"/>
        </w:rPr>
      </w:pPr>
      <w:r>
        <w:rPr>
          <w:rFonts w:ascii="Times New Roman" w:cs="Times New Roman" w:eastAsia="Times New Roman" w:hAnsi="Times New Roman"/>
          <w:sz w:val="19"/>
          <w:szCs w:val="19"/>
          <w:color w:val="auto"/>
        </w:rPr>
        <w:t>Federal securities laws prohibit insiders of Skyworks Solutions, Inc. (together with its subsidiaries, the “Company”), such as its employees, officers, and directors, from trading in the securities of the Company on the basis of material non-public information. In addition to the direct liability of insiders for insider trading violations, potential liability on the part of the Company and its directors and officers exists for failures to prevent such violations by Company personnel.</w:t>
      </w:r>
    </w:p>
    <w:p>
      <w:pPr>
        <w:spacing w:after="0" w:line="158" w:lineRule="exact"/>
        <w:rPr>
          <w:sz w:val="20"/>
          <w:szCs w:val="20"/>
          <w:color w:val="auto"/>
        </w:rPr>
      </w:pPr>
    </w:p>
    <w:p>
      <w:pPr>
        <w:jc w:val="both"/>
        <w:ind w:firstLine="315"/>
        <w:spacing w:after="0" w:line="310" w:lineRule="auto"/>
        <w:rPr>
          <w:sz w:val="20"/>
          <w:szCs w:val="20"/>
          <w:color w:val="auto"/>
        </w:rPr>
      </w:pPr>
      <w:r>
        <w:rPr>
          <w:rFonts w:ascii="Times New Roman" w:cs="Times New Roman" w:eastAsia="Times New Roman" w:hAnsi="Times New Roman"/>
          <w:sz w:val="19"/>
          <w:szCs w:val="19"/>
          <w:color w:val="auto"/>
        </w:rPr>
        <w:t>The federal securities laws impose severe sanctions on those who engage in insider trading. Individuals who either trade on material non-public information or provide a “tip” of such information to others may be subject to, among other things:</w:t>
      </w:r>
    </w:p>
    <w:p>
      <w:pPr>
        <w:spacing w:after="0" w:line="116" w:lineRule="exact"/>
        <w:rPr>
          <w:sz w:val="20"/>
          <w:szCs w:val="20"/>
          <w:color w:val="auto"/>
        </w:rPr>
      </w:pPr>
    </w:p>
    <w:p>
      <w:pPr>
        <w:ind w:left="1140" w:hanging="505"/>
        <w:spacing w:after="0"/>
        <w:tabs>
          <w:tab w:leader="none" w:pos="1140" w:val="left"/>
        </w:tabs>
        <w:numPr>
          <w:ilvl w:val="0"/>
          <w:numId w:val="6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Criminal fines up to </w:t>
      </w:r>
      <w:r>
        <w:rPr>
          <w:rFonts w:ascii="Times New Roman" w:cs="Times New Roman" w:eastAsia="Times New Roman" w:hAnsi="Times New Roman"/>
          <w:sz w:val="19"/>
          <w:szCs w:val="19"/>
          <w:b w:val="1"/>
          <w:bCs w:val="1"/>
          <w:color w:val="auto"/>
        </w:rPr>
        <w:t>$5,000,000</w:t>
      </w:r>
      <w:r>
        <w:rPr>
          <w:rFonts w:ascii="Times New Roman" w:cs="Times New Roman" w:eastAsia="Times New Roman" w:hAnsi="Times New Roman"/>
          <w:sz w:val="19"/>
          <w:szCs w:val="19"/>
          <w:color w:val="auto"/>
        </w:rPr>
        <w:t>;</w:t>
      </w:r>
    </w:p>
    <w:p>
      <w:pPr>
        <w:spacing w:after="0" w:line="227" w:lineRule="exact"/>
        <w:rPr>
          <w:rFonts w:ascii="Times New Roman" w:cs="Times New Roman" w:eastAsia="Times New Roman" w:hAnsi="Times New Roman"/>
          <w:sz w:val="19"/>
          <w:szCs w:val="19"/>
          <w:color w:val="auto"/>
        </w:rPr>
      </w:pPr>
    </w:p>
    <w:p>
      <w:pPr>
        <w:ind w:left="1140" w:hanging="505"/>
        <w:spacing w:after="0"/>
        <w:tabs>
          <w:tab w:leader="none" w:pos="1140" w:val="left"/>
        </w:tabs>
        <w:numPr>
          <w:ilvl w:val="0"/>
          <w:numId w:val="6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Prison sentence of up to </w:t>
      </w:r>
      <w:r>
        <w:rPr>
          <w:rFonts w:ascii="Times New Roman" w:cs="Times New Roman" w:eastAsia="Times New Roman" w:hAnsi="Times New Roman"/>
          <w:sz w:val="19"/>
          <w:szCs w:val="19"/>
          <w:b w:val="1"/>
          <w:bCs w:val="1"/>
          <w:color w:val="auto"/>
        </w:rPr>
        <w:t>twenty-five (25) years</w:t>
      </w:r>
      <w:r>
        <w:rPr>
          <w:rFonts w:ascii="Times New Roman" w:cs="Times New Roman" w:eastAsia="Times New Roman" w:hAnsi="Times New Roman"/>
          <w:sz w:val="19"/>
          <w:szCs w:val="19"/>
          <w:color w:val="auto"/>
        </w:rPr>
        <w:t>;</w:t>
      </w:r>
    </w:p>
    <w:p>
      <w:pPr>
        <w:spacing w:after="0" w:line="227" w:lineRule="exact"/>
        <w:rPr>
          <w:rFonts w:ascii="Times New Roman" w:cs="Times New Roman" w:eastAsia="Times New Roman" w:hAnsi="Times New Roman"/>
          <w:sz w:val="19"/>
          <w:szCs w:val="19"/>
          <w:color w:val="auto"/>
        </w:rPr>
      </w:pPr>
    </w:p>
    <w:p>
      <w:pPr>
        <w:ind w:left="1140" w:hanging="505"/>
        <w:spacing w:after="0"/>
        <w:tabs>
          <w:tab w:leader="none" w:pos="1140" w:val="left"/>
        </w:tabs>
        <w:numPr>
          <w:ilvl w:val="0"/>
          <w:numId w:val="6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Civil penalties including up to </w:t>
      </w:r>
      <w:r>
        <w:rPr>
          <w:rFonts w:ascii="Times New Roman" w:cs="Times New Roman" w:eastAsia="Times New Roman" w:hAnsi="Times New Roman"/>
          <w:sz w:val="19"/>
          <w:szCs w:val="19"/>
          <w:b w:val="1"/>
          <w:bCs w:val="1"/>
          <w:color w:val="auto"/>
        </w:rPr>
        <w:t>three times the profit gained or loss avoided</w:t>
      </w:r>
      <w:r>
        <w:rPr>
          <w:rFonts w:ascii="Times New Roman" w:cs="Times New Roman" w:eastAsia="Times New Roman" w:hAnsi="Times New Roman"/>
          <w:sz w:val="19"/>
          <w:szCs w:val="19"/>
          <w:color w:val="auto"/>
        </w:rPr>
        <w:t xml:space="preserve"> as a result of such sale, purchase, or tip; and</w:t>
      </w:r>
    </w:p>
    <w:p>
      <w:pPr>
        <w:spacing w:after="0" w:line="214" w:lineRule="exact"/>
        <w:rPr>
          <w:rFonts w:ascii="Times New Roman" w:cs="Times New Roman" w:eastAsia="Times New Roman" w:hAnsi="Times New Roman"/>
          <w:sz w:val="19"/>
          <w:szCs w:val="19"/>
          <w:color w:val="auto"/>
        </w:rPr>
      </w:pPr>
    </w:p>
    <w:p>
      <w:pPr>
        <w:ind w:left="1140" w:hanging="505"/>
        <w:spacing w:after="0"/>
        <w:tabs>
          <w:tab w:leader="none" w:pos="1140" w:val="left"/>
        </w:tabs>
        <w:numPr>
          <w:ilvl w:val="0"/>
          <w:numId w:val="6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 </w:t>
      </w:r>
      <w:r>
        <w:rPr>
          <w:rFonts w:ascii="Times New Roman" w:cs="Times New Roman" w:eastAsia="Times New Roman" w:hAnsi="Times New Roman"/>
          <w:sz w:val="19"/>
          <w:szCs w:val="19"/>
          <w:b w:val="1"/>
          <w:bCs w:val="1"/>
          <w:color w:val="auto"/>
        </w:rPr>
        <w:t>bar from serving as an officer or director</w:t>
      </w:r>
      <w:r>
        <w:rPr>
          <w:rFonts w:ascii="Times New Roman" w:cs="Times New Roman" w:eastAsia="Times New Roman" w:hAnsi="Times New Roman"/>
          <w:sz w:val="19"/>
          <w:szCs w:val="19"/>
          <w:color w:val="auto"/>
        </w:rPr>
        <w:t xml:space="preserve"> of any public company.</w:t>
      </w:r>
    </w:p>
    <w:p>
      <w:pPr>
        <w:spacing w:after="0" w:line="243" w:lineRule="exact"/>
        <w:rPr>
          <w:sz w:val="20"/>
          <w:szCs w:val="20"/>
          <w:color w:val="auto"/>
        </w:rPr>
      </w:pPr>
    </w:p>
    <w:p>
      <w:pPr>
        <w:jc w:val="both"/>
        <w:ind w:firstLine="315"/>
        <w:spacing w:after="0" w:line="284" w:lineRule="auto"/>
        <w:rPr>
          <w:sz w:val="20"/>
          <w:szCs w:val="20"/>
          <w:color w:val="auto"/>
        </w:rPr>
      </w:pPr>
      <w:r>
        <w:rPr>
          <w:rFonts w:ascii="Times New Roman" w:cs="Times New Roman" w:eastAsia="Times New Roman" w:hAnsi="Times New Roman"/>
          <w:sz w:val="19"/>
          <w:szCs w:val="19"/>
          <w:color w:val="auto"/>
        </w:rPr>
        <w:t>In addition to sanctions against those who directly violate the prohibition on insider trading, in certain circumstances the federal securities laws impose large fines on companies and their directors and officers for failure to take measures to prevent such violations (what is referred to as “controlling person” liability).</w:t>
      </w:r>
    </w:p>
    <w:p>
      <w:pPr>
        <w:spacing w:after="0" w:line="170" w:lineRule="exact"/>
        <w:rPr>
          <w:sz w:val="20"/>
          <w:szCs w:val="20"/>
          <w:color w:val="auto"/>
        </w:rPr>
      </w:pPr>
    </w:p>
    <w:p>
      <w:pPr>
        <w:jc w:val="both"/>
        <w:ind w:firstLine="315"/>
        <w:spacing w:after="0" w:line="275" w:lineRule="auto"/>
        <w:rPr>
          <w:sz w:val="20"/>
          <w:szCs w:val="20"/>
          <w:color w:val="auto"/>
        </w:rPr>
      </w:pPr>
      <w:r>
        <w:rPr>
          <w:rFonts w:ascii="Times New Roman" w:cs="Times New Roman" w:eastAsia="Times New Roman" w:hAnsi="Times New Roman"/>
          <w:sz w:val="19"/>
          <w:szCs w:val="19"/>
          <w:color w:val="auto"/>
        </w:rPr>
        <w:t>Rules 10b5-1 and 10b5-2 of the Securities Exchange Act of 1934 (“Rule 10b5-1” and “Rule 10b5-2”, respectively) address certain aspects of the prohibition against insider trading. Rule 10b5-1 imposes liability where an insider is “aware” of material non-public information regarding a company when trading in such company’s securities. However, Rule 10b5-1 provides that a person will not be liable for insider trading, even if the trade occurs while that person is aware of material non-public information, if the trade was executed pursuant to a pre-existing plan, contract, or instruction that was adopted while the person was not aware of material non-public information and otherwise complies with Rule 10b5-1. This exception to insider trading liability is discussed in more detail below.</w:t>
      </w:r>
    </w:p>
    <w:p>
      <w:pPr>
        <w:spacing w:after="0" w:line="165" w:lineRule="exact"/>
        <w:rPr>
          <w:sz w:val="20"/>
          <w:szCs w:val="20"/>
          <w:color w:val="auto"/>
        </w:rPr>
      </w:pPr>
    </w:p>
    <w:p>
      <w:pPr>
        <w:jc w:val="both"/>
        <w:ind w:firstLine="315"/>
        <w:spacing w:after="0" w:line="292" w:lineRule="auto"/>
        <w:rPr>
          <w:sz w:val="20"/>
          <w:szCs w:val="20"/>
          <w:color w:val="auto"/>
        </w:rPr>
      </w:pPr>
      <w:r>
        <w:rPr>
          <w:rFonts w:ascii="Times New Roman" w:cs="Times New Roman" w:eastAsia="Times New Roman" w:hAnsi="Times New Roman"/>
          <w:sz w:val="19"/>
          <w:szCs w:val="19"/>
          <w:color w:val="auto"/>
        </w:rPr>
        <w:t>Rule 10b5-2 addresses situations in which a person has a duty of trust or confidence that prohibits him or her from trading on the basis of material non-public information. The rule provides that a duty of trust or confidence that prohibits a person from trading on the basis of material non-public information arises:</w:t>
      </w:r>
    </w:p>
    <w:p>
      <w:pPr>
        <w:spacing w:after="0" w:line="135" w:lineRule="exact"/>
        <w:rPr>
          <w:sz w:val="20"/>
          <w:szCs w:val="20"/>
          <w:color w:val="auto"/>
        </w:rPr>
      </w:pPr>
    </w:p>
    <w:p>
      <w:pPr>
        <w:ind w:left="940" w:hanging="305"/>
        <w:spacing w:after="0"/>
        <w:tabs>
          <w:tab w:leader="none" w:pos="940" w:val="left"/>
        </w:tabs>
        <w:numPr>
          <w:ilvl w:val="0"/>
          <w:numId w:val="6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where the person receiving such information agrees to maintain the information in confidence;</w:t>
      </w:r>
    </w:p>
    <w:p>
      <w:pPr>
        <w:spacing w:after="0" w:line="200" w:lineRule="exact"/>
        <w:rPr>
          <w:rFonts w:ascii="Times New Roman" w:cs="Times New Roman" w:eastAsia="Times New Roman" w:hAnsi="Times New Roman"/>
          <w:sz w:val="19"/>
          <w:szCs w:val="19"/>
          <w:color w:val="auto"/>
        </w:rPr>
      </w:pPr>
    </w:p>
    <w:p>
      <w:pPr>
        <w:spacing w:after="0" w:line="200" w:lineRule="exact"/>
        <w:rPr>
          <w:rFonts w:ascii="Times New Roman" w:cs="Times New Roman" w:eastAsia="Times New Roman" w:hAnsi="Times New Roman"/>
          <w:sz w:val="19"/>
          <w:szCs w:val="19"/>
          <w:color w:val="auto"/>
        </w:rPr>
      </w:pPr>
    </w:p>
    <w:p>
      <w:pPr>
        <w:spacing w:after="0" w:line="200" w:lineRule="exact"/>
        <w:rPr>
          <w:rFonts w:ascii="Times New Roman" w:cs="Times New Roman" w:eastAsia="Times New Roman" w:hAnsi="Times New Roman"/>
          <w:sz w:val="19"/>
          <w:szCs w:val="19"/>
          <w:color w:val="auto"/>
        </w:rPr>
      </w:pPr>
    </w:p>
    <w:p>
      <w:pPr>
        <w:spacing w:after="0" w:line="200" w:lineRule="exact"/>
        <w:rPr>
          <w:rFonts w:ascii="Times New Roman" w:cs="Times New Roman" w:eastAsia="Times New Roman" w:hAnsi="Times New Roman"/>
          <w:sz w:val="19"/>
          <w:szCs w:val="19"/>
          <w:color w:val="auto"/>
        </w:rPr>
      </w:pPr>
    </w:p>
    <w:p>
      <w:pPr>
        <w:spacing w:after="0" w:line="200" w:lineRule="exact"/>
        <w:rPr>
          <w:rFonts w:ascii="Times New Roman" w:cs="Times New Roman" w:eastAsia="Times New Roman" w:hAnsi="Times New Roman"/>
          <w:sz w:val="19"/>
          <w:szCs w:val="19"/>
          <w:color w:val="auto"/>
        </w:rPr>
      </w:pPr>
    </w:p>
    <w:p>
      <w:pPr>
        <w:spacing w:after="0" w:line="278" w:lineRule="exact"/>
        <w:rPr>
          <w:rFonts w:ascii="Times New Roman" w:cs="Times New Roman" w:eastAsia="Times New Roman" w:hAnsi="Times New Roman"/>
          <w:sz w:val="19"/>
          <w:szCs w:val="19"/>
          <w:color w:val="auto"/>
        </w:rPr>
      </w:pPr>
    </w:p>
    <w:p>
      <w:pPr>
        <w:ind w:left="558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1</w:t>
      </w:r>
    </w:p>
    <w:p>
      <w:pPr>
        <w:sectPr>
          <w:pgSz w:w="11900" w:h="16838" w:orient="portrait"/>
          <w:cols w:equalWidth="0" w:num="1">
            <w:col w:w="11240"/>
          </w:cols>
          <w:pgMar w:left="320" w:top="1379" w:right="339" w:bottom="1440" w:gutter="0" w:footer="0" w:header="0"/>
        </w:sectPr>
      </w:pPr>
    </w:p>
    <w:bookmarkStart w:id="88" w:name="page89"/>
    <w:bookmarkEnd w:id="88"/>
    <w:p>
      <w:pPr>
        <w:ind w:left="960" w:hanging="325"/>
        <w:spacing w:after="0" w:line="295" w:lineRule="auto"/>
        <w:tabs>
          <w:tab w:leader="none" w:pos="949" w:val="left"/>
        </w:tabs>
        <w:numPr>
          <w:ilvl w:val="0"/>
          <w:numId w:val="6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where the person receiving and the person disclosing such information have a history, pattern, or practice of sharing confidences such that the person receiving information knows or reasonably should know that there is an expectation of confidentiality; </w:t>
      </w:r>
      <w:r>
        <w:rPr>
          <w:rFonts w:ascii="Times New Roman" w:cs="Times New Roman" w:eastAsia="Times New Roman" w:hAnsi="Times New Roman"/>
          <w:sz w:val="19"/>
          <w:szCs w:val="19"/>
          <w:u w:val="single" w:color="auto"/>
          <w:color w:val="auto"/>
        </w:rPr>
        <w:t>or</w:t>
      </w:r>
    </w:p>
    <w:p>
      <w:pPr>
        <w:spacing w:after="0" w:line="132" w:lineRule="exact"/>
        <w:rPr>
          <w:rFonts w:ascii="Times New Roman" w:cs="Times New Roman" w:eastAsia="Times New Roman" w:hAnsi="Times New Roman"/>
          <w:sz w:val="19"/>
          <w:szCs w:val="19"/>
          <w:color w:val="auto"/>
        </w:rPr>
      </w:pPr>
    </w:p>
    <w:p>
      <w:pPr>
        <w:ind w:left="960" w:hanging="325"/>
        <w:spacing w:after="0" w:line="295" w:lineRule="auto"/>
        <w:tabs>
          <w:tab w:leader="none" w:pos="949" w:val="left"/>
        </w:tabs>
        <w:numPr>
          <w:ilvl w:val="0"/>
          <w:numId w:val="6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where the person receives information from a spouse, parent, child, or sibling unless he or she can show that, under the facts and circumstances of the relationship, no duty of trust or confidence existed.</w:t>
      </w:r>
    </w:p>
    <w:p>
      <w:pPr>
        <w:spacing w:after="0" w:line="146" w:lineRule="exact"/>
        <w:rPr>
          <w:sz w:val="20"/>
          <w:szCs w:val="20"/>
          <w:color w:val="auto"/>
        </w:rPr>
      </w:pPr>
    </w:p>
    <w:p>
      <w:pPr>
        <w:jc w:val="both"/>
        <w:ind w:firstLine="315"/>
        <w:spacing w:after="0" w:line="278" w:lineRule="auto"/>
        <w:rPr>
          <w:sz w:val="20"/>
          <w:szCs w:val="20"/>
          <w:color w:val="auto"/>
        </w:rPr>
      </w:pPr>
      <w:r>
        <w:rPr>
          <w:rFonts w:ascii="Times New Roman" w:cs="Times New Roman" w:eastAsia="Times New Roman" w:hAnsi="Times New Roman"/>
          <w:sz w:val="19"/>
          <w:szCs w:val="19"/>
          <w:color w:val="auto"/>
        </w:rPr>
        <w:t>In addition, SEC Regulation FD (“Reg. FD”) prohibits selective disclosure of material non-public information. More specifically, Reg. FD requires that whenever a “senior official” of the Company intentionally discloses material non-public information about the Company to securities market participants or holders of the Company’s securities, the Company must simultaneously disclose that same information to the public. Senior officials include any director, executive officer, investor relations or public relations officer, or other person with similar functions. Securities market participants include broker-dealers (including their associated persons, for example, analysts and investment bankers), investment advisers, institutional investment managers, and investment companies (such as hedge funds and certain venture capital funds).</w:t>
      </w:r>
    </w:p>
    <w:p>
      <w:pPr>
        <w:spacing w:after="0" w:line="162" w:lineRule="exact"/>
        <w:rPr>
          <w:sz w:val="20"/>
          <w:szCs w:val="20"/>
          <w:color w:val="auto"/>
        </w:rPr>
      </w:pPr>
    </w:p>
    <w:p>
      <w:pPr>
        <w:jc w:val="both"/>
        <w:ind w:firstLine="315"/>
        <w:spacing w:after="0" w:line="275" w:lineRule="auto"/>
        <w:rPr>
          <w:sz w:val="20"/>
          <w:szCs w:val="20"/>
          <w:color w:val="auto"/>
        </w:rPr>
      </w:pPr>
      <w:r>
        <w:rPr>
          <w:rFonts w:ascii="Times New Roman" w:cs="Times New Roman" w:eastAsia="Times New Roman" w:hAnsi="Times New Roman"/>
          <w:sz w:val="19"/>
          <w:szCs w:val="19"/>
          <w:color w:val="auto"/>
        </w:rPr>
        <w:t>Reg. FD also requires that where material non-public information has been inadvertently disclosed on a selective basis, the Company must promptly disclose that same information to the general public. Monetary penalties and other sanctions may be imposed on both the Company and its senior officials if material non-public information is either intentionally disclosed on a selective basis, or is inadvertently disclosed on a selective basis and then not subsequently disclosed publicly, where (a) at the time of disclosure the senior official either knew or was reckless in not knowing that the information was both material and non-public, or (b) after the inadvertent disclosure the senior official learns of the disclosure and knows or was reckless in not knowing that the information was both material and non-public.</w:t>
      </w:r>
    </w:p>
    <w:p>
      <w:pPr>
        <w:spacing w:after="0" w:line="178" w:lineRule="exact"/>
        <w:rPr>
          <w:sz w:val="20"/>
          <w:szCs w:val="20"/>
          <w:color w:val="auto"/>
        </w:rPr>
      </w:pPr>
    </w:p>
    <w:p>
      <w:pPr>
        <w:jc w:val="both"/>
        <w:ind w:firstLine="315"/>
        <w:spacing w:after="0" w:line="284" w:lineRule="auto"/>
        <w:rPr>
          <w:sz w:val="20"/>
          <w:szCs w:val="20"/>
          <w:color w:val="auto"/>
        </w:rPr>
      </w:pPr>
      <w:r>
        <w:rPr>
          <w:rFonts w:ascii="Times New Roman" w:cs="Times New Roman" w:eastAsia="Times New Roman" w:hAnsi="Times New Roman"/>
          <w:sz w:val="19"/>
          <w:szCs w:val="19"/>
          <w:color w:val="auto"/>
        </w:rPr>
        <w:t>In light of the severity of possible sanctions to employees and the Company for insider trading and the Company’s obligation to ensure that all material non-public information disclosed to securities market participants is disclosed publicly, we have adopted the following policies and procedures.</w:t>
      </w:r>
    </w:p>
    <w:p>
      <w:pPr>
        <w:spacing w:after="0" w:line="273"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9"/>
          <w:szCs w:val="19"/>
          <w:b w:val="1"/>
          <w:bCs w:val="1"/>
          <w:color w:val="auto"/>
        </w:rPr>
        <w:t>Statement of Company Policy Re: Insider Trading</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Policy Against Trading While Aware of Material Non-Public Information</w:t>
      </w:r>
    </w:p>
    <w:p>
      <w:pPr>
        <w:spacing w:after="0" w:line="24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9"/>
          <w:szCs w:val="19"/>
          <w:color w:val="auto"/>
        </w:rPr>
        <w:t xml:space="preserve">Any director, officer, or employee of the Company who is aware of material non-public information relating to the Company may </w:t>
      </w:r>
      <w:r>
        <w:rPr>
          <w:rFonts w:ascii="Times New Roman" w:cs="Times New Roman" w:eastAsia="Times New Roman" w:hAnsi="Times New Roman"/>
          <w:sz w:val="19"/>
          <w:szCs w:val="19"/>
          <w:u w:val="single" w:color="auto"/>
          <w:color w:val="auto"/>
        </w:rPr>
        <w:t>not</w:t>
      </w:r>
      <w:r>
        <w:rPr>
          <w:rFonts w:ascii="Times New Roman" w:cs="Times New Roman" w:eastAsia="Times New Roman" w:hAnsi="Times New Roman"/>
          <w:sz w:val="19"/>
          <w:szCs w:val="19"/>
          <w:color w:val="auto"/>
        </w:rPr>
        <w:t>:</w:t>
      </w:r>
    </w:p>
    <w:p>
      <w:pPr>
        <w:spacing w:after="0" w:line="228" w:lineRule="exact"/>
        <w:rPr>
          <w:sz w:val="20"/>
          <w:szCs w:val="20"/>
          <w:color w:val="auto"/>
        </w:rPr>
      </w:pPr>
    </w:p>
    <w:p>
      <w:pPr>
        <w:ind w:left="640" w:hanging="5"/>
        <w:spacing w:after="0" w:line="281" w:lineRule="auto"/>
        <w:tabs>
          <w:tab w:leader="none" w:pos="1284" w:val="left"/>
        </w:tabs>
        <w:numPr>
          <w:ilvl w:val="0"/>
          <w:numId w:val="6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buy or sell securities of the Company, including its common stock, the Skyworks Stock Fund in the Company’s 401(k) plan or any other securities of the Company, such as debt securities, convertible debentures or warrants (collectively, “Company Securities”);</w:t>
      </w:r>
    </w:p>
    <w:p>
      <w:pPr>
        <w:spacing w:after="0" w:line="157" w:lineRule="exact"/>
        <w:rPr>
          <w:rFonts w:ascii="Times New Roman" w:cs="Times New Roman" w:eastAsia="Times New Roman" w:hAnsi="Times New Roman"/>
          <w:sz w:val="19"/>
          <w:szCs w:val="19"/>
          <w:color w:val="auto"/>
        </w:rPr>
      </w:pPr>
    </w:p>
    <w:p>
      <w:pPr>
        <w:ind w:left="1280" w:hanging="645"/>
        <w:spacing w:after="0"/>
        <w:tabs>
          <w:tab w:leader="none" w:pos="1280" w:val="left"/>
        </w:tabs>
        <w:numPr>
          <w:ilvl w:val="0"/>
          <w:numId w:val="6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recommend that others buy or sell Company Securities; or</w:t>
      </w:r>
    </w:p>
    <w:p>
      <w:pPr>
        <w:spacing w:after="0" w:line="214" w:lineRule="exact"/>
        <w:rPr>
          <w:rFonts w:ascii="Times New Roman" w:cs="Times New Roman" w:eastAsia="Times New Roman" w:hAnsi="Times New Roman"/>
          <w:sz w:val="19"/>
          <w:szCs w:val="19"/>
          <w:color w:val="auto"/>
        </w:rPr>
      </w:pPr>
    </w:p>
    <w:p>
      <w:pPr>
        <w:ind w:left="1280" w:hanging="645"/>
        <w:spacing w:after="0"/>
        <w:tabs>
          <w:tab w:leader="none" w:pos="1280" w:val="left"/>
        </w:tabs>
        <w:numPr>
          <w:ilvl w:val="0"/>
          <w:numId w:val="6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pass such information on to others;</w:t>
      </w:r>
    </w:p>
    <w:p>
      <w:pPr>
        <w:spacing w:after="0" w:line="227" w:lineRule="exact"/>
        <w:rPr>
          <w:rFonts w:ascii="Times New Roman" w:cs="Times New Roman" w:eastAsia="Times New Roman" w:hAnsi="Times New Roman"/>
          <w:sz w:val="19"/>
          <w:szCs w:val="19"/>
          <w:color w:val="auto"/>
        </w:rPr>
      </w:pPr>
    </w:p>
    <w:p>
      <w:pPr>
        <w:ind w:left="1280" w:hanging="645"/>
        <w:spacing w:after="0"/>
        <w:tabs>
          <w:tab w:leader="none" w:pos="1280" w:val="left"/>
        </w:tabs>
        <w:numPr>
          <w:ilvl w:val="0"/>
          <w:numId w:val="6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engage in any other action to take advantage of such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2</w:t>
      </w:r>
    </w:p>
    <w:p>
      <w:pPr>
        <w:sectPr>
          <w:pgSz w:w="11900" w:h="16838" w:orient="portrait"/>
          <w:cols w:equalWidth="0" w:num="1">
            <w:col w:w="11240"/>
          </w:cols>
          <w:pgMar w:left="320" w:top="1377" w:right="339" w:bottom="1440" w:gutter="0" w:footer="0" w:header="0"/>
        </w:sectPr>
      </w:pPr>
    </w:p>
    <w:bookmarkStart w:id="89" w:name="page90"/>
    <w:bookmarkEnd w:id="89"/>
    <w:p>
      <w:pPr>
        <w:ind w:left="1280" w:hanging="645"/>
        <w:spacing w:after="0"/>
        <w:tabs>
          <w:tab w:leader="none" w:pos="1280" w:val="left"/>
        </w:tabs>
        <w:numPr>
          <w:ilvl w:val="0"/>
          <w:numId w:val="6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sell Company Securities purchased from the Company pursuant to the employee stock purchase plan (“ESPP”);</w:t>
      </w:r>
    </w:p>
    <w:p>
      <w:pPr>
        <w:spacing w:after="0" w:line="227" w:lineRule="exact"/>
        <w:rPr>
          <w:rFonts w:ascii="Times New Roman" w:cs="Times New Roman" w:eastAsia="Times New Roman" w:hAnsi="Times New Roman"/>
          <w:sz w:val="19"/>
          <w:szCs w:val="19"/>
          <w:color w:val="auto"/>
        </w:rPr>
      </w:pPr>
    </w:p>
    <w:p>
      <w:pPr>
        <w:ind w:left="640" w:hanging="5"/>
        <w:spacing w:after="0" w:line="281" w:lineRule="auto"/>
        <w:tabs>
          <w:tab w:leader="none" w:pos="1284" w:val="left"/>
        </w:tabs>
        <w:numPr>
          <w:ilvl w:val="0"/>
          <w:numId w:val="6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sell Company Securities received from the Company upon the exercise of a stock option, including sales pursuant to a so-called “cashless exercise” of a stock option through a broker;</w:t>
      </w:r>
    </w:p>
    <w:p>
      <w:pPr>
        <w:spacing w:after="0" w:line="157" w:lineRule="exact"/>
        <w:rPr>
          <w:rFonts w:ascii="Times New Roman" w:cs="Times New Roman" w:eastAsia="Times New Roman" w:hAnsi="Times New Roman"/>
          <w:sz w:val="19"/>
          <w:szCs w:val="19"/>
          <w:color w:val="auto"/>
        </w:rPr>
      </w:pPr>
    </w:p>
    <w:p>
      <w:pPr>
        <w:jc w:val="both"/>
        <w:ind w:left="640" w:hanging="5"/>
        <w:spacing w:after="0" w:line="270" w:lineRule="auto"/>
        <w:tabs>
          <w:tab w:leader="none" w:pos="1284" w:val="left"/>
        </w:tabs>
        <w:numPr>
          <w:ilvl w:val="0"/>
          <w:numId w:val="6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within the Company’s 401(k) plan, (a) make an election to allocate employer matching contributions to the Skyworks Stock Fund, (b) make an election to increase the percentage of the employer matching contributions that will be allocated to the Skyworks Stock Fund or (c) make an intra-plan investment exchange into or out of the Skyworks Stock Fund; or</w:t>
      </w:r>
    </w:p>
    <w:p>
      <w:pPr>
        <w:spacing w:after="0" w:line="168" w:lineRule="exact"/>
        <w:rPr>
          <w:rFonts w:ascii="Times New Roman" w:cs="Times New Roman" w:eastAsia="Times New Roman" w:hAnsi="Times New Roman"/>
          <w:sz w:val="19"/>
          <w:szCs w:val="19"/>
          <w:color w:val="auto"/>
        </w:rPr>
      </w:pPr>
    </w:p>
    <w:p>
      <w:pPr>
        <w:ind w:left="640" w:hanging="5"/>
        <w:spacing w:after="0" w:line="281" w:lineRule="auto"/>
        <w:tabs>
          <w:tab w:leader="none" w:pos="1284" w:val="left"/>
        </w:tabs>
        <w:numPr>
          <w:ilvl w:val="0"/>
          <w:numId w:val="6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with respect to a dividend reinvestment plan covering Company Securities (a “DRIP”), (a) make an election to enroll in or (b) make an election to increase the amount (or percentage) of the dividend to be reinvested.</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Policy Against Trading During Blackout Periods</w:t>
      </w:r>
    </w:p>
    <w:p>
      <w:pPr>
        <w:spacing w:after="0" w:line="230" w:lineRule="exact"/>
        <w:rPr>
          <w:sz w:val="20"/>
          <w:szCs w:val="20"/>
          <w:color w:val="auto"/>
        </w:rPr>
      </w:pPr>
    </w:p>
    <w:p>
      <w:pPr>
        <w:jc w:val="both"/>
        <w:ind w:firstLine="315"/>
        <w:spacing w:after="0" w:line="281" w:lineRule="auto"/>
        <w:rPr>
          <w:sz w:val="20"/>
          <w:szCs w:val="20"/>
          <w:color w:val="auto"/>
        </w:rPr>
      </w:pPr>
      <w:r>
        <w:rPr>
          <w:rFonts w:ascii="Times New Roman" w:cs="Times New Roman" w:eastAsia="Times New Roman" w:hAnsi="Times New Roman"/>
          <w:sz w:val="19"/>
          <w:szCs w:val="19"/>
          <w:color w:val="auto"/>
        </w:rPr>
        <w:t xml:space="preserve">In addition to the above restrictions, the Company implements regular, scheduled blackout periods and may from time to time institute special blackout periods, during which times certain transactions involving Company Securities are prohibited. </w:t>
      </w:r>
      <w:r>
        <w:rPr>
          <w:rFonts w:ascii="Times New Roman" w:cs="Times New Roman" w:eastAsia="Times New Roman" w:hAnsi="Times New Roman"/>
          <w:sz w:val="19"/>
          <w:szCs w:val="19"/>
          <w:i w:val="1"/>
          <w:iCs w:val="1"/>
          <w:color w:val="auto"/>
        </w:rPr>
        <w:t>The existence or non-existence of</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 xml:space="preserve">a blackout period does </w:t>
      </w:r>
      <w:r>
        <w:rPr>
          <w:rFonts w:ascii="Times New Roman" w:cs="Times New Roman" w:eastAsia="Times New Roman" w:hAnsi="Times New Roman"/>
          <w:sz w:val="19"/>
          <w:szCs w:val="19"/>
          <w:i w:val="1"/>
          <w:iCs w:val="1"/>
          <w:u w:val="single" w:color="auto"/>
          <w:color w:val="auto"/>
        </w:rPr>
        <w:t>not</w:t>
      </w:r>
      <w:r>
        <w:rPr>
          <w:rFonts w:ascii="Times New Roman" w:cs="Times New Roman" w:eastAsia="Times New Roman" w:hAnsi="Times New Roman"/>
          <w:sz w:val="19"/>
          <w:szCs w:val="19"/>
          <w:i w:val="1"/>
          <w:iCs w:val="1"/>
          <w:color w:val="auto"/>
        </w:rPr>
        <w:t xml:space="preserve"> alter the general prohibitions against trading based on material non-public information, which are applicable at all times.</w:t>
      </w:r>
    </w:p>
    <w:p>
      <w:pPr>
        <w:spacing w:after="0" w:line="171" w:lineRule="exact"/>
        <w:rPr>
          <w:sz w:val="20"/>
          <w:szCs w:val="20"/>
          <w:color w:val="auto"/>
        </w:rPr>
      </w:pPr>
    </w:p>
    <w:p>
      <w:pPr>
        <w:jc w:val="both"/>
        <w:ind w:firstLine="315"/>
        <w:spacing w:after="0" w:line="244" w:lineRule="auto"/>
        <w:rPr>
          <w:sz w:val="20"/>
          <w:szCs w:val="20"/>
          <w:color w:val="auto"/>
        </w:rPr>
      </w:pPr>
      <w:r>
        <w:rPr>
          <w:rFonts w:ascii="Times New Roman" w:cs="Times New Roman" w:eastAsia="Times New Roman" w:hAnsi="Times New Roman"/>
          <w:sz w:val="19"/>
          <w:szCs w:val="19"/>
          <w:u w:val="single" w:color="auto"/>
          <w:color w:val="auto"/>
        </w:rPr>
        <w:t>Quarterly Blackout Period</w:t>
      </w:r>
      <w:r>
        <w:rPr>
          <w:rFonts w:ascii="Times New Roman" w:cs="Times New Roman" w:eastAsia="Times New Roman" w:hAnsi="Times New Roman"/>
          <w:sz w:val="19"/>
          <w:szCs w:val="19"/>
          <w:color w:val="auto"/>
        </w:rPr>
        <w:t>: No director, officer, or management-level employee (defined below) may (a) buy or sell Company Securities (as prohibited by clause (1) above) or (b) engage in the activities set forth in clauses (2) through (8) above during the “Quarterly Blackout Period,” which begins at 5:00 pm Pacific Time on the 15</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9"/>
          <w:szCs w:val="19"/>
          <w:color w:val="auto"/>
        </w:rPr>
        <w:t xml:space="preserve"> day of the third calendar month of each of the Company’s fiscal quarters (i.e., March 15, June 15, September 15, and December 15) and ends at 6:30 am Pacific Time on the second trading day after the day the Company’s quarterly results become publicly available.</w:t>
      </w:r>
      <w:r>
        <w:rPr>
          <w:rFonts w:ascii="Times New Roman" w:cs="Times New Roman" w:eastAsia="Times New Roman" w:hAnsi="Times New Roman"/>
          <w:sz w:val="25"/>
          <w:szCs w:val="25"/>
          <w:color w:val="auto"/>
          <w:vertAlign w:val="superscript"/>
        </w:rPr>
        <w:t>1</w:t>
      </w:r>
      <w:r>
        <w:rPr>
          <w:rFonts w:ascii="Times New Roman" w:cs="Times New Roman" w:eastAsia="Times New Roman" w:hAnsi="Times New Roman"/>
          <w:sz w:val="19"/>
          <w:szCs w:val="19"/>
          <w:color w:val="auto"/>
        </w:rPr>
        <w:t xml:space="preserve"> For the purposes of the Quarterly Blackout Period, a “management-level employee” is any employee who is at a grade level in the Company of 113 or above.</w:t>
      </w:r>
    </w:p>
    <w:p>
      <w:pPr>
        <w:spacing w:after="0" w:line="207" w:lineRule="exact"/>
        <w:rPr>
          <w:sz w:val="20"/>
          <w:szCs w:val="20"/>
          <w:color w:val="auto"/>
        </w:rPr>
      </w:pPr>
    </w:p>
    <w:p>
      <w:pPr>
        <w:jc w:val="both"/>
        <w:ind w:firstLine="315"/>
        <w:spacing w:after="0" w:line="284" w:lineRule="auto"/>
        <w:rPr>
          <w:sz w:val="20"/>
          <w:szCs w:val="20"/>
          <w:color w:val="auto"/>
        </w:rPr>
      </w:pPr>
      <w:r>
        <w:rPr>
          <w:rFonts w:ascii="Times New Roman" w:cs="Times New Roman" w:eastAsia="Times New Roman" w:hAnsi="Times New Roman"/>
          <w:sz w:val="19"/>
          <w:szCs w:val="19"/>
          <w:color w:val="auto"/>
        </w:rPr>
        <w:t>Although the Quarterly Blackout Period only applies to directors, officers, and management-level employees, all other employees in the company are strongly urged to exercise caution if trading during a Quarterly Blackout Period and are again reminded of the general prohibition against trading based on material non-public information.</w:t>
      </w:r>
    </w:p>
    <w:p>
      <w:pPr>
        <w:spacing w:after="0" w:line="170" w:lineRule="exact"/>
        <w:rPr>
          <w:sz w:val="20"/>
          <w:szCs w:val="20"/>
          <w:color w:val="auto"/>
        </w:rPr>
      </w:pPr>
    </w:p>
    <w:p>
      <w:pPr>
        <w:jc w:val="both"/>
        <w:ind w:firstLine="315"/>
        <w:spacing w:after="0" w:line="275" w:lineRule="auto"/>
        <w:rPr>
          <w:sz w:val="20"/>
          <w:szCs w:val="20"/>
          <w:color w:val="auto"/>
        </w:rPr>
      </w:pPr>
      <w:r>
        <w:rPr>
          <w:rFonts w:ascii="Times New Roman" w:cs="Times New Roman" w:eastAsia="Times New Roman" w:hAnsi="Times New Roman"/>
          <w:sz w:val="19"/>
          <w:szCs w:val="19"/>
          <w:u w:val="single" w:color="auto"/>
          <w:color w:val="auto"/>
        </w:rPr>
        <w:t>Special Blackout Period</w:t>
      </w:r>
      <w:r>
        <w:rPr>
          <w:rFonts w:ascii="Times New Roman" w:cs="Times New Roman" w:eastAsia="Times New Roman" w:hAnsi="Times New Roman"/>
          <w:sz w:val="19"/>
          <w:szCs w:val="19"/>
          <w:color w:val="auto"/>
        </w:rPr>
        <w:t>: The Company may from time to time institute a “Special Blackout Period.” No director, officer, or employee subject to a Special Blackout Period as specified by the Company may (a) buy or sell Company Securities (as prohibited by clause (1) above), (b) engage in the activities set forth in clauses (2) through (8) above during a Special Blackout Period or (c) inform others that a Special Blackout Period is in effect. A notice describing any Special Blackout Period will be provided to each affected person promptly after the decision has been made to subject such person to a Special Blackout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378460</wp:posOffset>
            </wp:positionV>
            <wp:extent cx="166751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27">
                      <a:extLst>
                        <a:ext uri="{28A0092B-C50C-407E-A947-70E740481C1C}"/>
                      </a:extLst>
                    </a:blip>
                    <a:srcRect/>
                    <a:stretch>
                      <a:fillRect/>
                    </a:stretch>
                  </pic:blipFill>
                  <pic:spPr bwMode="auto">
                    <a:xfrm>
                      <a:off x="0" y="0"/>
                      <a:ext cx="166751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firstLine="5"/>
        <w:spacing w:after="0" w:line="222" w:lineRule="auto"/>
        <w:tabs>
          <w:tab w:leader="none" w:pos="105" w:val="left"/>
        </w:tabs>
        <w:numPr>
          <w:ilvl w:val="0"/>
          <w:numId w:val="6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For example, if results become publicly available at any time on Monday, and if Tuesday is a trading day, you can engage in transactions starting at 6:30 a.m. Pacific Time on Wednesday if you are not otherwise in possession of material non-public information regarding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3</w:t>
      </w:r>
    </w:p>
    <w:p>
      <w:pPr>
        <w:sectPr>
          <w:pgSz w:w="11900" w:h="16838" w:orient="portrait"/>
          <w:cols w:equalWidth="0" w:num="1">
            <w:col w:w="11240"/>
          </w:cols>
          <w:pgMar w:left="320" w:top="1377"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9"/>
          <w:szCs w:val="19"/>
          <w:b w:val="1"/>
          <w:bCs w:val="1"/>
          <w:color w:val="auto"/>
        </w:rPr>
        <w:t>Exceptions to the General Policy and Blackout Periods</w:t>
      </w:r>
    </w:p>
    <w:p>
      <w:pPr>
        <w:spacing w:after="0" w:line="243" w:lineRule="exact"/>
        <w:rPr>
          <w:sz w:val="20"/>
          <w:szCs w:val="20"/>
          <w:color w:val="auto"/>
        </w:rPr>
      </w:pPr>
    </w:p>
    <w:p>
      <w:pPr>
        <w:ind w:firstLine="315"/>
        <w:spacing w:after="0" w:line="295" w:lineRule="auto"/>
        <w:rPr>
          <w:sz w:val="20"/>
          <w:szCs w:val="20"/>
          <w:color w:val="auto"/>
        </w:rPr>
      </w:pPr>
      <w:r>
        <w:rPr>
          <w:rFonts w:ascii="Times New Roman" w:cs="Times New Roman" w:eastAsia="Times New Roman" w:hAnsi="Times New Roman"/>
          <w:sz w:val="19"/>
          <w:szCs w:val="19"/>
          <w:color w:val="auto"/>
        </w:rPr>
        <w:t xml:space="preserve">The foregoing restrictions under “Policy Against Trading While Aware of Material Non-Public Information” and “Policy Against Trading During Blackout Periods” are subject to certain exceptions and do </w:t>
      </w:r>
      <w:r>
        <w:rPr>
          <w:rFonts w:ascii="Times New Roman" w:cs="Times New Roman" w:eastAsia="Times New Roman" w:hAnsi="Times New Roman"/>
          <w:sz w:val="19"/>
          <w:szCs w:val="19"/>
          <w:u w:val="single" w:color="auto"/>
          <w:color w:val="auto"/>
        </w:rPr>
        <w:t>not</w:t>
      </w:r>
      <w:r>
        <w:rPr>
          <w:rFonts w:ascii="Times New Roman" w:cs="Times New Roman" w:eastAsia="Times New Roman" w:hAnsi="Times New Roman"/>
          <w:sz w:val="19"/>
          <w:szCs w:val="19"/>
          <w:color w:val="auto"/>
        </w:rPr>
        <w:t xml:space="preserve"> prohibit the following transactions:</w:t>
      </w:r>
    </w:p>
    <w:p>
      <w:pPr>
        <w:spacing w:after="0" w:line="146" w:lineRule="exact"/>
        <w:rPr>
          <w:sz w:val="20"/>
          <w:szCs w:val="20"/>
          <w:color w:val="auto"/>
        </w:rPr>
      </w:pPr>
    </w:p>
    <w:p>
      <w:pPr>
        <w:ind w:left="1280" w:hanging="645"/>
        <w:spacing w:after="0"/>
        <w:tabs>
          <w:tab w:leader="none" w:pos="1280" w:val="left"/>
        </w:tabs>
        <w:numPr>
          <w:ilvl w:val="0"/>
          <w:numId w:val="7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ESPP</w:t>
      </w:r>
      <w:r>
        <w:rPr>
          <w:rFonts w:ascii="Times New Roman" w:cs="Times New Roman" w:eastAsia="Times New Roman" w:hAnsi="Times New Roman"/>
          <w:sz w:val="19"/>
          <w:szCs w:val="19"/>
          <w:color w:val="auto"/>
        </w:rPr>
        <w:t>: Purchases of Company Securities from the Company made pursuant to the ESPP;</w:t>
      </w:r>
    </w:p>
    <w:p>
      <w:pPr>
        <w:spacing w:after="0" w:line="214" w:lineRule="exact"/>
        <w:rPr>
          <w:rFonts w:ascii="Times New Roman" w:cs="Times New Roman" w:eastAsia="Times New Roman" w:hAnsi="Times New Roman"/>
          <w:sz w:val="19"/>
          <w:szCs w:val="19"/>
          <w:color w:val="auto"/>
        </w:rPr>
      </w:pPr>
    </w:p>
    <w:p>
      <w:pPr>
        <w:ind w:left="640" w:hanging="5"/>
        <w:spacing w:after="0" w:line="295" w:lineRule="auto"/>
        <w:tabs>
          <w:tab w:leader="none" w:pos="1284" w:val="left"/>
        </w:tabs>
        <w:numPr>
          <w:ilvl w:val="0"/>
          <w:numId w:val="7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Exercise of Employee Stock Options</w:t>
      </w:r>
      <w:r>
        <w:rPr>
          <w:rFonts w:ascii="Times New Roman" w:cs="Times New Roman" w:eastAsia="Times New Roman" w:hAnsi="Times New Roman"/>
          <w:sz w:val="19"/>
          <w:szCs w:val="19"/>
          <w:color w:val="auto"/>
        </w:rPr>
        <w:t>: Purchases of Company Securities from the Company pursuant to the exercise of stock options granted under the Company’s stock plans;</w:t>
      </w:r>
    </w:p>
    <w:p>
      <w:pPr>
        <w:spacing w:after="0" w:line="145" w:lineRule="exact"/>
        <w:rPr>
          <w:rFonts w:ascii="Times New Roman" w:cs="Times New Roman" w:eastAsia="Times New Roman" w:hAnsi="Times New Roman"/>
          <w:sz w:val="19"/>
          <w:szCs w:val="19"/>
          <w:color w:val="auto"/>
        </w:rPr>
      </w:pPr>
    </w:p>
    <w:p>
      <w:pPr>
        <w:jc w:val="both"/>
        <w:ind w:left="640" w:hanging="5"/>
        <w:spacing w:after="0" w:line="270" w:lineRule="auto"/>
        <w:tabs>
          <w:tab w:leader="none" w:pos="1284" w:val="left"/>
        </w:tabs>
        <w:numPr>
          <w:ilvl w:val="0"/>
          <w:numId w:val="7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Company 401(k) Plan</w:t>
      </w:r>
      <w:r>
        <w:rPr>
          <w:rFonts w:ascii="Times New Roman" w:cs="Times New Roman" w:eastAsia="Times New Roman" w:hAnsi="Times New Roman"/>
          <w:sz w:val="19"/>
          <w:szCs w:val="19"/>
          <w:color w:val="auto"/>
        </w:rPr>
        <w:t>: Purchases of the Skyworks Stock Fund within the Company’s 401(k) plan resulting from employer matching contributions (provided your election(s) to allocate employer matching contributions to the Skyworks Stock Fund complied with this Policy);</w:t>
      </w:r>
    </w:p>
    <w:p>
      <w:pPr>
        <w:spacing w:after="0" w:line="142" w:lineRule="exact"/>
        <w:rPr>
          <w:rFonts w:ascii="Times New Roman" w:cs="Times New Roman" w:eastAsia="Times New Roman" w:hAnsi="Times New Roman"/>
          <w:sz w:val="19"/>
          <w:szCs w:val="19"/>
          <w:color w:val="auto"/>
        </w:rPr>
      </w:pPr>
    </w:p>
    <w:p>
      <w:pPr>
        <w:ind w:left="640" w:hanging="5"/>
        <w:spacing w:after="0" w:line="252" w:lineRule="auto"/>
        <w:tabs>
          <w:tab w:leader="none" w:pos="1284" w:val="left"/>
        </w:tabs>
        <w:numPr>
          <w:ilvl w:val="0"/>
          <w:numId w:val="7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DRIP</w:t>
      </w:r>
      <w:r>
        <w:rPr>
          <w:rFonts w:ascii="Times New Roman" w:cs="Times New Roman" w:eastAsia="Times New Roman" w:hAnsi="Times New Roman"/>
          <w:sz w:val="19"/>
          <w:szCs w:val="19"/>
          <w:color w:val="auto"/>
        </w:rPr>
        <w:t>: The purchase of Company Securities made pursuant to a DRIP (provided your election(s) to participate in the DRIP complied with this Policy);</w:t>
      </w:r>
    </w:p>
    <w:p>
      <w:pPr>
        <w:spacing w:after="0" w:line="145" w:lineRule="exact"/>
        <w:rPr>
          <w:rFonts w:ascii="Times New Roman" w:cs="Times New Roman" w:eastAsia="Times New Roman" w:hAnsi="Times New Roman"/>
          <w:sz w:val="19"/>
          <w:szCs w:val="19"/>
          <w:color w:val="auto"/>
        </w:rPr>
      </w:pPr>
    </w:p>
    <w:p>
      <w:pPr>
        <w:jc w:val="both"/>
        <w:ind w:left="640" w:hanging="5"/>
        <w:spacing w:after="0" w:line="227" w:lineRule="auto"/>
        <w:tabs>
          <w:tab w:leader="none" w:pos="1284" w:val="left"/>
        </w:tabs>
        <w:numPr>
          <w:ilvl w:val="0"/>
          <w:numId w:val="7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Qualified and Alternative Trading Programs</w:t>
      </w:r>
      <w:r>
        <w:rPr>
          <w:rFonts w:ascii="Times New Roman" w:cs="Times New Roman" w:eastAsia="Times New Roman" w:hAnsi="Times New Roman"/>
          <w:sz w:val="19"/>
          <w:szCs w:val="19"/>
          <w:color w:val="auto"/>
        </w:rPr>
        <w:t xml:space="preserve">: The purchase or sale of Company Securities made under a Qualified Trading Program or Alternative Trading Program (as each such term is defined in </w:t>
      </w:r>
      <w:r>
        <w:rPr>
          <w:rFonts w:ascii="Times New Roman" w:cs="Times New Roman" w:eastAsia="Times New Roman" w:hAnsi="Times New Roman"/>
          <w:sz w:val="19"/>
          <w:szCs w:val="19"/>
          <w:u w:val="single" w:color="auto"/>
          <w:color w:val="auto"/>
        </w:rPr>
        <w:t>Exhibit A</w:t>
      </w:r>
      <w:r>
        <w:rPr>
          <w:rFonts w:ascii="Times New Roman" w:cs="Times New Roman" w:eastAsia="Times New Roman" w:hAnsi="Times New Roman"/>
          <w:sz w:val="19"/>
          <w:szCs w:val="19"/>
          <w:color w:val="auto"/>
        </w:rPr>
        <w:t xml:space="preserve"> to this policy statement); provided, the purchase or sale of Company Securities made under an Alternative Trading Program must adhere to any restrictions applicable during Quarterly or Special Blackout Period; or</w:t>
      </w:r>
    </w:p>
    <w:p>
      <w:pPr>
        <w:spacing w:after="0" w:line="144" w:lineRule="exact"/>
        <w:rPr>
          <w:rFonts w:ascii="Times New Roman" w:cs="Times New Roman" w:eastAsia="Times New Roman" w:hAnsi="Times New Roman"/>
          <w:sz w:val="19"/>
          <w:szCs w:val="19"/>
          <w:color w:val="auto"/>
        </w:rPr>
      </w:pPr>
    </w:p>
    <w:p>
      <w:pPr>
        <w:ind w:left="640" w:hanging="5"/>
        <w:spacing w:after="0" w:line="252" w:lineRule="auto"/>
        <w:tabs>
          <w:tab w:leader="none" w:pos="1284" w:val="left"/>
        </w:tabs>
        <w:numPr>
          <w:ilvl w:val="0"/>
          <w:numId w:val="7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Transfer of Shares for Withholding Tax</w:t>
      </w:r>
      <w:r>
        <w:rPr>
          <w:rFonts w:ascii="Times New Roman" w:cs="Times New Roman" w:eastAsia="Times New Roman" w:hAnsi="Times New Roman"/>
          <w:sz w:val="19"/>
          <w:szCs w:val="19"/>
          <w:color w:val="auto"/>
        </w:rPr>
        <w:t>: Dispositions of Company Securities to the Company, including the surrender of shares to the Company in payment of tax withholding obligations with respect to the vesting of equity awards.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Other Restrictions And Procedures</w:t>
      </w:r>
    </w:p>
    <w:p>
      <w:pPr>
        <w:spacing w:after="0" w:line="230" w:lineRule="exact"/>
        <w:rPr>
          <w:sz w:val="20"/>
          <w:szCs w:val="20"/>
          <w:color w:val="auto"/>
        </w:rPr>
      </w:pPr>
    </w:p>
    <w:p>
      <w:pPr>
        <w:ind w:firstLine="315"/>
        <w:spacing w:after="0" w:line="310" w:lineRule="auto"/>
        <w:rPr>
          <w:sz w:val="20"/>
          <w:szCs w:val="20"/>
          <w:color w:val="auto"/>
        </w:rPr>
      </w:pPr>
      <w:r>
        <w:rPr>
          <w:rFonts w:ascii="Times New Roman" w:cs="Times New Roman" w:eastAsia="Times New Roman" w:hAnsi="Times New Roman"/>
          <w:sz w:val="19"/>
          <w:szCs w:val="19"/>
          <w:u w:val="single" w:color="auto"/>
          <w:color w:val="auto"/>
        </w:rPr>
        <w:t>Prohibition on Selling Short, Puts, and Calls</w:t>
      </w:r>
      <w:r>
        <w:rPr>
          <w:rFonts w:ascii="Times New Roman" w:cs="Times New Roman" w:eastAsia="Times New Roman" w:hAnsi="Times New Roman"/>
          <w:sz w:val="19"/>
          <w:szCs w:val="19"/>
          <w:color w:val="auto"/>
        </w:rPr>
        <w:t>: No director, officer, or employee (or any of their designees) may directly or indirectly engage in the following transactions with respect to Company Securities:</w:t>
      </w:r>
    </w:p>
    <w:p>
      <w:pPr>
        <w:spacing w:after="0" w:line="131" w:lineRule="exact"/>
        <w:rPr>
          <w:sz w:val="20"/>
          <w:szCs w:val="20"/>
          <w:color w:val="auto"/>
        </w:rPr>
      </w:pPr>
    </w:p>
    <w:p>
      <w:pPr>
        <w:ind w:left="1280" w:hanging="645"/>
        <w:spacing w:after="0"/>
        <w:tabs>
          <w:tab w:leader="none" w:pos="1280" w:val="left"/>
        </w:tabs>
        <w:numPr>
          <w:ilvl w:val="0"/>
          <w:numId w:val="7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selling short, including short sales “against the box”;</w:t>
      </w:r>
    </w:p>
    <w:p>
      <w:pPr>
        <w:spacing w:after="0" w:line="201" w:lineRule="exact"/>
        <w:rPr>
          <w:rFonts w:ascii="Times New Roman" w:cs="Times New Roman" w:eastAsia="Times New Roman" w:hAnsi="Times New Roman"/>
          <w:sz w:val="19"/>
          <w:szCs w:val="19"/>
          <w:color w:val="auto"/>
        </w:rPr>
      </w:pPr>
    </w:p>
    <w:p>
      <w:pPr>
        <w:ind w:left="1280" w:hanging="645"/>
        <w:spacing w:after="0"/>
        <w:tabs>
          <w:tab w:leader="none" w:pos="1280" w:val="left"/>
        </w:tabs>
        <w:numPr>
          <w:ilvl w:val="0"/>
          <w:numId w:val="7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buying or selling put or call options (or any other exchange-traded option); or</w:t>
      </w:r>
    </w:p>
    <w:p>
      <w:pPr>
        <w:spacing w:after="0" w:line="188" w:lineRule="exact"/>
        <w:rPr>
          <w:rFonts w:ascii="Times New Roman" w:cs="Times New Roman" w:eastAsia="Times New Roman" w:hAnsi="Times New Roman"/>
          <w:sz w:val="19"/>
          <w:szCs w:val="19"/>
          <w:color w:val="auto"/>
        </w:rPr>
      </w:pPr>
    </w:p>
    <w:p>
      <w:pPr>
        <w:jc w:val="both"/>
        <w:ind w:left="640" w:hanging="5"/>
        <w:spacing w:after="0" w:line="231" w:lineRule="auto"/>
        <w:tabs>
          <w:tab w:leader="none" w:pos="1284" w:val="left"/>
        </w:tabs>
        <w:numPr>
          <w:ilvl w:val="0"/>
          <w:numId w:val="7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purchasing financial instruments (including prepaid variable forward contracts, equity swaps, collars, and exchange funds), or otherwise engaging in transactions, that hedge or offset, or are designed to hedge or offset, any decrease in the market value of Company Securities, whether through the use of traded securities, privately negotiated derivative securities, or synthetic financial instruments.</w:t>
      </w:r>
    </w:p>
    <w:p>
      <w:pPr>
        <w:spacing w:after="0" w:line="183" w:lineRule="exact"/>
        <w:rPr>
          <w:sz w:val="20"/>
          <w:szCs w:val="20"/>
          <w:color w:val="auto"/>
        </w:rPr>
      </w:pPr>
    </w:p>
    <w:p>
      <w:pPr>
        <w:jc w:val="both"/>
        <w:ind w:firstLine="315"/>
        <w:spacing w:after="0" w:line="275" w:lineRule="auto"/>
        <w:rPr>
          <w:sz w:val="20"/>
          <w:szCs w:val="20"/>
          <w:color w:val="auto"/>
        </w:rPr>
      </w:pPr>
      <w:r>
        <w:rPr>
          <w:rFonts w:ascii="Times New Roman" w:cs="Times New Roman" w:eastAsia="Times New Roman" w:hAnsi="Times New Roman"/>
          <w:sz w:val="19"/>
          <w:szCs w:val="19"/>
          <w:u w:val="single" w:color="auto"/>
          <w:color w:val="auto"/>
        </w:rPr>
        <w:t>Pre-Clearance for Trades by Directors, and Section 16 Officers</w:t>
      </w:r>
      <w:r>
        <w:rPr>
          <w:rFonts w:ascii="Times New Roman" w:cs="Times New Roman" w:eastAsia="Times New Roman" w:hAnsi="Times New Roman"/>
          <w:sz w:val="19"/>
          <w:szCs w:val="19"/>
          <w:color w:val="auto"/>
        </w:rPr>
        <w:t>: No director or Section 16 officer may buy, sell, donate (including by gift or to fund a trust), transfer or otherwise acquire or dispose of any Company Securities without the prior written approval of the General Counsel. A request for pre-clearance shall be made in accordance with the procedures established by the General Counsel. A request for pre-clearance shall be sent by e-mail, should be made at least two full trading days in advance of the proposed transaction and should include the type of proposed transaction (for example, an open market sale or purchase, an exchange into or out of the Skyworks Stock Fund within your 401(k), a donation of shares, etc.), the proposed date of the transaction, the number of securities to be involved, and a statement that the requestor is not aware of material nonpublic information about the Company. All transactions that are pre-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4</w:t>
      </w:r>
    </w:p>
    <w:p>
      <w:pPr>
        <w:sectPr>
          <w:pgSz w:w="11900" w:h="16838" w:orient="portrait"/>
          <w:cols w:equalWidth="0" w:num="1">
            <w:col w:w="11240"/>
          </w:cols>
          <w:pgMar w:left="320" w:top="1388" w:right="339" w:bottom="1440" w:gutter="0" w:footer="0" w:header="0"/>
        </w:sectPr>
      </w:pPr>
    </w:p>
    <w:bookmarkStart w:id="91" w:name="page92"/>
    <w:bookmarkEnd w:id="91"/>
    <w:p>
      <w:pPr>
        <w:jc w:val="both"/>
        <w:spacing w:after="0" w:line="281" w:lineRule="auto"/>
        <w:rPr>
          <w:sz w:val="20"/>
          <w:szCs w:val="20"/>
          <w:color w:val="auto"/>
        </w:rPr>
      </w:pPr>
      <w:r>
        <w:rPr>
          <w:rFonts w:ascii="Times New Roman" w:cs="Times New Roman" w:eastAsia="Times New Roman" w:hAnsi="Times New Roman"/>
          <w:sz w:val="19"/>
          <w:szCs w:val="19"/>
          <w:color w:val="auto"/>
        </w:rPr>
        <w:t>cleared hereunder must be effected within five trading days of receipt of the pre-clearance. A pre-cleared transaction (or any portion of a pre-cleared transaction) that has not been effected during the five trading day period must be pre-cleared again prior to execution. Notwithstanding receipt of pre-clearance, if the requestor becomes aware of material non-public information (or becomes subject to a Quarterly or Special Blackout Period) before the transaction is effected, the transaction may not be completed.</w:t>
      </w:r>
    </w:p>
    <w:p>
      <w:pPr>
        <w:spacing w:after="0" w:line="171" w:lineRule="exact"/>
        <w:rPr>
          <w:sz w:val="20"/>
          <w:szCs w:val="20"/>
          <w:color w:val="auto"/>
        </w:rPr>
      </w:pPr>
    </w:p>
    <w:p>
      <w:pPr>
        <w:jc w:val="both"/>
        <w:ind w:firstLine="315"/>
        <w:spacing w:after="0" w:line="275" w:lineRule="auto"/>
        <w:rPr>
          <w:sz w:val="20"/>
          <w:szCs w:val="20"/>
          <w:color w:val="auto"/>
        </w:rPr>
      </w:pPr>
      <w:r>
        <w:rPr>
          <w:rFonts w:ascii="Times New Roman" w:cs="Times New Roman" w:eastAsia="Times New Roman" w:hAnsi="Times New Roman"/>
          <w:sz w:val="19"/>
          <w:szCs w:val="19"/>
          <w:u w:val="single" w:color="auto"/>
          <w:color w:val="auto"/>
        </w:rPr>
        <w:t>Post-Transaction Notice</w:t>
      </w:r>
      <w:r>
        <w:rPr>
          <w:rFonts w:ascii="Times New Roman" w:cs="Times New Roman" w:eastAsia="Times New Roman" w:hAnsi="Times New Roman"/>
          <w:sz w:val="19"/>
          <w:szCs w:val="19"/>
          <w:color w:val="auto"/>
        </w:rPr>
        <w:t>. Each director or Section 16 officer shall also notify the General Counsel of the occurrence of any purchase, sale, donation, transfer, or other acquisition or disposition of Company Securities as soon as possible following the transaction, but in any event within one business day after the transaction. Such notification shall be in writing (including by e-mail) and should include the type of transaction, the date of the transaction, the number of shares involved, the purchase or sale price, and whether the transaction was effected pursuant to a contract, instruction or written plan that is intended either to satisfy the affirmative defense conditions of Rule 10b5-1(c) as a Qualified Trading Program or to constitute an Alternative Trading Program.</w:t>
      </w:r>
    </w:p>
    <w:p>
      <w:pPr>
        <w:spacing w:after="0" w:line="165" w:lineRule="exact"/>
        <w:rPr>
          <w:sz w:val="20"/>
          <w:szCs w:val="20"/>
          <w:color w:val="auto"/>
        </w:rPr>
      </w:pPr>
    </w:p>
    <w:p>
      <w:pPr>
        <w:jc w:val="both"/>
        <w:ind w:firstLine="315"/>
        <w:spacing w:after="0" w:line="310" w:lineRule="auto"/>
        <w:rPr>
          <w:sz w:val="20"/>
          <w:szCs w:val="20"/>
          <w:color w:val="auto"/>
        </w:rPr>
      </w:pPr>
      <w:r>
        <w:rPr>
          <w:rFonts w:ascii="Times New Roman" w:cs="Times New Roman" w:eastAsia="Times New Roman" w:hAnsi="Times New Roman"/>
          <w:sz w:val="19"/>
          <w:szCs w:val="19"/>
          <w:u w:val="single" w:color="auto"/>
          <w:color w:val="auto"/>
        </w:rPr>
        <w:t>Prohibition on Pledging</w:t>
      </w:r>
      <w:r>
        <w:rPr>
          <w:rFonts w:ascii="Times New Roman" w:cs="Times New Roman" w:eastAsia="Times New Roman" w:hAnsi="Times New Roman"/>
          <w:sz w:val="19"/>
          <w:szCs w:val="19"/>
          <w:color w:val="auto"/>
        </w:rPr>
        <w:t>: No director, officer, or employee may purchase Company Securities on margin, borrow against Company Securities held in a margin account, or pledge Company Securities as collateral for a loan.</w:t>
      </w:r>
    </w:p>
    <w:p>
      <w:pPr>
        <w:spacing w:after="0" w:line="145" w:lineRule="exact"/>
        <w:rPr>
          <w:sz w:val="20"/>
          <w:szCs w:val="20"/>
          <w:color w:val="auto"/>
        </w:rPr>
      </w:pPr>
    </w:p>
    <w:p>
      <w:pPr>
        <w:jc w:val="both"/>
        <w:ind w:firstLine="315"/>
        <w:spacing w:after="0" w:line="275" w:lineRule="auto"/>
        <w:rPr>
          <w:sz w:val="20"/>
          <w:szCs w:val="20"/>
          <w:color w:val="auto"/>
        </w:rPr>
      </w:pPr>
      <w:r>
        <w:rPr>
          <w:rFonts w:ascii="Times New Roman" w:cs="Times New Roman" w:eastAsia="Times New Roman" w:hAnsi="Times New Roman"/>
          <w:sz w:val="19"/>
          <w:szCs w:val="19"/>
          <w:u w:val="single" w:color="auto"/>
          <w:color w:val="auto"/>
        </w:rPr>
        <w:t>Transaction in Securities of Other Companies</w:t>
      </w:r>
      <w:r>
        <w:rPr>
          <w:rFonts w:ascii="Times New Roman" w:cs="Times New Roman" w:eastAsia="Times New Roman" w:hAnsi="Times New Roman"/>
          <w:sz w:val="19"/>
          <w:szCs w:val="19"/>
          <w:color w:val="auto"/>
        </w:rPr>
        <w:t>: No director, officer, or employee who, while acting for the Company, obtains or becomes aware of material non-public information about another publicly traded company, including customers, suppliers, competitors, joint-venture partners, or potential acquisition targets, may buy or sell securities (or enter into any transaction involving derivative securities or a synthetic financial instrument) of that company, engage in any other action to take advantage of such information, or recommend that others buy or sell securities of that company or pass such information on to others.</w:t>
      </w:r>
    </w:p>
    <w:p>
      <w:pPr>
        <w:spacing w:after="0" w:line="179" w:lineRule="exact"/>
        <w:rPr>
          <w:sz w:val="20"/>
          <w:szCs w:val="20"/>
          <w:color w:val="auto"/>
        </w:rPr>
      </w:pPr>
    </w:p>
    <w:p>
      <w:pPr>
        <w:jc w:val="both"/>
        <w:ind w:firstLine="315"/>
        <w:spacing w:after="0" w:line="275" w:lineRule="auto"/>
        <w:rPr>
          <w:sz w:val="20"/>
          <w:szCs w:val="20"/>
          <w:color w:val="auto"/>
        </w:rPr>
      </w:pPr>
      <w:r>
        <w:rPr>
          <w:rFonts w:ascii="Times New Roman" w:cs="Times New Roman" w:eastAsia="Times New Roman" w:hAnsi="Times New Roman"/>
          <w:sz w:val="19"/>
          <w:szCs w:val="19"/>
          <w:u w:val="single" w:color="auto"/>
          <w:color w:val="auto"/>
        </w:rPr>
        <w:t>Applicability to Family Members and Others</w:t>
      </w:r>
      <w:r>
        <w:rPr>
          <w:rFonts w:ascii="Times New Roman" w:cs="Times New Roman" w:eastAsia="Times New Roman" w:hAnsi="Times New Roman"/>
          <w:sz w:val="19"/>
          <w:szCs w:val="19"/>
          <w:color w:val="auto"/>
        </w:rPr>
        <w:t>: The restrictions and other requirements set forth above apply not only to you but also to (a) family members, such as your spouse, domestic partner, children, parents, and siblings, (b) other persons where the relationship is such that there is a reasonable expectation of confidentiality, and (c) any corporation, trust, partnership, or other entity that you control, including venture capital partnerships</w:t>
      </w:r>
      <w:r>
        <w:rPr>
          <w:rFonts w:ascii="Times New Roman" w:cs="Times New Roman" w:eastAsia="Times New Roman" w:hAnsi="Times New Roman"/>
          <w:sz w:val="19"/>
          <w:szCs w:val="19"/>
          <w:i w:val="1"/>
          <w:iCs w:val="1"/>
          <w:color w:val="auto"/>
        </w:rPr>
        <w:t>.</w:t>
      </w:r>
      <w:r>
        <w:rPr>
          <w:rFonts w:ascii="Times New Roman" w:cs="Times New Roman" w:eastAsia="Times New Roman" w:hAnsi="Times New Roman"/>
          <w:sz w:val="19"/>
          <w:szCs w:val="19"/>
          <w:color w:val="auto"/>
        </w:rPr>
        <w:t xml:space="preserve"> Insiders are responsible for the compliance of such persons and should, if necessary, review with them this Company policy and the general prohibitions on insider trading.</w:t>
      </w:r>
    </w:p>
    <w:p>
      <w:pPr>
        <w:spacing w:after="0" w:line="179" w:lineRule="exact"/>
        <w:rPr>
          <w:sz w:val="20"/>
          <w:szCs w:val="20"/>
          <w:color w:val="auto"/>
        </w:rPr>
      </w:pPr>
    </w:p>
    <w:p>
      <w:pPr>
        <w:jc w:val="both"/>
        <w:ind w:firstLine="315"/>
        <w:spacing w:after="0" w:line="284" w:lineRule="auto"/>
        <w:rPr>
          <w:sz w:val="20"/>
          <w:szCs w:val="20"/>
          <w:color w:val="auto"/>
        </w:rPr>
      </w:pPr>
      <w:r>
        <w:rPr>
          <w:rFonts w:ascii="Times New Roman" w:cs="Times New Roman" w:eastAsia="Times New Roman" w:hAnsi="Times New Roman"/>
          <w:sz w:val="19"/>
          <w:szCs w:val="19"/>
          <w:u w:val="single" w:color="auto"/>
          <w:color w:val="auto"/>
        </w:rPr>
        <w:t>Applicability to the Company</w:t>
      </w:r>
      <w:r>
        <w:rPr>
          <w:rFonts w:ascii="Times New Roman" w:cs="Times New Roman" w:eastAsia="Times New Roman" w:hAnsi="Times New Roman"/>
          <w:sz w:val="19"/>
          <w:szCs w:val="19"/>
          <w:color w:val="auto"/>
        </w:rPr>
        <w:t>: Although the trading restrictions above are not applicable to transactions by the Company itself, transactions by the Company will only be made in accordance with applicable U.S. federal securities laws, including those relating to transacting while the Company is aware of material non-public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5</w:t>
      </w:r>
    </w:p>
    <w:p>
      <w:pPr>
        <w:sectPr>
          <w:pgSz w:w="11900" w:h="16838" w:orient="portrait"/>
          <w:cols w:equalWidth="0" w:num="1">
            <w:col w:w="11240"/>
          </w:cols>
          <w:pgMar w:left="320" w:top="1390" w:right="339" w:bottom="1440" w:gutter="0" w:footer="0" w:header="0"/>
        </w:sectPr>
      </w:pPr>
    </w:p>
    <w:bookmarkStart w:id="92" w:name="page93"/>
    <w:bookmarkEnd w:id="92"/>
    <w:p>
      <w:pPr>
        <w:ind w:left="2280"/>
        <w:spacing w:after="0"/>
        <w:rPr>
          <w:sz w:val="20"/>
          <w:szCs w:val="20"/>
          <w:color w:val="auto"/>
        </w:rPr>
      </w:pPr>
      <w:r>
        <w:rPr>
          <w:rFonts w:ascii="Times New Roman" w:cs="Times New Roman" w:eastAsia="Times New Roman" w:hAnsi="Times New Roman"/>
          <w:sz w:val="19"/>
          <w:szCs w:val="19"/>
          <w:b w:val="1"/>
          <w:bCs w:val="1"/>
          <w:color w:val="auto"/>
        </w:rPr>
        <w:t>Statement of Company Policy Re: Disclosure of Material Non-public Information</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Restrictions on Disclosure of Information</w:t>
      </w:r>
    </w:p>
    <w:p>
      <w:pPr>
        <w:spacing w:after="0" w:line="230" w:lineRule="exact"/>
        <w:rPr>
          <w:sz w:val="20"/>
          <w:szCs w:val="20"/>
          <w:color w:val="auto"/>
        </w:rPr>
      </w:pPr>
    </w:p>
    <w:p>
      <w:pPr>
        <w:jc w:val="both"/>
        <w:ind w:firstLine="315"/>
        <w:spacing w:after="0" w:line="279" w:lineRule="auto"/>
        <w:rPr>
          <w:sz w:val="20"/>
          <w:szCs w:val="20"/>
          <w:color w:val="auto"/>
        </w:rPr>
      </w:pPr>
      <w:r>
        <w:rPr>
          <w:rFonts w:ascii="Times New Roman" w:cs="Times New Roman" w:eastAsia="Times New Roman" w:hAnsi="Times New Roman"/>
          <w:sz w:val="19"/>
          <w:szCs w:val="19"/>
          <w:u w:val="single" w:color="auto"/>
          <w:color w:val="auto"/>
        </w:rPr>
        <w:t>General Policy:</w:t>
      </w:r>
      <w:r>
        <w:rPr>
          <w:rFonts w:ascii="Times New Roman" w:cs="Times New Roman" w:eastAsia="Times New Roman" w:hAnsi="Times New Roman"/>
          <w:sz w:val="19"/>
          <w:szCs w:val="19"/>
          <w:color w:val="auto"/>
        </w:rPr>
        <w:t xml:space="preserve"> Due to the risk of inadvertent disclosure of material non-public information, no director, officer, or employee may communicate about or on behalf of the Company to any broker-dealer (including their associated persons, for example, an analyst or investment banker), investment adviser, institutional investment manager or investment company (including hedge funds and venture capital funds), media outlet, or shareholder, except when and if he or she has been designated a Company Spokesperson. Requests for information about the Company should </w:t>
      </w:r>
      <w:r>
        <w:rPr>
          <w:rFonts w:ascii="Times New Roman" w:cs="Times New Roman" w:eastAsia="Times New Roman" w:hAnsi="Times New Roman"/>
          <w:sz w:val="19"/>
          <w:szCs w:val="19"/>
          <w:u w:val="single" w:color="auto"/>
          <w:color w:val="auto"/>
        </w:rPr>
        <w:t>in all cases</w:t>
      </w:r>
      <w:r>
        <w:rPr>
          <w:rFonts w:ascii="Times New Roman" w:cs="Times New Roman" w:eastAsia="Times New Roman" w:hAnsi="Times New Roman"/>
          <w:sz w:val="19"/>
          <w:szCs w:val="19"/>
          <w:color w:val="auto"/>
        </w:rPr>
        <w:t xml:space="preserve"> be promptly directed to a Company Spokesperson.</w:t>
      </w:r>
    </w:p>
    <w:p>
      <w:pPr>
        <w:spacing w:after="0" w:line="161" w:lineRule="exact"/>
        <w:rPr>
          <w:sz w:val="20"/>
          <w:szCs w:val="20"/>
          <w:color w:val="auto"/>
        </w:rPr>
      </w:pPr>
    </w:p>
    <w:p>
      <w:pPr>
        <w:jc w:val="both"/>
        <w:ind w:firstLine="315"/>
        <w:spacing w:after="0" w:line="310" w:lineRule="auto"/>
        <w:rPr>
          <w:sz w:val="20"/>
          <w:szCs w:val="20"/>
          <w:color w:val="auto"/>
        </w:rPr>
      </w:pPr>
      <w:r>
        <w:rPr>
          <w:rFonts w:ascii="Times New Roman" w:cs="Times New Roman" w:eastAsia="Times New Roman" w:hAnsi="Times New Roman"/>
          <w:sz w:val="19"/>
          <w:szCs w:val="19"/>
          <w:color w:val="auto"/>
        </w:rPr>
        <w:t>The Company has authorized the Chief Executive Officer, the Chief Financial Officer, the Vice President of Investor Relations, and those persons whom they designate in writing from time to time to be the Company Spokespersons.</w:t>
      </w:r>
    </w:p>
    <w:p>
      <w:pPr>
        <w:spacing w:after="0" w:line="145" w:lineRule="exact"/>
        <w:rPr>
          <w:sz w:val="20"/>
          <w:szCs w:val="20"/>
          <w:color w:val="auto"/>
        </w:rPr>
      </w:pPr>
    </w:p>
    <w:p>
      <w:pPr>
        <w:jc w:val="both"/>
        <w:ind w:firstLine="315"/>
        <w:spacing w:after="0" w:line="275" w:lineRule="auto"/>
        <w:rPr>
          <w:sz w:val="20"/>
          <w:szCs w:val="20"/>
          <w:color w:val="auto"/>
        </w:rPr>
      </w:pPr>
      <w:r>
        <w:rPr>
          <w:rFonts w:ascii="Times New Roman" w:cs="Times New Roman" w:eastAsia="Times New Roman" w:hAnsi="Times New Roman"/>
          <w:sz w:val="19"/>
          <w:szCs w:val="19"/>
          <w:u w:val="single" w:color="auto"/>
          <w:color w:val="auto"/>
        </w:rPr>
        <w:t>No-Comment Policy for Rumors and Litigation</w:t>
      </w:r>
      <w:r>
        <w:rPr>
          <w:rFonts w:ascii="Times New Roman" w:cs="Times New Roman" w:eastAsia="Times New Roman" w:hAnsi="Times New Roman"/>
          <w:sz w:val="19"/>
          <w:szCs w:val="19"/>
          <w:color w:val="auto"/>
        </w:rPr>
        <w:t>: The Company has a general policy that it will not comment on rumors concerning Company developments, including rumors concerning public offerings of its securities, or acquisitions or dispositions, restructurings, or similar matters except as approved by a Company Spokesperson (or a designee of such Company Spokesperson). Additionally, the Company has a general policy that it will not comment on any pending or threatened litigation. Any requests for comment on the foregoing matters should be directed to an authorized Company Spokesperson.</w:t>
      </w:r>
    </w:p>
    <w:p>
      <w:pPr>
        <w:spacing w:after="0" w:line="179" w:lineRule="exact"/>
        <w:rPr>
          <w:sz w:val="20"/>
          <w:szCs w:val="20"/>
          <w:color w:val="auto"/>
        </w:rPr>
      </w:pPr>
    </w:p>
    <w:p>
      <w:pPr>
        <w:jc w:val="both"/>
        <w:ind w:firstLine="315"/>
        <w:spacing w:after="0" w:line="281" w:lineRule="auto"/>
        <w:rPr>
          <w:sz w:val="20"/>
          <w:szCs w:val="20"/>
          <w:color w:val="auto"/>
        </w:rPr>
      </w:pPr>
      <w:r>
        <w:rPr>
          <w:rFonts w:ascii="Times New Roman" w:cs="Times New Roman" w:eastAsia="Times New Roman" w:hAnsi="Times New Roman"/>
          <w:sz w:val="19"/>
          <w:szCs w:val="19"/>
          <w:u w:val="single" w:color="auto"/>
          <w:color w:val="auto"/>
        </w:rPr>
        <w:t>Confidential Information</w:t>
      </w:r>
      <w:r>
        <w:rPr>
          <w:rFonts w:ascii="Times New Roman" w:cs="Times New Roman" w:eastAsia="Times New Roman" w:hAnsi="Times New Roman"/>
          <w:sz w:val="19"/>
          <w:szCs w:val="19"/>
          <w:color w:val="auto"/>
        </w:rPr>
        <w:t xml:space="preserve">: Your employment agreement with the Company prohibits you from disclosing any proprietary or confidential information of the Company (or of any other company that you obtain information about or become aware of while acting for the Company) to any third party, </w:t>
      </w:r>
      <w:r>
        <w:rPr>
          <w:rFonts w:ascii="Times New Roman" w:cs="Times New Roman" w:eastAsia="Times New Roman" w:hAnsi="Times New Roman"/>
          <w:sz w:val="19"/>
          <w:szCs w:val="19"/>
          <w:b w:val="1"/>
          <w:bCs w:val="1"/>
          <w:u w:val="single" w:color="auto"/>
          <w:color w:val="auto"/>
        </w:rPr>
        <w:t>regardless of whether such information is material</w:t>
      </w:r>
      <w:r>
        <w:rPr>
          <w:rFonts w:ascii="Times New Roman" w:cs="Times New Roman" w:eastAsia="Times New Roman" w:hAnsi="Times New Roman"/>
          <w:sz w:val="19"/>
          <w:szCs w:val="19"/>
          <w:color w:val="auto"/>
        </w:rPr>
        <w:t>, except when necessary for, and clearly authorized in connection with, the conduct of the Company’s business or when required or protected by either applicable law or judicial process.</w:t>
      </w:r>
    </w:p>
    <w:p>
      <w:pPr>
        <w:spacing w:after="0" w:line="158" w:lineRule="exact"/>
        <w:rPr>
          <w:sz w:val="20"/>
          <w:szCs w:val="20"/>
          <w:color w:val="auto"/>
        </w:rPr>
      </w:pPr>
    </w:p>
    <w:p>
      <w:pPr>
        <w:jc w:val="both"/>
        <w:ind w:firstLine="315"/>
        <w:spacing w:after="0" w:line="310" w:lineRule="auto"/>
        <w:rPr>
          <w:sz w:val="20"/>
          <w:szCs w:val="20"/>
          <w:color w:val="auto"/>
        </w:rPr>
      </w:pPr>
      <w:r>
        <w:rPr>
          <w:rFonts w:ascii="Times New Roman" w:cs="Times New Roman" w:eastAsia="Times New Roman" w:hAnsi="Times New Roman"/>
          <w:sz w:val="19"/>
          <w:szCs w:val="19"/>
          <w:u w:val="single" w:color="auto"/>
          <w:color w:val="auto"/>
        </w:rPr>
        <w:t>Means For Public Disclosure</w:t>
      </w:r>
      <w:r>
        <w:rPr>
          <w:rFonts w:ascii="Times New Roman" w:cs="Times New Roman" w:eastAsia="Times New Roman" w:hAnsi="Times New Roman"/>
          <w:sz w:val="19"/>
          <w:szCs w:val="19"/>
          <w:color w:val="auto"/>
        </w:rPr>
        <w:t>: The Company will disclose material information by means of dissemination designed to provide broad, non-exclusionary distribution of the information to the public.</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Material Non-Public Information</w:t>
      </w:r>
    </w:p>
    <w:p>
      <w:pPr>
        <w:spacing w:after="0" w:line="230" w:lineRule="exact"/>
        <w:rPr>
          <w:sz w:val="20"/>
          <w:szCs w:val="20"/>
          <w:color w:val="auto"/>
        </w:rPr>
      </w:pPr>
    </w:p>
    <w:p>
      <w:pPr>
        <w:jc w:val="both"/>
        <w:ind w:firstLine="315"/>
        <w:spacing w:after="0" w:line="284" w:lineRule="auto"/>
        <w:rPr>
          <w:sz w:val="20"/>
          <w:szCs w:val="20"/>
          <w:color w:val="auto"/>
        </w:rPr>
      </w:pPr>
      <w:r>
        <w:rPr>
          <w:rFonts w:ascii="Times New Roman" w:cs="Times New Roman" w:eastAsia="Times New Roman" w:hAnsi="Times New Roman"/>
          <w:sz w:val="19"/>
          <w:szCs w:val="19"/>
          <w:u w:val="single" w:color="auto"/>
          <w:color w:val="auto"/>
        </w:rPr>
        <w:t>Material Information</w:t>
      </w:r>
      <w:r>
        <w:rPr>
          <w:rFonts w:ascii="Times New Roman" w:cs="Times New Roman" w:eastAsia="Times New Roman" w:hAnsi="Times New Roman"/>
          <w:sz w:val="19"/>
          <w:szCs w:val="19"/>
          <w:color w:val="auto"/>
        </w:rPr>
        <w:t>: Information is “material” when it is substantially likely that a reasonable investor would consider the information important in making a decision to buy, hold, or sell stock and would therefore affect the price of the stock. Examples of material information include:</w:t>
      </w:r>
    </w:p>
    <w:p>
      <w:pPr>
        <w:spacing w:after="0" w:line="157" w:lineRule="exact"/>
        <w:rPr>
          <w:sz w:val="20"/>
          <w:szCs w:val="20"/>
          <w:color w:val="auto"/>
        </w:rPr>
      </w:pPr>
    </w:p>
    <w:p>
      <w:pPr>
        <w:ind w:left="940" w:hanging="305"/>
        <w:spacing w:after="0"/>
        <w:tabs>
          <w:tab w:leader="none" w:pos="940" w:val="left"/>
        </w:tabs>
        <w:numPr>
          <w:ilvl w:val="0"/>
          <w:numId w:val="7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projections of future earnings or losses, including changes in earnings estimates;</w:t>
      </w:r>
    </w:p>
    <w:p>
      <w:pPr>
        <w:spacing w:after="0" w:line="227" w:lineRule="exact"/>
        <w:rPr>
          <w:rFonts w:ascii="Times New Roman" w:cs="Times New Roman" w:eastAsia="Times New Roman" w:hAnsi="Times New Roman"/>
          <w:sz w:val="19"/>
          <w:szCs w:val="19"/>
          <w:color w:val="auto"/>
        </w:rPr>
      </w:pPr>
    </w:p>
    <w:p>
      <w:pPr>
        <w:ind w:left="940" w:hanging="305"/>
        <w:spacing w:after="0"/>
        <w:tabs>
          <w:tab w:leader="none" w:pos="940" w:val="left"/>
        </w:tabs>
        <w:numPr>
          <w:ilvl w:val="0"/>
          <w:numId w:val="7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knowledge regarding a pending or proposed merger, acquisition, or tender offer, or regarding a significant sale of assets;</w:t>
      </w:r>
    </w:p>
    <w:p>
      <w:pPr>
        <w:spacing w:after="0" w:line="214" w:lineRule="exact"/>
        <w:rPr>
          <w:rFonts w:ascii="Times New Roman" w:cs="Times New Roman" w:eastAsia="Times New Roman" w:hAnsi="Times New Roman"/>
          <w:sz w:val="19"/>
          <w:szCs w:val="19"/>
          <w:color w:val="auto"/>
        </w:rPr>
      </w:pPr>
    </w:p>
    <w:p>
      <w:pPr>
        <w:ind w:left="940" w:hanging="305"/>
        <w:spacing w:after="0"/>
        <w:tabs>
          <w:tab w:leader="none" w:pos="940" w:val="left"/>
        </w:tabs>
        <w:numPr>
          <w:ilvl w:val="0"/>
          <w:numId w:val="7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changes in dividend policies or the announcement of a stock repurchase program;</w:t>
      </w:r>
    </w:p>
    <w:p>
      <w:pPr>
        <w:spacing w:after="0" w:line="227" w:lineRule="exact"/>
        <w:rPr>
          <w:rFonts w:ascii="Times New Roman" w:cs="Times New Roman" w:eastAsia="Times New Roman" w:hAnsi="Times New Roman"/>
          <w:sz w:val="19"/>
          <w:szCs w:val="19"/>
          <w:color w:val="auto"/>
        </w:rPr>
      </w:pPr>
    </w:p>
    <w:p>
      <w:pPr>
        <w:ind w:left="940" w:hanging="305"/>
        <w:spacing w:after="0"/>
        <w:tabs>
          <w:tab w:leader="none" w:pos="940" w:val="left"/>
        </w:tabs>
        <w:numPr>
          <w:ilvl w:val="0"/>
          <w:numId w:val="7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declaration of a stock split, or the offering of additional securities;</w:t>
      </w:r>
    </w:p>
    <w:p>
      <w:pPr>
        <w:spacing w:after="0" w:line="214" w:lineRule="exact"/>
        <w:rPr>
          <w:rFonts w:ascii="Times New Roman" w:cs="Times New Roman" w:eastAsia="Times New Roman" w:hAnsi="Times New Roman"/>
          <w:sz w:val="19"/>
          <w:szCs w:val="19"/>
          <w:color w:val="auto"/>
        </w:rPr>
      </w:pPr>
    </w:p>
    <w:p>
      <w:pPr>
        <w:ind w:left="940" w:hanging="305"/>
        <w:spacing w:after="0"/>
        <w:tabs>
          <w:tab w:leader="none" w:pos="940" w:val="left"/>
        </w:tabs>
        <w:numPr>
          <w:ilvl w:val="0"/>
          <w:numId w:val="7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changes in management;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6</w:t>
      </w:r>
    </w:p>
    <w:p>
      <w:pPr>
        <w:sectPr>
          <w:pgSz w:w="11900" w:h="16838" w:orient="portrait"/>
          <w:cols w:equalWidth="0" w:num="1">
            <w:col w:w="11240"/>
          </w:cols>
          <w:pgMar w:left="320" w:top="1388" w:right="339" w:bottom="1440" w:gutter="0" w:footer="0" w:header="0"/>
        </w:sectPr>
      </w:pPr>
    </w:p>
    <w:bookmarkStart w:id="93" w:name="page94"/>
    <w:bookmarkEnd w:id="93"/>
    <w:p>
      <w:pPr>
        <w:ind w:left="940" w:hanging="305"/>
        <w:spacing w:after="0"/>
        <w:tabs>
          <w:tab w:leader="none" w:pos="940" w:val="left"/>
        </w:tabs>
        <w:numPr>
          <w:ilvl w:val="0"/>
          <w:numId w:val="7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breakthroughs in technology;</w:t>
      </w:r>
    </w:p>
    <w:p>
      <w:pPr>
        <w:spacing w:after="0" w:line="227" w:lineRule="exact"/>
        <w:rPr>
          <w:rFonts w:ascii="Times New Roman" w:cs="Times New Roman" w:eastAsia="Times New Roman" w:hAnsi="Times New Roman"/>
          <w:sz w:val="19"/>
          <w:szCs w:val="19"/>
          <w:color w:val="auto"/>
        </w:rPr>
      </w:pPr>
    </w:p>
    <w:p>
      <w:pPr>
        <w:ind w:left="940" w:hanging="305"/>
        <w:spacing w:after="0"/>
        <w:tabs>
          <w:tab w:leader="none" w:pos="940" w:val="left"/>
        </w:tabs>
        <w:numPr>
          <w:ilvl w:val="0"/>
          <w:numId w:val="7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introduction or status of significant new products, or design wins and losses;</w:t>
      </w:r>
    </w:p>
    <w:p>
      <w:pPr>
        <w:spacing w:after="0" w:line="214" w:lineRule="exact"/>
        <w:rPr>
          <w:rFonts w:ascii="Times New Roman" w:cs="Times New Roman" w:eastAsia="Times New Roman" w:hAnsi="Times New Roman"/>
          <w:sz w:val="19"/>
          <w:szCs w:val="19"/>
          <w:color w:val="auto"/>
        </w:rPr>
      </w:pPr>
    </w:p>
    <w:p>
      <w:pPr>
        <w:ind w:left="940" w:hanging="305"/>
        <w:spacing w:after="0"/>
        <w:tabs>
          <w:tab w:leader="none" w:pos="940" w:val="left"/>
        </w:tabs>
        <w:numPr>
          <w:ilvl w:val="0"/>
          <w:numId w:val="7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significant litigation developments;</w:t>
      </w:r>
    </w:p>
    <w:p>
      <w:pPr>
        <w:spacing w:after="0" w:line="227" w:lineRule="exact"/>
        <w:rPr>
          <w:rFonts w:ascii="Times New Roman" w:cs="Times New Roman" w:eastAsia="Times New Roman" w:hAnsi="Times New Roman"/>
          <w:sz w:val="19"/>
          <w:szCs w:val="19"/>
          <w:color w:val="auto"/>
        </w:rPr>
      </w:pPr>
    </w:p>
    <w:p>
      <w:pPr>
        <w:ind w:left="940" w:hanging="305"/>
        <w:spacing w:after="0"/>
        <w:tabs>
          <w:tab w:leader="none" w:pos="940" w:val="left"/>
        </w:tabs>
        <w:numPr>
          <w:ilvl w:val="0"/>
          <w:numId w:val="7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significant breaches of the company’s information technology systems or other cybersecurity incidents;</w:t>
      </w:r>
    </w:p>
    <w:p>
      <w:pPr>
        <w:spacing w:after="0" w:line="214" w:lineRule="exact"/>
        <w:rPr>
          <w:rFonts w:ascii="Times New Roman" w:cs="Times New Roman" w:eastAsia="Times New Roman" w:hAnsi="Times New Roman"/>
          <w:sz w:val="19"/>
          <w:szCs w:val="19"/>
          <w:color w:val="auto"/>
        </w:rPr>
      </w:pPr>
    </w:p>
    <w:p>
      <w:pPr>
        <w:ind w:left="940" w:hanging="305"/>
        <w:spacing w:after="0"/>
        <w:tabs>
          <w:tab w:leader="none" w:pos="940" w:val="left"/>
        </w:tabs>
        <w:numPr>
          <w:ilvl w:val="0"/>
          <w:numId w:val="7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award or loss of a substantial contract or gain or loss of a substantial customer or supplier; and</w:t>
      </w:r>
    </w:p>
    <w:p>
      <w:pPr>
        <w:spacing w:after="0" w:line="227" w:lineRule="exact"/>
        <w:rPr>
          <w:rFonts w:ascii="Times New Roman" w:cs="Times New Roman" w:eastAsia="Times New Roman" w:hAnsi="Times New Roman"/>
          <w:sz w:val="19"/>
          <w:szCs w:val="19"/>
          <w:color w:val="auto"/>
        </w:rPr>
      </w:pPr>
    </w:p>
    <w:p>
      <w:pPr>
        <w:ind w:left="940" w:hanging="305"/>
        <w:spacing w:after="0"/>
        <w:tabs>
          <w:tab w:leader="none" w:pos="940" w:val="left"/>
        </w:tabs>
        <w:numPr>
          <w:ilvl w:val="0"/>
          <w:numId w:val="7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change in the company’s auditor or an auditor notification that the issuer may no longer rely on an auditor’s audit report.</w:t>
      </w:r>
    </w:p>
    <w:p>
      <w:pPr>
        <w:spacing w:after="0" w:line="241" w:lineRule="exact"/>
        <w:rPr>
          <w:sz w:val="20"/>
          <w:szCs w:val="20"/>
          <w:color w:val="auto"/>
        </w:rPr>
      </w:pPr>
    </w:p>
    <w:p>
      <w:pPr>
        <w:jc w:val="both"/>
        <w:ind w:firstLine="315"/>
        <w:spacing w:after="0" w:line="276" w:lineRule="auto"/>
        <w:rPr>
          <w:sz w:val="20"/>
          <w:szCs w:val="20"/>
          <w:color w:val="auto"/>
        </w:rPr>
      </w:pPr>
      <w:r>
        <w:rPr>
          <w:rFonts w:ascii="Times New Roman" w:cs="Times New Roman" w:eastAsia="Times New Roman" w:hAnsi="Times New Roman"/>
          <w:sz w:val="19"/>
          <w:szCs w:val="19"/>
          <w:color w:val="auto"/>
        </w:rPr>
        <w:t>Either positive or negative information may be material. If you are unsure at any time as to whether you are aware of material information about the Company, you should contact a Compliance Administrator for clarification. As previously stated, the prohibition on selective disclosure of material non-public information during conversations with securities market participants applies to all directors, officers, investor relations or public relations officers, or other persons with similar functions.</w:t>
      </w:r>
    </w:p>
    <w:p>
      <w:pPr>
        <w:spacing w:after="0" w:line="177" w:lineRule="exact"/>
        <w:rPr>
          <w:sz w:val="20"/>
          <w:szCs w:val="20"/>
          <w:color w:val="auto"/>
        </w:rPr>
      </w:pPr>
    </w:p>
    <w:p>
      <w:pPr>
        <w:jc w:val="both"/>
        <w:ind w:firstLine="315"/>
        <w:spacing w:after="0" w:line="275" w:lineRule="auto"/>
        <w:rPr>
          <w:sz w:val="20"/>
          <w:szCs w:val="20"/>
          <w:color w:val="auto"/>
        </w:rPr>
      </w:pPr>
      <w:r>
        <w:rPr>
          <w:rFonts w:ascii="Times New Roman" w:cs="Times New Roman" w:eastAsia="Times New Roman" w:hAnsi="Times New Roman"/>
          <w:sz w:val="19"/>
          <w:szCs w:val="19"/>
          <w:u w:val="single" w:color="auto"/>
          <w:color w:val="auto"/>
        </w:rPr>
        <w:t>Transition from “Non-Public” to “Public” Information</w:t>
      </w:r>
      <w:r>
        <w:rPr>
          <w:rFonts w:ascii="Times New Roman" w:cs="Times New Roman" w:eastAsia="Times New Roman" w:hAnsi="Times New Roman"/>
          <w:sz w:val="19"/>
          <w:szCs w:val="19"/>
          <w:color w:val="auto"/>
        </w:rPr>
        <w:t>: The restrictions on purchases or sales of Company Securities based on material information apply not only to non-public information but also for a limited time after such information has been released to the public. The Company’s shareholders and the investing public must be afforded time to receive and digest material information before it can be considered in the public domain. As a general rule, you should consider material information to be non-public from the time you become aware of material information until 6:30 am Pacific Time on the second trading day after the day the information becomes publicly available. Accordingly, you should not engage in any transactions involving Company Securities until after that time. If the information is complex or is not widely disseminated, the Company may advise you in certain circumstances that you must wait an even longer period of time.</w:t>
      </w:r>
    </w:p>
    <w:p>
      <w:pPr>
        <w:spacing w:after="0" w:line="164" w:lineRule="exact"/>
        <w:rPr>
          <w:sz w:val="20"/>
          <w:szCs w:val="20"/>
          <w:color w:val="auto"/>
        </w:rPr>
      </w:pPr>
    </w:p>
    <w:p>
      <w:pPr>
        <w:jc w:val="both"/>
        <w:ind w:firstLine="315"/>
        <w:spacing w:after="0" w:line="281" w:lineRule="auto"/>
        <w:rPr>
          <w:sz w:val="20"/>
          <w:szCs w:val="20"/>
          <w:color w:val="auto"/>
        </w:rPr>
      </w:pPr>
      <w:r>
        <w:rPr>
          <w:rFonts w:ascii="Times New Roman" w:cs="Times New Roman" w:eastAsia="Times New Roman" w:hAnsi="Times New Roman"/>
          <w:sz w:val="19"/>
          <w:szCs w:val="19"/>
          <w:u w:val="single" w:color="auto"/>
          <w:color w:val="auto"/>
        </w:rPr>
        <w:t>Tipping Information to Others</w:t>
      </w:r>
      <w:r>
        <w:rPr>
          <w:rFonts w:ascii="Times New Roman" w:cs="Times New Roman" w:eastAsia="Times New Roman" w:hAnsi="Times New Roman"/>
          <w:sz w:val="19"/>
          <w:szCs w:val="19"/>
          <w:color w:val="auto"/>
        </w:rPr>
        <w:t>: The above policy includes a prohibition against passing material non-public information about the Company (or any other company that you obtain information about or become aware of while acting for the Company) to others. This includes a prohibition against disclosure of any material non-public information to your family, friends, social acquaintances, or anyone else. This prohibition applies whether or not you receive any benefit from the other person’s use of that information.</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Other Important Information</w:t>
      </w:r>
    </w:p>
    <w:p>
      <w:pPr>
        <w:spacing w:after="0" w:line="243" w:lineRule="exact"/>
        <w:rPr>
          <w:sz w:val="20"/>
          <w:szCs w:val="20"/>
          <w:color w:val="auto"/>
        </w:rPr>
      </w:pPr>
    </w:p>
    <w:p>
      <w:pPr>
        <w:jc w:val="both"/>
        <w:ind w:firstLine="315"/>
        <w:spacing w:after="0" w:line="275" w:lineRule="auto"/>
        <w:rPr>
          <w:sz w:val="20"/>
          <w:szCs w:val="20"/>
          <w:color w:val="auto"/>
        </w:rPr>
      </w:pPr>
      <w:r>
        <w:rPr>
          <w:rFonts w:ascii="Times New Roman" w:cs="Times New Roman" w:eastAsia="Times New Roman" w:hAnsi="Times New Roman"/>
          <w:sz w:val="19"/>
          <w:szCs w:val="19"/>
          <w:u w:val="single" w:color="auto"/>
          <w:color w:val="auto"/>
        </w:rPr>
        <w:t>Post-Employment Obligations</w:t>
      </w:r>
      <w:r>
        <w:rPr>
          <w:rFonts w:ascii="Times New Roman" w:cs="Times New Roman" w:eastAsia="Times New Roman" w:hAnsi="Times New Roman"/>
          <w:sz w:val="19"/>
          <w:szCs w:val="19"/>
          <w:color w:val="auto"/>
        </w:rPr>
        <w:t>: Following the cessation of your business relationship with the Company, the insider trading laws continue to prohibit any trading by you while you are aware of material non-public information. Accordingly, if your employment ceases at a time when you are aware of material non-public information about the Company, then the prohibitions on trading described above shall continue to apply to you until the time that such information becomes public or is no longer considered to be material. In any event, you should consult with your counsel prior to any sale of Company Securities after your business relationship with the Company terminates, particularly during any “Blackout Period” immediately following the cessation of your business relationship with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7</w:t>
      </w:r>
    </w:p>
    <w:p>
      <w:pPr>
        <w:sectPr>
          <w:pgSz w:w="11900" w:h="16838" w:orient="portrait"/>
          <w:cols w:equalWidth="0" w:num="1">
            <w:col w:w="11240"/>
          </w:cols>
          <w:pgMar w:left="320" w:top="1377" w:right="339" w:bottom="1440" w:gutter="0" w:footer="0" w:header="0"/>
        </w:sectPr>
      </w:pPr>
    </w:p>
    <w:bookmarkStart w:id="94" w:name="page95"/>
    <w:bookmarkEnd w:id="94"/>
    <w:p>
      <w:pPr>
        <w:jc w:val="both"/>
        <w:ind w:firstLine="315"/>
        <w:spacing w:after="0" w:line="275" w:lineRule="auto"/>
        <w:rPr>
          <w:sz w:val="20"/>
          <w:szCs w:val="20"/>
          <w:color w:val="auto"/>
        </w:rPr>
      </w:pPr>
      <w:r>
        <w:rPr>
          <w:rFonts w:ascii="Times New Roman" w:cs="Times New Roman" w:eastAsia="Times New Roman" w:hAnsi="Times New Roman"/>
          <w:sz w:val="19"/>
          <w:szCs w:val="19"/>
          <w:u w:val="single" w:color="auto"/>
          <w:color w:val="auto"/>
        </w:rPr>
        <w:t>Internet Forums</w:t>
      </w:r>
      <w:r>
        <w:rPr>
          <w:rFonts w:ascii="Times New Roman" w:cs="Times New Roman" w:eastAsia="Times New Roman" w:hAnsi="Times New Roman"/>
          <w:sz w:val="19"/>
          <w:szCs w:val="19"/>
          <w:color w:val="auto"/>
        </w:rPr>
        <w:t xml:space="preserve">: The above policy includes a prohibition against disclosing or discussing confidential or proprietary information of the Company via an Internet website (whether or not such site is specifically related to the Company) or any medium of communication that is conducted, expressed, or implemented through or by means of the Internet (e.g., an Internet chat room, message board, smartphone/tablet application or social media site, such as Twitter, Facebook, or LinkedIn). When participating in such forums or mediums, directors and employees must be vigilant to ensure that no confidential or proprietary information (especially </w:t>
      </w:r>
      <w:r>
        <w:rPr>
          <w:rFonts w:ascii="Times New Roman" w:cs="Times New Roman" w:eastAsia="Times New Roman" w:hAnsi="Times New Roman"/>
          <w:sz w:val="19"/>
          <w:szCs w:val="19"/>
          <w:u w:val="single" w:color="auto"/>
          <w:color w:val="auto"/>
        </w:rPr>
        <w:t>material</w:t>
      </w:r>
      <w:r>
        <w:rPr>
          <w:rFonts w:ascii="Times New Roman" w:cs="Times New Roman" w:eastAsia="Times New Roman" w:hAnsi="Times New Roman"/>
          <w:sz w:val="19"/>
          <w:szCs w:val="19"/>
          <w:color w:val="auto"/>
        </w:rPr>
        <w:t xml:space="preserve"> information such as earnings-related information, key technology developments, or significant customer wins) “leaks” to the public before the Company officially releases it.</w:t>
      </w:r>
    </w:p>
    <w:p>
      <w:pPr>
        <w:spacing w:after="0" w:line="178" w:lineRule="exact"/>
        <w:rPr>
          <w:sz w:val="20"/>
          <w:szCs w:val="20"/>
          <w:color w:val="auto"/>
        </w:rPr>
      </w:pPr>
    </w:p>
    <w:p>
      <w:pPr>
        <w:jc w:val="both"/>
        <w:ind w:firstLine="315"/>
        <w:spacing w:after="0" w:line="284" w:lineRule="auto"/>
        <w:rPr>
          <w:sz w:val="20"/>
          <w:szCs w:val="20"/>
          <w:color w:val="auto"/>
        </w:rPr>
      </w:pPr>
      <w:r>
        <w:rPr>
          <w:rFonts w:ascii="Times New Roman" w:cs="Times New Roman" w:eastAsia="Times New Roman" w:hAnsi="Times New Roman"/>
          <w:sz w:val="19"/>
          <w:szCs w:val="19"/>
          <w:color w:val="auto"/>
        </w:rPr>
        <w:t xml:space="preserve">Lastly, it is a common misperception that one can participate anonymously on Internet discussion forums or through smartphone/tablet applications. You should be aware that government agencies, companies, </w:t>
      </w:r>
      <w:r>
        <w:rPr>
          <w:rFonts w:ascii="Times New Roman" w:cs="Times New Roman" w:eastAsia="Times New Roman" w:hAnsi="Times New Roman"/>
          <w:sz w:val="19"/>
          <w:szCs w:val="19"/>
          <w:i w:val="1"/>
          <w:iCs w:val="1"/>
          <w:color w:val="auto"/>
        </w:rPr>
        <w:t>and</w:t>
      </w:r>
      <w:r>
        <w:rPr>
          <w:rFonts w:ascii="Times New Roman" w:cs="Times New Roman" w:eastAsia="Times New Roman" w:hAnsi="Times New Roman"/>
          <w:sz w:val="19"/>
          <w:szCs w:val="19"/>
          <w:color w:val="auto"/>
        </w:rPr>
        <w:t xml:space="preserve"> individuals may obtain this information under certain circumstances, and thus there is no real anonymity on the Internet.</w:t>
      </w: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Summary</w:t>
      </w:r>
    </w:p>
    <w:p>
      <w:pPr>
        <w:spacing w:after="0" w:line="230" w:lineRule="exact"/>
        <w:rPr>
          <w:sz w:val="20"/>
          <w:szCs w:val="20"/>
          <w:color w:val="auto"/>
        </w:rPr>
      </w:pPr>
    </w:p>
    <w:p>
      <w:pPr>
        <w:jc w:val="both"/>
        <w:ind w:firstLine="315"/>
        <w:spacing w:after="0" w:line="275" w:lineRule="auto"/>
        <w:rPr>
          <w:sz w:val="20"/>
          <w:szCs w:val="20"/>
          <w:color w:val="auto"/>
        </w:rPr>
      </w:pPr>
      <w:r>
        <w:rPr>
          <w:rFonts w:ascii="Times New Roman" w:cs="Times New Roman" w:eastAsia="Times New Roman" w:hAnsi="Times New Roman"/>
          <w:sz w:val="19"/>
          <w:szCs w:val="19"/>
          <w:color w:val="auto"/>
        </w:rPr>
        <w:t>This statement presents the Company’s policies and procedures with respect to transactions by directors, officers, and employees in Company Securities and the disclosure of material non-public information to securities market participants. The procedures and policies set forth in this policy statement present only a general framework within which you may purchase, sell or otherwise transact in Company Securities without violating the insider trading laws. You have the ultimate responsibility for complying with all securities laws (including the insider trading laws), which obligations may extend beyond those set forth herein, and you should obtain additional guidance whenever you are in doubt. Please note, however, that your failure to comply with the policies and procedures set forth above may result in the Company taking disciplinary action against you up to and including termination, whether or not your failure to comply results in a violation of law.</w:t>
      </w:r>
    </w:p>
    <w:p>
      <w:pPr>
        <w:spacing w:after="0" w:line="178" w:lineRule="exact"/>
        <w:rPr>
          <w:sz w:val="20"/>
          <w:szCs w:val="20"/>
          <w:color w:val="auto"/>
        </w:rPr>
      </w:pPr>
    </w:p>
    <w:p>
      <w:pPr>
        <w:jc w:val="both"/>
        <w:ind w:firstLine="315"/>
        <w:spacing w:after="0" w:line="295" w:lineRule="auto"/>
        <w:rPr>
          <w:sz w:val="20"/>
          <w:szCs w:val="20"/>
          <w:color w:val="auto"/>
        </w:rPr>
      </w:pPr>
      <w:r>
        <w:rPr>
          <w:rFonts w:ascii="Times New Roman" w:cs="Times New Roman" w:eastAsia="Times New Roman" w:hAnsi="Times New Roman"/>
          <w:sz w:val="19"/>
          <w:szCs w:val="19"/>
          <w:color w:val="auto"/>
        </w:rPr>
        <w:t>If you have any questions about the Company’s policies and procedures, please feel free to call either Robert Terry or Ashran Jen, the Compliance Administrators, at (949) 231-3140 or (949) 231-4037,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8</w:t>
      </w:r>
    </w:p>
    <w:p>
      <w:pPr>
        <w:sectPr>
          <w:pgSz w:w="11900" w:h="16838" w:orient="portrait"/>
          <w:cols w:equalWidth="0" w:num="1">
            <w:col w:w="11240"/>
          </w:cols>
          <w:pgMar w:left="320" w:top="1390" w:right="339" w:bottom="1440" w:gutter="0" w:footer="0" w:header="0"/>
        </w:sectPr>
      </w:pPr>
    </w:p>
    <w:bookmarkStart w:id="95" w:name="page96"/>
    <w:bookmarkEnd w:id="95"/>
    <w:p>
      <w:pPr>
        <w:jc w:val="right"/>
        <w:spacing w:after="0"/>
        <w:rPr>
          <w:sz w:val="20"/>
          <w:szCs w:val="20"/>
          <w:color w:val="auto"/>
        </w:rPr>
      </w:pPr>
      <w:r>
        <w:rPr>
          <w:rFonts w:ascii="Times New Roman" w:cs="Times New Roman" w:eastAsia="Times New Roman" w:hAnsi="Times New Roman"/>
          <w:sz w:val="19"/>
          <w:szCs w:val="19"/>
          <w:b w:val="1"/>
          <w:bCs w:val="1"/>
          <w:color w:val="auto"/>
        </w:rPr>
        <w:t>Exhibit A</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10b5-1 Trading Programs</w:t>
      </w:r>
    </w:p>
    <w:p>
      <w:pPr>
        <w:spacing w:after="0" w:line="230" w:lineRule="exact"/>
        <w:rPr>
          <w:sz w:val="20"/>
          <w:szCs w:val="20"/>
          <w:color w:val="auto"/>
        </w:rPr>
      </w:pPr>
    </w:p>
    <w:p>
      <w:pPr>
        <w:jc w:val="both"/>
        <w:ind w:firstLine="315"/>
        <w:spacing w:after="0" w:line="273" w:lineRule="auto"/>
        <w:rPr>
          <w:sz w:val="20"/>
          <w:szCs w:val="20"/>
          <w:color w:val="auto"/>
        </w:rPr>
      </w:pPr>
      <w:r>
        <w:rPr>
          <w:rFonts w:ascii="Times New Roman" w:cs="Times New Roman" w:eastAsia="Times New Roman" w:hAnsi="Times New Roman"/>
          <w:sz w:val="19"/>
          <w:szCs w:val="19"/>
          <w:color w:val="auto"/>
        </w:rPr>
        <w:t>Rule 10b5-1 allows a director, officer, or employee to pre-establish a plan for future trades with respect to Company Securities, or to provide instructions to a third party to execute trades on behalf of the seller. Directors, officers, and other persons designated by the General Counsel (“Eligible Insiders”) may want to consider implementing a trading program under Rule 10b5-1 at a time when they are not aware of material non-public information. An Eligible Insider who sets up a trading program under Rule 10b5-1 that meets all of the conditions of Rule 10b5-1(c) and the additional, Company-imposed requirements set forth below (a “Qualified Trading Program”), will be allowed to have his or her broker or agent execute sales and purchases under such trading program even if at the time the trades take place the Eligible Insider may be aware of material non-public information or may be subject to a Quarterly or Special Blackout Period. Eligible Insiders who set up an Alternative Trading Program (as defined below) will remain subject to Quarterly and Special Blackout Periods for all trades, including sales and purchases under their trading programs. For more information about establishing a Qualified or Alternative Trading Program, please contact the General Counsel. The parameters for participation in a Qualified Trading Program or Alternative Trading Program will be established by the Company and may change at any time.</w:t>
      </w:r>
    </w:p>
    <w:p>
      <w:pPr>
        <w:spacing w:after="0" w:line="16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9"/>
          <w:szCs w:val="19"/>
          <w:color w:val="auto"/>
        </w:rPr>
        <w:t>Specifically, in order to qualify as a Qualified Trading Program (and therefore be allowed to proceed with sales and purchases during</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Quarterly and Special Blackout Periods), a trading program set up by an Eligible Insider must meet the following requirements:</w:t>
      </w:r>
    </w:p>
    <w:p>
      <w:pPr>
        <w:spacing w:after="0" w:line="213" w:lineRule="exact"/>
        <w:rPr>
          <w:sz w:val="20"/>
          <w:szCs w:val="20"/>
          <w:color w:val="auto"/>
        </w:rPr>
      </w:pPr>
    </w:p>
    <w:p>
      <w:pPr>
        <w:ind w:left="640" w:hanging="5"/>
        <w:spacing w:after="0" w:line="295" w:lineRule="auto"/>
        <w:tabs>
          <w:tab w:leader="none" w:pos="1284" w:val="left"/>
        </w:tabs>
        <w:numPr>
          <w:ilvl w:val="0"/>
          <w:numId w:val="7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trading program must be pre-approved by the General Counsel, established in writing and be signed and dated by the person entering into the Trading Program;</w:t>
      </w:r>
    </w:p>
    <w:p>
      <w:pPr>
        <w:spacing w:after="0" w:line="145" w:lineRule="exact"/>
        <w:rPr>
          <w:rFonts w:ascii="Times New Roman" w:cs="Times New Roman" w:eastAsia="Times New Roman" w:hAnsi="Times New Roman"/>
          <w:sz w:val="19"/>
          <w:szCs w:val="19"/>
          <w:color w:val="auto"/>
        </w:rPr>
      </w:pPr>
    </w:p>
    <w:p>
      <w:pPr>
        <w:jc w:val="both"/>
        <w:ind w:left="640" w:hanging="5"/>
        <w:spacing w:after="0" w:line="261" w:lineRule="auto"/>
        <w:tabs>
          <w:tab w:leader="none" w:pos="1284" w:val="left"/>
        </w:tabs>
        <w:numPr>
          <w:ilvl w:val="0"/>
          <w:numId w:val="7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trading program must include a certification from the person entering into the trading program that (a) he or she was not aware of any material non-public information about the Company or Company Securities when he or she established the trading program, (b) he or she is entering into the trading program in good faith and not as a plan or scheme to evade the prohibitions of Rule 10b5, (c) he or she will act in good faith with respect to the trading program for the duration of the trading program, and (d) he or she represents that he or she has not (and will not) enter into any transaction designed (or having the effect of) hedging against a decrease in the market value of the shares covered by the trading program;</w:t>
      </w:r>
    </w:p>
    <w:p>
      <w:pPr>
        <w:spacing w:after="0" w:line="162" w:lineRule="exact"/>
        <w:rPr>
          <w:rFonts w:ascii="Times New Roman" w:cs="Times New Roman" w:eastAsia="Times New Roman" w:hAnsi="Times New Roman"/>
          <w:sz w:val="19"/>
          <w:szCs w:val="19"/>
          <w:color w:val="auto"/>
        </w:rPr>
      </w:pPr>
    </w:p>
    <w:p>
      <w:pPr>
        <w:jc w:val="both"/>
        <w:ind w:left="640" w:hanging="5"/>
        <w:spacing w:after="0" w:line="261" w:lineRule="auto"/>
        <w:tabs>
          <w:tab w:leader="none" w:pos="1284" w:val="left"/>
        </w:tabs>
        <w:numPr>
          <w:ilvl w:val="0"/>
          <w:numId w:val="7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trading program (a) specifies the amount of securities to be purchased or sold and the price at which and the date on which the securities are to be purchased or sold; (b) includes a written formula or algorithm, or computer program, for determining the amount of securities to be purchased or sold and the price at which and the date on which the securities are to be purchased or sold; or (c) does not permit the Eligible Insider to exercise any subsequent influence over how, when, or whether to effect purchases or sales; provided, in addition, that any other person who, pursuant to the trading arrangement, does exercise such influence must not have been aware of material nonpublic information when doing so;</w:t>
      </w:r>
    </w:p>
    <w:p>
      <w:pPr>
        <w:spacing w:after="0" w:line="176" w:lineRule="exact"/>
        <w:rPr>
          <w:rFonts w:ascii="Times New Roman" w:cs="Times New Roman" w:eastAsia="Times New Roman" w:hAnsi="Times New Roman"/>
          <w:sz w:val="19"/>
          <w:szCs w:val="19"/>
          <w:color w:val="auto"/>
        </w:rPr>
      </w:pPr>
    </w:p>
    <w:p>
      <w:pPr>
        <w:ind w:left="640" w:hanging="5"/>
        <w:spacing w:after="0" w:line="281" w:lineRule="auto"/>
        <w:tabs>
          <w:tab w:leader="none" w:pos="1284" w:val="left"/>
        </w:tabs>
        <w:numPr>
          <w:ilvl w:val="0"/>
          <w:numId w:val="7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trading program may not be entered into during any Quarterly Blackout Period or any Special Blackout Period to which the person who proposes to establish a trading program is subject;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9</w:t>
      </w:r>
    </w:p>
    <w:p>
      <w:pPr>
        <w:sectPr>
          <w:pgSz w:w="11900" w:h="16838" w:orient="portrait"/>
          <w:cols w:equalWidth="0" w:num="1">
            <w:col w:w="11240"/>
          </w:cols>
          <w:pgMar w:left="320" w:top="1388" w:right="339" w:bottom="1440" w:gutter="0" w:footer="0" w:header="0"/>
        </w:sectPr>
      </w:pPr>
    </w:p>
    <w:bookmarkStart w:id="96" w:name="page97"/>
    <w:bookmarkEnd w:id="96"/>
    <w:p>
      <w:pPr>
        <w:jc w:val="both"/>
        <w:ind w:left="320" w:hanging="5"/>
        <w:spacing w:after="0" w:line="258" w:lineRule="auto"/>
        <w:tabs>
          <w:tab w:leader="none" w:pos="964" w:val="left"/>
        </w:tabs>
        <w:numPr>
          <w:ilvl w:val="0"/>
          <w:numId w:val="7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for an Eligible Insider who is a director or officer, the trading program must specify that the first trade authorized to be made under such trading program shall not occur until the later of (a) ninety-one (91) days after the date on which the Trading Program is entered, and (b) 6:30 a.m. Pacific Time on the third trading day after the day the Company’s Form 10-Q (or Form 10-K) for the quarter during which the trading program is entered becomes publicly available; provided, however, in no case shall the limit of this subsection</w:t>
      </w:r>
    </w:p>
    <w:p>
      <w:pPr>
        <w:spacing w:after="0" w:line="1" w:lineRule="exact"/>
        <w:rPr>
          <w:rFonts w:ascii="Times New Roman" w:cs="Times New Roman" w:eastAsia="Times New Roman" w:hAnsi="Times New Roman"/>
          <w:sz w:val="19"/>
          <w:szCs w:val="19"/>
          <w:color w:val="auto"/>
        </w:rPr>
      </w:pPr>
    </w:p>
    <w:p>
      <w:pPr>
        <w:ind w:left="32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 exceed one hundred twenty (120) days (i.e., transactions are always allowed beginning no later than one hundred and twenty one</w:t>
      </w:r>
    </w:p>
    <w:p>
      <w:pPr>
        <w:spacing w:after="0" w:line="11" w:lineRule="exact"/>
        <w:rPr>
          <w:rFonts w:ascii="Times New Roman" w:cs="Times New Roman" w:eastAsia="Times New Roman" w:hAnsi="Times New Roman"/>
          <w:sz w:val="19"/>
          <w:szCs w:val="19"/>
          <w:color w:val="auto"/>
        </w:rPr>
      </w:pPr>
    </w:p>
    <w:p>
      <w:pPr>
        <w:ind w:left="780" w:hanging="465"/>
        <w:spacing w:after="0"/>
        <w:tabs>
          <w:tab w:leader="none" w:pos="780" w:val="left"/>
        </w:tabs>
        <w:numPr>
          <w:ilvl w:val="0"/>
          <w:numId w:val="7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days after the trading program is established);</w:t>
      </w:r>
    </w:p>
    <w:p>
      <w:pPr>
        <w:spacing w:after="0" w:line="212" w:lineRule="exact"/>
        <w:rPr>
          <w:rFonts w:ascii="Times New Roman" w:cs="Times New Roman" w:eastAsia="Times New Roman" w:hAnsi="Times New Roman"/>
          <w:sz w:val="19"/>
          <w:szCs w:val="19"/>
          <w:color w:val="auto"/>
        </w:rPr>
      </w:pPr>
    </w:p>
    <w:p>
      <w:pPr>
        <w:jc w:val="both"/>
        <w:ind w:left="320" w:hanging="5"/>
        <w:spacing w:after="0" w:line="261" w:lineRule="auto"/>
        <w:tabs>
          <w:tab w:leader="none" w:pos="964" w:val="left"/>
        </w:tabs>
        <w:numPr>
          <w:ilvl w:val="0"/>
          <w:numId w:val="7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trading program must by its terms be subject to the right of the Company to require suspension of transactions under the trading program (or termination of the trading program) to the extent the Company deems such trade suspension (or termination) to be in the best interests of the Company, as for example, where such suspension (or termination) is necessary to comply with any applicable legal or contractual obligations or limitations (for example, an obligation to underwriters for “lock-up” agreements in connection with an underwritten public offering of the Company’s Securities or any restrictions related to a merger, acquisition or tender offer); and</w:t>
      </w:r>
    </w:p>
    <w:p>
      <w:pPr>
        <w:spacing w:after="0" w:line="177" w:lineRule="exact"/>
        <w:rPr>
          <w:rFonts w:ascii="Times New Roman" w:cs="Times New Roman" w:eastAsia="Times New Roman" w:hAnsi="Times New Roman"/>
          <w:sz w:val="19"/>
          <w:szCs w:val="19"/>
          <w:color w:val="auto"/>
        </w:rPr>
      </w:pPr>
    </w:p>
    <w:p>
      <w:pPr>
        <w:ind w:left="320" w:hanging="5"/>
        <w:spacing w:after="0" w:line="281" w:lineRule="auto"/>
        <w:tabs>
          <w:tab w:leader="none" w:pos="964" w:val="left"/>
        </w:tabs>
        <w:numPr>
          <w:ilvl w:val="0"/>
          <w:numId w:val="7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for an Eligible Insider who is not a director or officer, the trading program must specify that the first trade authorized to be made under such trading program shall be no earlier than thirty-one (31) days after the date on which the trading program is entered.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Any Eligible Person who enters into a Qualified Trading Program is also subject to the following conditions:</w:t>
      </w:r>
    </w:p>
    <w:p>
      <w:pPr>
        <w:spacing w:after="0" w:line="215" w:lineRule="exact"/>
        <w:rPr>
          <w:sz w:val="20"/>
          <w:szCs w:val="20"/>
          <w:color w:val="auto"/>
        </w:rPr>
      </w:pPr>
    </w:p>
    <w:p>
      <w:pPr>
        <w:ind w:left="320" w:hanging="5"/>
        <w:spacing w:after="0" w:line="295" w:lineRule="auto"/>
        <w:tabs>
          <w:tab w:leader="none" w:pos="964" w:val="left"/>
        </w:tabs>
        <w:numPr>
          <w:ilvl w:val="0"/>
          <w:numId w:val="7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such Eligible Insider shall act in good faith with respect to the Qualified Trading Program, including for the duration of the Qualified Trading Program;</w:t>
      </w:r>
    </w:p>
    <w:p>
      <w:pPr>
        <w:spacing w:after="0" w:line="145" w:lineRule="exact"/>
        <w:rPr>
          <w:rFonts w:ascii="Times New Roman" w:cs="Times New Roman" w:eastAsia="Times New Roman" w:hAnsi="Times New Roman"/>
          <w:sz w:val="19"/>
          <w:szCs w:val="19"/>
          <w:color w:val="auto"/>
        </w:rPr>
      </w:pPr>
    </w:p>
    <w:p>
      <w:pPr>
        <w:jc w:val="both"/>
        <w:ind w:left="320" w:hanging="5"/>
        <w:spacing w:after="0" w:line="261" w:lineRule="auto"/>
        <w:tabs>
          <w:tab w:leader="none" w:pos="964" w:val="left"/>
        </w:tabs>
        <w:numPr>
          <w:ilvl w:val="0"/>
          <w:numId w:val="7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such Eligible Insider must obtain the written approval of the General Counsel prior to modifying or cancelling a Qualified Trading Program. To be approved, a modified Qualified Trading Program must comply with all of the requirements set forth above for establishing a new Qualified Trading Program. A modification of a Qualified Trading Program that does not change the amount, price or timing of proposed transactions shall not be subject to complying with all the requirements listed above. Further, a Qualified Trading Program cannot be modified more than once during the duration the term of such Qualified Trading Program;</w:t>
      </w:r>
    </w:p>
    <w:p>
      <w:pPr>
        <w:spacing w:after="0" w:line="177" w:lineRule="exact"/>
        <w:rPr>
          <w:rFonts w:ascii="Times New Roman" w:cs="Times New Roman" w:eastAsia="Times New Roman" w:hAnsi="Times New Roman"/>
          <w:sz w:val="19"/>
          <w:szCs w:val="19"/>
          <w:color w:val="auto"/>
        </w:rPr>
      </w:pPr>
    </w:p>
    <w:p>
      <w:pPr>
        <w:jc w:val="both"/>
        <w:ind w:left="320" w:hanging="5"/>
        <w:spacing w:after="0" w:line="258" w:lineRule="auto"/>
        <w:tabs>
          <w:tab w:leader="none" w:pos="964" w:val="left"/>
        </w:tabs>
        <w:numPr>
          <w:ilvl w:val="0"/>
          <w:numId w:val="7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 Eligible Insider may only have one Qualified Trading Program in effect at a time, except an Eligible Insider may have more than one Qualified Trading Program in the following limited circumstances: (a) an Eligible Insider may simultaneously maintain a successor Qualified Trading Program under which trades are not scheduled to begin until completion or expiration of the predecessor Qualified Trading Program, provided, that if the predecessor Qualified Trading Program is cancelled, trading under the successor Qualified Trading Program cannot commence until the applicable cooling-off period set forth in clause (5) or (7) above has run from the date of cancellation of the predecessor Qualified Trading Program, and (b) a Qualified Trading Program that utilizes separate contracts with different brokers designed to effect the purchase or sale of securities as a single transaction may be treated as a single plan so long as the contracts taken together meet the conditions under Rule 10b5-1;</w:t>
      </w:r>
    </w:p>
    <w:p>
      <w:pPr>
        <w:spacing w:after="0" w:line="169" w:lineRule="exact"/>
        <w:rPr>
          <w:rFonts w:ascii="Times New Roman" w:cs="Times New Roman" w:eastAsia="Times New Roman" w:hAnsi="Times New Roman"/>
          <w:sz w:val="19"/>
          <w:szCs w:val="19"/>
          <w:color w:val="auto"/>
        </w:rPr>
      </w:pPr>
    </w:p>
    <w:p>
      <w:pPr>
        <w:ind w:left="320" w:hanging="5"/>
        <w:spacing w:after="0" w:line="295" w:lineRule="auto"/>
        <w:tabs>
          <w:tab w:leader="none" w:pos="964" w:val="left"/>
        </w:tabs>
        <w:numPr>
          <w:ilvl w:val="0"/>
          <w:numId w:val="7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 Eligible Insider may only enter into one Qualified Trading Program that is designed to effect trading of Company Securities as a single transaction during any twelve (12) month period;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9"/>
          <w:szCs w:val="19"/>
          <w:color w:val="auto"/>
        </w:rPr>
        <w:t>10</w:t>
      </w:r>
    </w:p>
    <w:p>
      <w:pPr>
        <w:sectPr>
          <w:pgSz w:w="11900" w:h="16838" w:orient="portrait"/>
          <w:cols w:equalWidth="0" w:num="1">
            <w:col w:w="10920"/>
          </w:cols>
          <w:pgMar w:left="640" w:top="1377" w:right="339" w:bottom="1440" w:gutter="0" w:footer="0" w:header="0"/>
        </w:sectPr>
      </w:pPr>
    </w:p>
    <w:bookmarkStart w:id="97" w:name="page98"/>
    <w:bookmarkEnd w:id="97"/>
    <w:p>
      <w:pPr>
        <w:jc w:val="both"/>
        <w:ind w:left="640" w:hanging="5"/>
        <w:spacing w:after="0" w:line="266" w:lineRule="auto"/>
        <w:tabs>
          <w:tab w:leader="none" w:pos="1284" w:val="left"/>
        </w:tabs>
        <w:numPr>
          <w:ilvl w:val="0"/>
          <w:numId w:val="7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 Eligible Person who has entered into a Qualified Trading Program and who is subject to Section 16 reporting must indicate by footnote (and on or after April 1, 2023, must check the box on any Form 4 or Form 5 filed by such person to report transactions effected under the Qualified Trading Program), as well as note on any Form 144, that such transaction was effected under a contract, instruction, or plan in accordance with Rule 10b5-1.</w:t>
      </w:r>
    </w:p>
    <w:p>
      <w:pPr>
        <w:spacing w:after="0" w:line="174" w:lineRule="exact"/>
        <w:rPr>
          <w:sz w:val="20"/>
          <w:szCs w:val="20"/>
          <w:color w:val="auto"/>
        </w:rPr>
      </w:pPr>
    </w:p>
    <w:p>
      <w:pPr>
        <w:jc w:val="both"/>
        <w:ind w:firstLine="315"/>
        <w:spacing w:after="0" w:line="281" w:lineRule="auto"/>
        <w:rPr>
          <w:sz w:val="20"/>
          <w:szCs w:val="20"/>
          <w:color w:val="auto"/>
        </w:rPr>
      </w:pPr>
      <w:r>
        <w:rPr>
          <w:rFonts w:ascii="Times New Roman" w:cs="Times New Roman" w:eastAsia="Times New Roman" w:hAnsi="Times New Roman"/>
          <w:sz w:val="19"/>
          <w:szCs w:val="19"/>
          <w:color w:val="auto"/>
        </w:rPr>
        <w:t>Eligible Persons who enter into an Alternative Trading Program will not be able to rely on the affirmative defense of Rule 10b5-1 for trades made under such trading program but may be able to rely on other alternative defenses to liability for insider trading under applicable securities laws. In order to qualify as an “Alternative Trading Program” (wherein sales and purchases during Quarterly and Special Blackout Periods will be prohibited), a trading program set up by an Eligible Insider must meet the following requirements:</w:t>
      </w:r>
    </w:p>
    <w:p>
      <w:pPr>
        <w:spacing w:after="0" w:line="158" w:lineRule="exact"/>
        <w:rPr>
          <w:sz w:val="20"/>
          <w:szCs w:val="20"/>
          <w:color w:val="auto"/>
        </w:rPr>
      </w:pPr>
    </w:p>
    <w:p>
      <w:pPr>
        <w:ind w:left="640" w:hanging="5"/>
        <w:spacing w:after="0" w:line="281" w:lineRule="auto"/>
        <w:tabs>
          <w:tab w:leader="none" w:pos="1284" w:val="left"/>
        </w:tabs>
        <w:numPr>
          <w:ilvl w:val="0"/>
          <w:numId w:val="8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trading program must be pre-approved by the General Counsel, established in writing and be signed and dated by the person entering into the trading program;</w:t>
      </w:r>
    </w:p>
    <w:p>
      <w:pPr>
        <w:spacing w:after="0" w:line="157" w:lineRule="exact"/>
        <w:rPr>
          <w:rFonts w:ascii="Times New Roman" w:cs="Times New Roman" w:eastAsia="Times New Roman" w:hAnsi="Times New Roman"/>
          <w:sz w:val="19"/>
          <w:szCs w:val="19"/>
          <w:color w:val="auto"/>
        </w:rPr>
      </w:pPr>
    </w:p>
    <w:p>
      <w:pPr>
        <w:ind w:left="640" w:hanging="5"/>
        <w:spacing w:after="0" w:line="295" w:lineRule="auto"/>
        <w:tabs>
          <w:tab w:leader="none" w:pos="1284" w:val="left"/>
        </w:tabs>
        <w:numPr>
          <w:ilvl w:val="0"/>
          <w:numId w:val="8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 Eligible Insider must state that he or she was not aware of any material non-public information about the Company or Company Securities when he or she established the trading program; and</w:t>
      </w:r>
    </w:p>
    <w:p>
      <w:pPr>
        <w:spacing w:after="0" w:line="132" w:lineRule="exact"/>
        <w:rPr>
          <w:rFonts w:ascii="Times New Roman" w:cs="Times New Roman" w:eastAsia="Times New Roman" w:hAnsi="Times New Roman"/>
          <w:sz w:val="19"/>
          <w:szCs w:val="19"/>
          <w:color w:val="auto"/>
        </w:rPr>
      </w:pPr>
    </w:p>
    <w:p>
      <w:pPr>
        <w:jc w:val="both"/>
        <w:ind w:left="640" w:hanging="5"/>
        <w:spacing w:after="0" w:line="261" w:lineRule="auto"/>
        <w:tabs>
          <w:tab w:leader="none" w:pos="1284" w:val="left"/>
        </w:tabs>
        <w:numPr>
          <w:ilvl w:val="0"/>
          <w:numId w:val="8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trading program (a) specifies the amount of securities to be purchased or sold and the price at which and the date on which the securities are to be purchased or sold; (b) includes a written formula or algorithm, or computer program, for determining the amount of securities to be purchased or sold and the price at which and the date on which the securities are to be purchased or sold; or (c) does not permit the Eligible Insider to exercise any subsequent influence over how, when, or whether to effect purchases or sales; provided, in addition, that any other person who, pursuant to the trading arrangement, does exercise such influence must not have been aware of material nonpublic information when doing so.</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9"/>
          <w:szCs w:val="19"/>
          <w:color w:val="auto"/>
        </w:rPr>
        <w:t>Eligible Persons who enter into either a Qualified Trading Program or Alternative Trading Program should note that the Company is required by law to disclose in its periodic filings under the Securities Exchange Act of 1934 (i) whether any director of officer has adopted, modified or cancelled a Qualified Trading Program or Alternative Trading Program, (ii) a description of the material terms of such Qualified Trading Program or Alternative Trading Program (other than pricing terms), including the name and title of the director or officer, the date the Qualified Trading Program or Alternative Trading Program was adopted, modified, or cancelled, the duration of such Qualified Trading Program or Alternative Trading Program, and the total amount of securities to be purchased or sold under the Qualified Trading Program or Alternative Trading Program, and (iii) whether or not such Qualified Trading Program or Alternative Trading Program meets the requirements of Rule 10b5-1.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11</w:t>
      </w:r>
    </w:p>
    <w:p>
      <w:pPr>
        <w:sectPr>
          <w:pgSz w:w="11900" w:h="16838" w:orient="portrait"/>
          <w:cols w:equalWidth="0" w:num="1">
            <w:col w:w="11240"/>
          </w:cols>
          <w:pgMar w:left="320" w:top="1377" w:right="339" w:bottom="1440" w:gutter="0" w:footer="0" w:header="0"/>
        </w:sectPr>
      </w:pPr>
    </w:p>
    <w:bookmarkStart w:id="98" w:name="page99"/>
    <w:bookmarkEnd w:id="98"/>
    <w:p>
      <w:pPr>
        <w:jc w:val="right"/>
        <w:spacing w:after="0"/>
        <w:rPr>
          <w:sz w:val="20"/>
          <w:szCs w:val="20"/>
          <w:color w:val="auto"/>
        </w:rPr>
      </w:pPr>
      <w:r>
        <w:rPr>
          <w:rFonts w:ascii="Times New Roman" w:cs="Times New Roman" w:eastAsia="Times New Roman" w:hAnsi="Times New Roman"/>
          <w:sz w:val="18"/>
          <w:szCs w:val="18"/>
          <w:b w:val="1"/>
          <w:bCs w:val="1"/>
          <w:color w:val="auto"/>
        </w:rPr>
        <w:t>EXHIBIT 21</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620" w:type="dxa"/>
            <w:vAlign w:val="bottom"/>
          </w:tcPr>
          <w:p>
            <w:pPr>
              <w:ind w:left="4060"/>
              <w:spacing w:after="0"/>
              <w:rPr>
                <w:sz w:val="20"/>
                <w:szCs w:val="20"/>
                <w:color w:val="auto"/>
              </w:rPr>
            </w:pPr>
            <w:r>
              <w:rPr>
                <w:rFonts w:ascii="Times New Roman" w:cs="Times New Roman" w:eastAsia="Times New Roman" w:hAnsi="Times New Roman"/>
                <w:sz w:val="18"/>
                <w:szCs w:val="18"/>
                <w:b w:val="1"/>
                <w:bCs w:val="1"/>
                <w:color w:val="auto"/>
              </w:rPr>
              <w:t>SUBSIDIARIES OF THE REGISTRANT</w:t>
            </w:r>
          </w:p>
        </w:tc>
        <w:tc>
          <w:tcPr>
            <w:tcW w:w="3620" w:type="dxa"/>
            <w:vAlign w:val="bottom"/>
          </w:tcPr>
          <w:p>
            <w:pPr>
              <w:spacing w:after="0"/>
              <w:rPr>
                <w:sz w:val="19"/>
                <w:szCs w:val="19"/>
                <w:color w:val="auto"/>
              </w:rPr>
            </w:pPr>
          </w:p>
        </w:tc>
      </w:tr>
      <w:tr>
        <w:trPr>
          <w:trHeight w:val="259"/>
        </w:trPr>
        <w:tc>
          <w:tcPr>
            <w:tcW w:w="76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3620" w:type="dxa"/>
            <w:vAlign w:val="bottom"/>
          </w:tcPr>
          <w:p>
            <w:pPr>
              <w:ind w:left="440"/>
              <w:spacing w:after="0"/>
              <w:rPr>
                <w:sz w:val="20"/>
                <w:szCs w:val="20"/>
                <w:color w:val="auto"/>
              </w:rPr>
            </w:pPr>
            <w:r>
              <w:rPr>
                <w:rFonts w:ascii="Times New Roman" w:cs="Times New Roman" w:eastAsia="Times New Roman" w:hAnsi="Times New Roman"/>
                <w:sz w:val="14"/>
                <w:szCs w:val="14"/>
                <w:b w:val="1"/>
                <w:bCs w:val="1"/>
                <w:color w:val="auto"/>
              </w:rPr>
              <w:t>Jurisdiction Of Incorporation</w:t>
            </w:r>
          </w:p>
        </w:tc>
      </w:tr>
      <w:tr>
        <w:trPr>
          <w:trHeight w:val="24"/>
        </w:trPr>
        <w:tc>
          <w:tcPr>
            <w:tcW w:w="7620" w:type="dxa"/>
            <w:vAlign w:val="bottom"/>
            <w:tcBorders>
              <w:bottom w:val="single" w:sz="8" w:color="auto"/>
            </w:tcBorders>
          </w:tcPr>
          <w:p>
            <w:pPr>
              <w:spacing w:after="0"/>
              <w:rPr>
                <w:sz w:val="2"/>
                <w:szCs w:val="2"/>
                <w:color w:val="auto"/>
              </w:rPr>
            </w:pPr>
          </w:p>
        </w:tc>
        <w:tc>
          <w:tcPr>
            <w:tcW w:w="3620" w:type="dxa"/>
            <w:vAlign w:val="bottom"/>
            <w:tcBorders>
              <w:bottom w:val="single" w:sz="8" w:color="auto"/>
            </w:tcBorders>
          </w:tcPr>
          <w:p>
            <w:pPr>
              <w:spacing w:after="0"/>
              <w:rPr>
                <w:sz w:val="2"/>
                <w:szCs w:val="2"/>
                <w:color w:val="auto"/>
              </w:rPr>
            </w:pPr>
          </w:p>
        </w:tc>
      </w:tr>
      <w:tr>
        <w:trPr>
          <w:trHeight w:val="211"/>
        </w:trPr>
        <w:tc>
          <w:tcPr>
            <w:tcW w:w="7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Skyworks Filter Solutions Japan Co., Ltd.</w:t>
            </w:r>
          </w:p>
        </w:tc>
        <w:tc>
          <w:tcPr>
            <w:tcW w:w="36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Japan</w:t>
            </w:r>
          </w:p>
        </w:tc>
      </w:tr>
      <w:tr>
        <w:trPr>
          <w:trHeight w:val="223"/>
        </w:trPr>
        <w:tc>
          <w:tcPr>
            <w:tcW w:w="7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Skyworks Filter Solutions Korea, Inc.</w:t>
            </w:r>
          </w:p>
        </w:tc>
        <w:tc>
          <w:tcPr>
            <w:tcW w:w="36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Korea</w:t>
            </w:r>
          </w:p>
        </w:tc>
      </w:tr>
      <w:tr>
        <w:trPr>
          <w:trHeight w:val="223"/>
        </w:trPr>
        <w:tc>
          <w:tcPr>
            <w:tcW w:w="7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Skyworks Global Pte. Ltd.</w:t>
            </w:r>
          </w:p>
        </w:tc>
        <w:tc>
          <w:tcPr>
            <w:tcW w:w="36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Singapore</w:t>
            </w:r>
          </w:p>
        </w:tc>
      </w:tr>
      <w:tr>
        <w:trPr>
          <w:trHeight w:val="223"/>
        </w:trPr>
        <w:tc>
          <w:tcPr>
            <w:tcW w:w="7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Skyworks Hungary Kft</w:t>
            </w:r>
          </w:p>
        </w:tc>
        <w:tc>
          <w:tcPr>
            <w:tcW w:w="36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Hungary</w:t>
            </w:r>
          </w:p>
        </w:tc>
      </w:tr>
      <w:tr>
        <w:trPr>
          <w:trHeight w:val="223"/>
        </w:trPr>
        <w:tc>
          <w:tcPr>
            <w:tcW w:w="7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Skyworks International Investments, LLC</w:t>
            </w:r>
          </w:p>
        </w:tc>
        <w:tc>
          <w:tcPr>
            <w:tcW w:w="36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Delaware</w:t>
            </w:r>
          </w:p>
        </w:tc>
      </w:tr>
      <w:tr>
        <w:trPr>
          <w:trHeight w:val="223"/>
        </w:trPr>
        <w:tc>
          <w:tcPr>
            <w:tcW w:w="7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Skyworks Ireland Limited</w:t>
            </w:r>
          </w:p>
        </w:tc>
        <w:tc>
          <w:tcPr>
            <w:tcW w:w="36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Ireland</w:t>
            </w:r>
          </w:p>
        </w:tc>
      </w:tr>
      <w:tr>
        <w:trPr>
          <w:trHeight w:val="223"/>
        </w:trPr>
        <w:tc>
          <w:tcPr>
            <w:tcW w:w="7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Skyworks Luxembourg S.à r.l</w:t>
            </w:r>
          </w:p>
        </w:tc>
        <w:tc>
          <w:tcPr>
            <w:tcW w:w="36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Luxembourg</w:t>
            </w:r>
          </w:p>
        </w:tc>
      </w:tr>
      <w:tr>
        <w:trPr>
          <w:trHeight w:val="223"/>
        </w:trPr>
        <w:tc>
          <w:tcPr>
            <w:tcW w:w="7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Skyworks Semiconductor</w:t>
            </w:r>
          </w:p>
        </w:tc>
        <w:tc>
          <w:tcPr>
            <w:tcW w:w="36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France</w:t>
            </w:r>
          </w:p>
        </w:tc>
      </w:tr>
      <w:tr>
        <w:trPr>
          <w:trHeight w:val="223"/>
        </w:trPr>
        <w:tc>
          <w:tcPr>
            <w:tcW w:w="7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Skyworks Semiconductor Private Limited</w:t>
            </w:r>
          </w:p>
        </w:tc>
        <w:tc>
          <w:tcPr>
            <w:tcW w:w="36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India</w:t>
            </w:r>
          </w:p>
        </w:tc>
      </w:tr>
      <w:tr>
        <w:trPr>
          <w:trHeight w:val="223"/>
        </w:trPr>
        <w:tc>
          <w:tcPr>
            <w:tcW w:w="7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Skyworks Solutions Canada Inc.</w:t>
            </w:r>
          </w:p>
        </w:tc>
        <w:tc>
          <w:tcPr>
            <w:tcW w:w="36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Canada</w:t>
            </w:r>
          </w:p>
        </w:tc>
      </w:tr>
      <w:tr>
        <w:trPr>
          <w:trHeight w:val="223"/>
        </w:trPr>
        <w:tc>
          <w:tcPr>
            <w:tcW w:w="7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Skyworks Solutions Commercial (Shenzhen) Co., Ltd.</w:t>
            </w:r>
          </w:p>
        </w:tc>
        <w:tc>
          <w:tcPr>
            <w:tcW w:w="36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People’s Republic of China</w:t>
            </w:r>
          </w:p>
        </w:tc>
      </w:tr>
      <w:tr>
        <w:trPr>
          <w:trHeight w:val="223"/>
        </w:trPr>
        <w:tc>
          <w:tcPr>
            <w:tcW w:w="7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Skyworks Solutions Commercial (Shenzhen) Co., Ltd. - Beijing Branch</w:t>
            </w:r>
          </w:p>
        </w:tc>
        <w:tc>
          <w:tcPr>
            <w:tcW w:w="36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Beijing</w:t>
            </w:r>
          </w:p>
        </w:tc>
      </w:tr>
      <w:tr>
        <w:trPr>
          <w:trHeight w:val="223"/>
        </w:trPr>
        <w:tc>
          <w:tcPr>
            <w:tcW w:w="7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Skyworks Solutions Commercial (Shenzhen) Co., Ltd. - Shanghai Branch</w:t>
            </w:r>
          </w:p>
        </w:tc>
        <w:tc>
          <w:tcPr>
            <w:tcW w:w="36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Shanghai</w:t>
            </w:r>
          </w:p>
        </w:tc>
      </w:tr>
      <w:tr>
        <w:trPr>
          <w:trHeight w:val="223"/>
        </w:trPr>
        <w:tc>
          <w:tcPr>
            <w:tcW w:w="7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Skyworks Solutions Co., Ltd.</w:t>
            </w:r>
          </w:p>
        </w:tc>
        <w:tc>
          <w:tcPr>
            <w:tcW w:w="36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Japan</w:t>
            </w:r>
          </w:p>
        </w:tc>
      </w:tr>
      <w:tr>
        <w:trPr>
          <w:trHeight w:val="223"/>
        </w:trPr>
        <w:tc>
          <w:tcPr>
            <w:tcW w:w="7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Skyworks Solutions de México, S. de R.L. de C.V.</w:t>
            </w:r>
          </w:p>
        </w:tc>
        <w:tc>
          <w:tcPr>
            <w:tcW w:w="36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Mexico</w:t>
            </w:r>
          </w:p>
        </w:tc>
      </w:tr>
      <w:tr>
        <w:trPr>
          <w:trHeight w:val="223"/>
        </w:trPr>
        <w:tc>
          <w:tcPr>
            <w:tcW w:w="7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Skyworks Solutions GmbH</w:t>
            </w:r>
          </w:p>
        </w:tc>
        <w:tc>
          <w:tcPr>
            <w:tcW w:w="36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Germany</w:t>
            </w:r>
          </w:p>
        </w:tc>
      </w:tr>
      <w:tr>
        <w:trPr>
          <w:trHeight w:val="223"/>
        </w:trPr>
        <w:tc>
          <w:tcPr>
            <w:tcW w:w="7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Skyworks Solutions (Hong Kong) Limited</w:t>
            </w:r>
          </w:p>
        </w:tc>
        <w:tc>
          <w:tcPr>
            <w:tcW w:w="36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Hong Kong</w:t>
            </w:r>
          </w:p>
        </w:tc>
      </w:tr>
      <w:tr>
        <w:trPr>
          <w:trHeight w:val="223"/>
        </w:trPr>
        <w:tc>
          <w:tcPr>
            <w:tcW w:w="7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Skyworks Solutions Korea Limited</w:t>
            </w:r>
          </w:p>
        </w:tc>
        <w:tc>
          <w:tcPr>
            <w:tcW w:w="36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Korea</w:t>
            </w:r>
          </w:p>
        </w:tc>
      </w:tr>
      <w:tr>
        <w:trPr>
          <w:trHeight w:val="223"/>
        </w:trPr>
        <w:tc>
          <w:tcPr>
            <w:tcW w:w="7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Skyworks Solutions Limited</w:t>
            </w:r>
          </w:p>
        </w:tc>
        <w:tc>
          <w:tcPr>
            <w:tcW w:w="36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23"/>
        </w:trPr>
        <w:tc>
          <w:tcPr>
            <w:tcW w:w="7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Skyworks Solutions Oy</w:t>
            </w:r>
          </w:p>
        </w:tc>
        <w:tc>
          <w:tcPr>
            <w:tcW w:w="36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Finland</w:t>
            </w:r>
          </w:p>
        </w:tc>
      </w:tr>
      <w:tr>
        <w:trPr>
          <w:trHeight w:val="223"/>
        </w:trPr>
        <w:tc>
          <w:tcPr>
            <w:tcW w:w="7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Skyworks Solutions Worldwide, Inc.</w:t>
            </w:r>
          </w:p>
        </w:tc>
        <w:tc>
          <w:tcPr>
            <w:tcW w:w="36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Delaware</w:t>
            </w:r>
          </w:p>
        </w:tc>
      </w:tr>
      <w:tr>
        <w:trPr>
          <w:trHeight w:val="223"/>
        </w:trPr>
        <w:tc>
          <w:tcPr>
            <w:tcW w:w="7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Skyworks Solutions Worldwide, Inc., Taiwan Branch</w:t>
            </w:r>
          </w:p>
        </w:tc>
        <w:tc>
          <w:tcPr>
            <w:tcW w:w="36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Taiwan</w:t>
            </w:r>
          </w:p>
        </w:tc>
      </w:tr>
      <w:tr>
        <w:trPr>
          <w:trHeight w:val="223"/>
        </w:trPr>
        <w:tc>
          <w:tcPr>
            <w:tcW w:w="7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Skyworks Solutions Worldwide, Inc., Malaysia Branch</w:t>
            </w:r>
          </w:p>
        </w:tc>
        <w:tc>
          <w:tcPr>
            <w:tcW w:w="36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Malaysia</w:t>
            </w:r>
          </w:p>
        </w:tc>
      </w:tr>
      <w:tr>
        <w:trPr>
          <w:trHeight w:val="223"/>
        </w:trPr>
        <w:tc>
          <w:tcPr>
            <w:tcW w:w="7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Advanced Analogic Technologies Incorporated</w:t>
            </w:r>
          </w:p>
        </w:tc>
        <w:tc>
          <w:tcPr>
            <w:tcW w:w="36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Delaware</w:t>
            </w:r>
          </w:p>
        </w:tc>
      </w:tr>
      <w:tr>
        <w:trPr>
          <w:trHeight w:val="223"/>
        </w:trPr>
        <w:tc>
          <w:tcPr>
            <w:tcW w:w="7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Advanced Analogic Technologies (China), Inc.</w:t>
            </w:r>
          </w:p>
        </w:tc>
        <w:tc>
          <w:tcPr>
            <w:tcW w:w="36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People’s Republic of China</w:t>
            </w:r>
          </w:p>
        </w:tc>
      </w:tr>
      <w:tr>
        <w:trPr>
          <w:trHeight w:val="223"/>
        </w:trPr>
        <w:tc>
          <w:tcPr>
            <w:tcW w:w="7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Avnera Corporation</w:t>
            </w:r>
          </w:p>
        </w:tc>
        <w:tc>
          <w:tcPr>
            <w:tcW w:w="36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Delaware</w:t>
            </w:r>
          </w:p>
        </w:tc>
      </w:tr>
      <w:tr>
        <w:trPr>
          <w:trHeight w:val="223"/>
        </w:trPr>
        <w:tc>
          <w:tcPr>
            <w:tcW w:w="7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Axiom Microdevices, Inc.</w:t>
            </w:r>
          </w:p>
        </w:tc>
        <w:tc>
          <w:tcPr>
            <w:tcW w:w="36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Delaware</w:t>
            </w:r>
          </w:p>
        </w:tc>
      </w:tr>
      <w:tr>
        <w:trPr>
          <w:trHeight w:val="223"/>
        </w:trPr>
        <w:tc>
          <w:tcPr>
            <w:tcW w:w="7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ICWave, LLC</w:t>
            </w:r>
          </w:p>
        </w:tc>
        <w:tc>
          <w:tcPr>
            <w:tcW w:w="36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Massachusetts</w:t>
            </w:r>
          </w:p>
        </w:tc>
      </w:tr>
      <w:tr>
        <w:trPr>
          <w:trHeight w:val="223"/>
        </w:trPr>
        <w:tc>
          <w:tcPr>
            <w:tcW w:w="7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Isolink, Inc.</w:t>
            </w:r>
          </w:p>
        </w:tc>
        <w:tc>
          <w:tcPr>
            <w:tcW w:w="36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California</w:t>
            </w:r>
          </w:p>
        </w:tc>
      </w:tr>
      <w:tr>
        <w:trPr>
          <w:trHeight w:val="223"/>
        </w:trPr>
        <w:tc>
          <w:tcPr>
            <w:tcW w:w="7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Quantance, Inc.</w:t>
            </w:r>
          </w:p>
        </w:tc>
        <w:tc>
          <w:tcPr>
            <w:tcW w:w="36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Delaware</w:t>
            </w:r>
          </w:p>
        </w:tc>
      </w:tr>
      <w:tr>
        <w:trPr>
          <w:trHeight w:val="223"/>
        </w:trPr>
        <w:tc>
          <w:tcPr>
            <w:tcW w:w="7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SiGe Semiconductor (Europe) Limited</w:t>
            </w:r>
          </w:p>
        </w:tc>
        <w:tc>
          <w:tcPr>
            <w:tcW w:w="36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28"/>
        </w:trPr>
        <w:tc>
          <w:tcPr>
            <w:tcW w:w="7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Trans-Tech, Inc.</w:t>
            </w:r>
          </w:p>
        </w:tc>
        <w:tc>
          <w:tcPr>
            <w:tcW w:w="36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Maryland</w:t>
            </w:r>
          </w:p>
        </w:tc>
      </w:tr>
    </w:tbl>
    <w:p>
      <w:pPr>
        <w:sectPr>
          <w:pgSz w:w="11900" w:h="16838" w:orient="portrait"/>
          <w:cols w:equalWidth="0" w:num="1">
            <w:col w:w="11240"/>
          </w:cols>
          <w:pgMar w:left="320" w:top="867" w:right="339" w:bottom="1440" w:gutter="0" w:footer="0" w:header="0"/>
        </w:sectPr>
      </w:pPr>
    </w:p>
    <w:bookmarkStart w:id="99" w:name="page100"/>
    <w:bookmarkEnd w:id="99"/>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265"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We consent to the incorporation by reference in the registration statements (Nos. 333-280183, 333-91524, 333-100312, 333-100313, 333-122333, 333-132880, 333-150780, 333-150782, 333-176285, 333-176286, 333-204310, and 333-238910) on Form S-8 and (No. 333-255945) on Form S-3 of our report dated November 15, 2024, with respect to the consolidated financial statements of Skyworks Solutions, Inc. and the effectiveness of internal control over financial reporting.</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 KPMG LLP</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Irvine, California</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November 15, 2024</w:t>
      </w:r>
    </w:p>
    <w:p>
      <w:pPr>
        <w:sectPr>
          <w:pgSz w:w="11900" w:h="16838" w:orient="portrait"/>
          <w:cols w:equalWidth="0" w:num="1">
            <w:col w:w="11240"/>
          </w:cols>
          <w:pgMar w:left="320" w:top="867" w:right="339" w:bottom="1440" w:gutter="0" w:footer="0" w:header="0"/>
        </w:sectPr>
      </w:pPr>
    </w:p>
    <w:bookmarkStart w:id="100" w:name="page101"/>
    <w:bookmarkEnd w:id="100"/>
    <w:p>
      <w:pPr>
        <w:ind w:left="10140"/>
        <w:spacing w:after="0"/>
        <w:rPr>
          <w:sz w:val="20"/>
          <w:szCs w:val="20"/>
          <w:color w:val="auto"/>
        </w:rPr>
      </w:pPr>
      <w:r>
        <w:rPr>
          <w:rFonts w:ascii="Times New Roman" w:cs="Times New Roman" w:eastAsia="Times New Roman" w:hAnsi="Times New Roman"/>
          <w:sz w:val="16"/>
          <w:szCs w:val="16"/>
          <w:b w:val="1"/>
          <w:bCs w:val="1"/>
          <w:color w:val="auto"/>
        </w:rPr>
        <w:t>EXHIBIT 31.1</w:t>
      </w:r>
    </w:p>
    <w:p>
      <w:pPr>
        <w:spacing w:after="0" w:line="264" w:lineRule="exact"/>
        <w:rPr>
          <w:sz w:val="20"/>
          <w:szCs w:val="20"/>
          <w:color w:val="auto"/>
        </w:rPr>
      </w:pPr>
    </w:p>
    <w:p>
      <w:pPr>
        <w:ind w:left="320" w:right="60"/>
        <w:spacing w:after="0" w:line="267" w:lineRule="auto"/>
        <w:rPr>
          <w:sz w:val="20"/>
          <w:szCs w:val="20"/>
          <w:color w:val="auto"/>
        </w:rPr>
      </w:pPr>
      <w:r>
        <w:rPr>
          <w:rFonts w:ascii="Times New Roman" w:cs="Times New Roman" w:eastAsia="Times New Roman" w:hAnsi="Times New Roman"/>
          <w:sz w:val="18"/>
          <w:szCs w:val="18"/>
          <w:color w:val="auto"/>
        </w:rPr>
        <w:t>CERTIFICATION OF THE CEO PURSUANT TO SECURITIES EXCHANGE ACT RULES 13a-14(a) AND 15d-14(a) AS ADOPTED PURSUANT TO SECTION 302 OF THE SARBANES-OXLEY ACT OF 2002</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Liam K. Griffin, certify that:</w:t>
      </w:r>
    </w:p>
    <w:p>
      <w:pPr>
        <w:spacing w:after="0" w:line="108" w:lineRule="exact"/>
        <w:rPr>
          <w:sz w:val="20"/>
          <w:szCs w:val="20"/>
          <w:color w:val="auto"/>
        </w:rPr>
      </w:pPr>
    </w:p>
    <w:p>
      <w:pPr>
        <w:ind w:left="640" w:hanging="320"/>
        <w:spacing w:after="0"/>
        <w:tabs>
          <w:tab w:leader="none" w:pos="64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Skyworks Solutions, Inc.;</w:t>
      </w:r>
    </w:p>
    <w:p>
      <w:pPr>
        <w:spacing w:after="0" w:line="108" w:lineRule="exact"/>
        <w:rPr>
          <w:rFonts w:ascii="Times New Roman" w:cs="Times New Roman" w:eastAsia="Times New Roman" w:hAnsi="Times New Roman"/>
          <w:sz w:val="18"/>
          <w:szCs w:val="18"/>
          <w:color w:val="auto"/>
        </w:rPr>
      </w:pPr>
    </w:p>
    <w:p>
      <w:pPr>
        <w:jc w:val="both"/>
        <w:ind w:left="640" w:right="420" w:hanging="320"/>
        <w:spacing w:after="0" w:line="255" w:lineRule="auto"/>
        <w:tabs>
          <w:tab w:leader="none" w:pos="64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Times New Roman" w:cs="Times New Roman" w:eastAsia="Times New Roman" w:hAnsi="Times New Roman"/>
          <w:sz w:val="18"/>
          <w:szCs w:val="18"/>
          <w:color w:val="auto"/>
        </w:rPr>
      </w:pPr>
    </w:p>
    <w:p>
      <w:pPr>
        <w:ind w:left="640" w:right="400" w:hanging="320"/>
        <w:spacing w:after="0" w:line="267" w:lineRule="auto"/>
        <w:tabs>
          <w:tab w:leader="none" w:pos="64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4" w:lineRule="exact"/>
        <w:rPr>
          <w:rFonts w:ascii="Times New Roman" w:cs="Times New Roman" w:eastAsia="Times New Roman" w:hAnsi="Times New Roman"/>
          <w:sz w:val="18"/>
          <w:szCs w:val="18"/>
          <w:color w:val="auto"/>
        </w:rPr>
      </w:pPr>
    </w:p>
    <w:p>
      <w:pPr>
        <w:ind w:left="640" w:right="20" w:hanging="320"/>
        <w:spacing w:after="0" w:line="255" w:lineRule="auto"/>
        <w:tabs>
          <w:tab w:leader="none" w:pos="64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Times New Roman" w:cs="Times New Roman" w:eastAsia="Times New Roman" w:hAnsi="Times New Roman"/>
          <w:sz w:val="18"/>
          <w:szCs w:val="18"/>
          <w:color w:val="auto"/>
        </w:rPr>
      </w:pPr>
    </w:p>
    <w:p>
      <w:pPr>
        <w:jc w:val="both"/>
        <w:ind w:left="1260" w:right="100" w:hanging="310"/>
        <w:spacing w:after="0" w:line="255" w:lineRule="auto"/>
        <w:tabs>
          <w:tab w:leader="none" w:pos="1251"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Times New Roman" w:cs="Times New Roman" w:eastAsia="Times New Roman" w:hAnsi="Times New Roman"/>
          <w:sz w:val="18"/>
          <w:szCs w:val="18"/>
          <w:color w:val="auto"/>
        </w:rPr>
      </w:pPr>
    </w:p>
    <w:p>
      <w:pPr>
        <w:ind w:left="1260" w:right="360" w:hanging="310"/>
        <w:spacing w:after="0" w:line="255" w:lineRule="auto"/>
        <w:tabs>
          <w:tab w:leader="none" w:pos="1248"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Times New Roman" w:cs="Times New Roman" w:eastAsia="Times New Roman" w:hAnsi="Times New Roman"/>
          <w:sz w:val="18"/>
          <w:szCs w:val="18"/>
          <w:color w:val="auto"/>
        </w:rPr>
      </w:pPr>
    </w:p>
    <w:p>
      <w:pPr>
        <w:ind w:left="1260" w:right="520" w:hanging="310"/>
        <w:spacing w:after="0" w:line="331" w:lineRule="auto"/>
        <w:tabs>
          <w:tab w:leader="none" w:pos="1251" w:val="left"/>
        </w:tabs>
        <w:numPr>
          <w:ilvl w:val="1"/>
          <w:numId w:val="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 w:lineRule="exact"/>
        <w:rPr>
          <w:rFonts w:ascii="Times New Roman" w:cs="Times New Roman" w:eastAsia="Times New Roman" w:hAnsi="Times New Roman"/>
          <w:sz w:val="16"/>
          <w:szCs w:val="16"/>
          <w:color w:val="auto"/>
        </w:rPr>
      </w:pPr>
    </w:p>
    <w:p>
      <w:pPr>
        <w:ind w:left="1260" w:right="100" w:hanging="310"/>
        <w:spacing w:after="0" w:line="255" w:lineRule="auto"/>
        <w:tabs>
          <w:tab w:leader="none" w:pos="1248"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Times New Roman" w:cs="Times New Roman" w:eastAsia="Times New Roman" w:hAnsi="Times New Roman"/>
          <w:sz w:val="18"/>
          <w:szCs w:val="18"/>
          <w:color w:val="auto"/>
        </w:rPr>
      </w:pPr>
    </w:p>
    <w:p>
      <w:pPr>
        <w:ind w:left="640" w:right="320" w:hanging="320"/>
        <w:spacing w:after="0" w:line="267" w:lineRule="auto"/>
        <w:tabs>
          <w:tab w:leader="none" w:pos="64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4" w:lineRule="exact"/>
        <w:rPr>
          <w:rFonts w:ascii="Times New Roman" w:cs="Times New Roman" w:eastAsia="Times New Roman" w:hAnsi="Times New Roman"/>
          <w:sz w:val="18"/>
          <w:szCs w:val="18"/>
          <w:color w:val="auto"/>
        </w:rPr>
      </w:pPr>
    </w:p>
    <w:p>
      <w:pPr>
        <w:ind w:left="1260" w:hanging="310"/>
        <w:spacing w:after="0" w:line="267" w:lineRule="auto"/>
        <w:tabs>
          <w:tab w:leader="none" w:pos="1251"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4" w:lineRule="exact"/>
        <w:rPr>
          <w:rFonts w:ascii="Times New Roman" w:cs="Times New Roman" w:eastAsia="Times New Roman" w:hAnsi="Times New Roman"/>
          <w:sz w:val="18"/>
          <w:szCs w:val="18"/>
          <w:color w:val="auto"/>
        </w:rPr>
      </w:pPr>
    </w:p>
    <w:p>
      <w:pPr>
        <w:ind w:left="1260" w:right="520" w:hanging="310"/>
        <w:spacing w:after="0" w:line="267" w:lineRule="auto"/>
        <w:tabs>
          <w:tab w:leader="none" w:pos="1248"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43" w:lineRule="exact"/>
        <w:rPr>
          <w:sz w:val="20"/>
          <w:szCs w:val="20"/>
          <w:color w:val="auto"/>
        </w:rPr>
      </w:pPr>
    </w:p>
    <w:p>
      <w:pPr>
        <w:ind w:left="20"/>
        <w:spacing w:after="0"/>
        <w:tabs>
          <w:tab w:leader="none" w:pos="54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6"/>
          <w:szCs w:val="16"/>
          <w:color w:val="auto"/>
        </w:rPr>
        <w:t>November 15, 2024</w:t>
      </w:r>
    </w:p>
    <w:p>
      <w:pPr>
        <w:spacing w:after="0" w:line="21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 Liam K. Griffin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344805</wp:posOffset>
            </wp:positionH>
            <wp:positionV relativeFrom="paragraph">
              <wp:posOffset>13335</wp:posOffset>
            </wp:positionV>
            <wp:extent cx="273431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28">
                      <a:extLst>
                        <a:ext uri="{28A0092B-C50C-407E-A947-70E740481C1C}"/>
                      </a:extLst>
                    </a:blip>
                    <a:srcRect/>
                    <a:stretch>
                      <a:fillRect/>
                    </a:stretch>
                  </pic:blipFill>
                  <pic:spPr bwMode="auto">
                    <a:xfrm>
                      <a:off x="0" y="0"/>
                      <a:ext cx="2734310" cy="8255"/>
                    </a:xfrm>
                    <a:prstGeom prst="rect">
                      <a:avLst/>
                    </a:prstGeom>
                    <a:noFill/>
                  </pic:spPr>
                </pic:pic>
              </a:graphicData>
            </a:graphic>
          </wp:anchor>
        </w:drawing>
      </w:r>
    </w:p>
    <w:p>
      <w:pPr>
        <w:spacing w:after="0" w:line="3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Liam K. Griffin</w:t>
      </w:r>
    </w:p>
    <w:p>
      <w:pPr>
        <w:spacing w:after="0" w:line="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Chairman, Chief Executive Officer and President</w:t>
      </w:r>
    </w:p>
    <w:p>
      <w:pPr>
        <w:sectPr>
          <w:pgSz w:w="11900" w:h="16838" w:orient="portrait"/>
          <w:cols w:equalWidth="0" w:num="1">
            <w:col w:w="11240"/>
          </w:cols>
          <w:pgMar w:left="320" w:top="867" w:right="339" w:bottom="1440" w:gutter="0" w:footer="0" w:header="0"/>
        </w:sectPr>
      </w:pPr>
    </w:p>
    <w:bookmarkStart w:id="101" w:name="page102"/>
    <w:bookmarkEnd w:id="101"/>
    <w:p>
      <w:pPr>
        <w:ind w:left="10140"/>
        <w:spacing w:after="0"/>
        <w:rPr>
          <w:sz w:val="20"/>
          <w:szCs w:val="20"/>
          <w:color w:val="auto"/>
        </w:rPr>
      </w:pPr>
      <w:r>
        <w:rPr>
          <w:rFonts w:ascii="Times New Roman" w:cs="Times New Roman" w:eastAsia="Times New Roman" w:hAnsi="Times New Roman"/>
          <w:sz w:val="16"/>
          <w:szCs w:val="16"/>
          <w:b w:val="1"/>
          <w:bCs w:val="1"/>
          <w:color w:val="auto"/>
        </w:rPr>
        <w:t>EXHIBIT 31.2</w:t>
      </w:r>
    </w:p>
    <w:p>
      <w:pPr>
        <w:spacing w:after="0" w:line="264" w:lineRule="exact"/>
        <w:rPr>
          <w:sz w:val="20"/>
          <w:szCs w:val="20"/>
          <w:color w:val="auto"/>
        </w:rPr>
      </w:pPr>
    </w:p>
    <w:p>
      <w:pPr>
        <w:ind w:left="320" w:right="60"/>
        <w:spacing w:after="0" w:line="267" w:lineRule="auto"/>
        <w:rPr>
          <w:sz w:val="20"/>
          <w:szCs w:val="20"/>
          <w:color w:val="auto"/>
        </w:rPr>
      </w:pPr>
      <w:r>
        <w:rPr>
          <w:rFonts w:ascii="Times New Roman" w:cs="Times New Roman" w:eastAsia="Times New Roman" w:hAnsi="Times New Roman"/>
          <w:sz w:val="18"/>
          <w:szCs w:val="18"/>
          <w:color w:val="auto"/>
        </w:rPr>
        <w:t>CERTIFICATION OF THE CFO PURSUANT TO SECURITIES EXCHANGE ACT RULES 13a-14(a) AND 15d-14(a) AS ADOPTED PURSUANT TO SECTION 302 OF THE SARBANES-OXLEY ACT OF 2002</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Kris Sennesael, certify that:</w:t>
      </w:r>
    </w:p>
    <w:p>
      <w:pPr>
        <w:spacing w:after="0" w:line="108" w:lineRule="exact"/>
        <w:rPr>
          <w:sz w:val="20"/>
          <w:szCs w:val="20"/>
          <w:color w:val="auto"/>
        </w:rPr>
      </w:pPr>
    </w:p>
    <w:p>
      <w:pPr>
        <w:ind w:left="640" w:hanging="320"/>
        <w:spacing w:after="0"/>
        <w:tabs>
          <w:tab w:leader="none" w:pos="64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Skyworks Solutions, Inc.;</w:t>
      </w:r>
    </w:p>
    <w:p>
      <w:pPr>
        <w:spacing w:after="0" w:line="108" w:lineRule="exact"/>
        <w:rPr>
          <w:rFonts w:ascii="Times New Roman" w:cs="Times New Roman" w:eastAsia="Times New Roman" w:hAnsi="Times New Roman"/>
          <w:sz w:val="18"/>
          <w:szCs w:val="18"/>
          <w:color w:val="auto"/>
        </w:rPr>
      </w:pPr>
    </w:p>
    <w:p>
      <w:pPr>
        <w:jc w:val="both"/>
        <w:ind w:left="640" w:right="420" w:hanging="320"/>
        <w:spacing w:after="0" w:line="255" w:lineRule="auto"/>
        <w:tabs>
          <w:tab w:leader="none" w:pos="64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Times New Roman" w:cs="Times New Roman" w:eastAsia="Times New Roman" w:hAnsi="Times New Roman"/>
          <w:sz w:val="18"/>
          <w:szCs w:val="18"/>
          <w:color w:val="auto"/>
        </w:rPr>
      </w:pPr>
    </w:p>
    <w:p>
      <w:pPr>
        <w:ind w:left="640" w:right="400" w:hanging="320"/>
        <w:spacing w:after="0" w:line="267" w:lineRule="auto"/>
        <w:tabs>
          <w:tab w:leader="none" w:pos="64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4" w:lineRule="exact"/>
        <w:rPr>
          <w:rFonts w:ascii="Times New Roman" w:cs="Times New Roman" w:eastAsia="Times New Roman" w:hAnsi="Times New Roman"/>
          <w:sz w:val="18"/>
          <w:szCs w:val="18"/>
          <w:color w:val="auto"/>
        </w:rPr>
      </w:pPr>
    </w:p>
    <w:p>
      <w:pPr>
        <w:ind w:left="640" w:right="20" w:hanging="320"/>
        <w:spacing w:after="0" w:line="255" w:lineRule="auto"/>
        <w:tabs>
          <w:tab w:leader="none" w:pos="64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Times New Roman" w:cs="Times New Roman" w:eastAsia="Times New Roman" w:hAnsi="Times New Roman"/>
          <w:sz w:val="18"/>
          <w:szCs w:val="18"/>
          <w:color w:val="auto"/>
        </w:rPr>
      </w:pPr>
    </w:p>
    <w:p>
      <w:pPr>
        <w:jc w:val="both"/>
        <w:ind w:left="1260" w:right="100" w:hanging="310"/>
        <w:spacing w:after="0" w:line="255" w:lineRule="auto"/>
        <w:tabs>
          <w:tab w:leader="none" w:pos="1251"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Times New Roman" w:cs="Times New Roman" w:eastAsia="Times New Roman" w:hAnsi="Times New Roman"/>
          <w:sz w:val="18"/>
          <w:szCs w:val="18"/>
          <w:color w:val="auto"/>
        </w:rPr>
      </w:pPr>
    </w:p>
    <w:p>
      <w:pPr>
        <w:ind w:left="1260" w:right="360" w:hanging="310"/>
        <w:spacing w:after="0" w:line="255" w:lineRule="auto"/>
        <w:tabs>
          <w:tab w:leader="none" w:pos="1248"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Times New Roman" w:cs="Times New Roman" w:eastAsia="Times New Roman" w:hAnsi="Times New Roman"/>
          <w:sz w:val="18"/>
          <w:szCs w:val="18"/>
          <w:color w:val="auto"/>
        </w:rPr>
      </w:pPr>
    </w:p>
    <w:p>
      <w:pPr>
        <w:ind w:left="1260" w:right="520" w:hanging="310"/>
        <w:spacing w:after="0" w:line="331" w:lineRule="auto"/>
        <w:tabs>
          <w:tab w:leader="none" w:pos="1251" w:val="left"/>
        </w:tabs>
        <w:numPr>
          <w:ilvl w:val="1"/>
          <w:numId w:val="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 w:lineRule="exact"/>
        <w:rPr>
          <w:rFonts w:ascii="Times New Roman" w:cs="Times New Roman" w:eastAsia="Times New Roman" w:hAnsi="Times New Roman"/>
          <w:sz w:val="16"/>
          <w:szCs w:val="16"/>
          <w:color w:val="auto"/>
        </w:rPr>
      </w:pPr>
    </w:p>
    <w:p>
      <w:pPr>
        <w:ind w:left="1260" w:right="100" w:hanging="310"/>
        <w:spacing w:after="0" w:line="255" w:lineRule="auto"/>
        <w:tabs>
          <w:tab w:leader="none" w:pos="1248"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Times New Roman" w:cs="Times New Roman" w:eastAsia="Times New Roman" w:hAnsi="Times New Roman"/>
          <w:sz w:val="18"/>
          <w:szCs w:val="18"/>
          <w:color w:val="auto"/>
        </w:rPr>
      </w:pPr>
    </w:p>
    <w:p>
      <w:pPr>
        <w:ind w:left="640" w:right="320" w:hanging="320"/>
        <w:spacing w:after="0" w:line="267" w:lineRule="auto"/>
        <w:tabs>
          <w:tab w:leader="none" w:pos="64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4" w:lineRule="exact"/>
        <w:rPr>
          <w:rFonts w:ascii="Times New Roman" w:cs="Times New Roman" w:eastAsia="Times New Roman" w:hAnsi="Times New Roman"/>
          <w:sz w:val="18"/>
          <w:szCs w:val="18"/>
          <w:color w:val="auto"/>
        </w:rPr>
      </w:pPr>
    </w:p>
    <w:p>
      <w:pPr>
        <w:ind w:left="1260" w:hanging="310"/>
        <w:spacing w:after="0" w:line="267" w:lineRule="auto"/>
        <w:tabs>
          <w:tab w:leader="none" w:pos="1251"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4" w:lineRule="exact"/>
        <w:rPr>
          <w:rFonts w:ascii="Times New Roman" w:cs="Times New Roman" w:eastAsia="Times New Roman" w:hAnsi="Times New Roman"/>
          <w:sz w:val="18"/>
          <w:szCs w:val="18"/>
          <w:color w:val="auto"/>
        </w:rPr>
      </w:pPr>
    </w:p>
    <w:p>
      <w:pPr>
        <w:ind w:left="1260" w:right="520" w:hanging="310"/>
        <w:spacing w:after="0" w:line="267" w:lineRule="auto"/>
        <w:tabs>
          <w:tab w:leader="none" w:pos="1248"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30" w:lineRule="exact"/>
        <w:rPr>
          <w:sz w:val="20"/>
          <w:szCs w:val="20"/>
          <w:color w:val="auto"/>
        </w:rPr>
      </w:pPr>
    </w:p>
    <w:p>
      <w:pPr>
        <w:ind w:left="20"/>
        <w:spacing w:after="0"/>
        <w:tabs>
          <w:tab w:leader="none" w:pos="54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6"/>
          <w:szCs w:val="16"/>
          <w:color w:val="auto"/>
        </w:rPr>
        <w:t>November 15, 2024</w:t>
      </w:r>
    </w:p>
    <w:p>
      <w:pPr>
        <w:spacing w:after="0" w:line="21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 Kris Sennesael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344805</wp:posOffset>
            </wp:positionH>
            <wp:positionV relativeFrom="paragraph">
              <wp:posOffset>13335</wp:posOffset>
            </wp:positionV>
            <wp:extent cx="274256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29">
                      <a:extLst>
                        <a:ext uri="{28A0092B-C50C-407E-A947-70E740481C1C}"/>
                      </a:extLst>
                    </a:blip>
                    <a:srcRect/>
                    <a:stretch>
                      <a:fillRect/>
                    </a:stretch>
                  </pic:blipFill>
                  <pic:spPr bwMode="auto">
                    <a:xfrm>
                      <a:off x="0" y="0"/>
                      <a:ext cx="2742565" cy="8255"/>
                    </a:xfrm>
                    <a:prstGeom prst="rect">
                      <a:avLst/>
                    </a:prstGeom>
                    <a:noFill/>
                  </pic:spPr>
                </pic:pic>
              </a:graphicData>
            </a:graphic>
          </wp:anchor>
        </w:drawing>
      </w:r>
    </w:p>
    <w:p>
      <w:pPr>
        <w:spacing w:after="0" w:line="3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Kris Sennesael</w:t>
      </w:r>
    </w:p>
    <w:p>
      <w:pPr>
        <w:spacing w:after="0" w:line="5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p>
      <w:pPr>
        <w:sectPr>
          <w:pgSz w:w="11900" w:h="16838" w:orient="portrait"/>
          <w:cols w:equalWidth="0" w:num="1">
            <w:col w:w="11240"/>
          </w:cols>
          <w:pgMar w:left="320" w:top="867" w:right="339" w:bottom="1440" w:gutter="0" w:footer="0" w:header="0"/>
        </w:sectPr>
      </w:pPr>
    </w:p>
    <w:bookmarkStart w:id="102" w:name="page103"/>
    <w:bookmarkEnd w:id="102"/>
    <w:p>
      <w:pPr>
        <w:ind w:left="10140"/>
        <w:spacing w:after="0"/>
        <w:rPr>
          <w:sz w:val="20"/>
          <w:szCs w:val="20"/>
          <w:color w:val="auto"/>
        </w:rPr>
      </w:pPr>
      <w:r>
        <w:rPr>
          <w:rFonts w:ascii="Times New Roman" w:cs="Times New Roman" w:eastAsia="Times New Roman" w:hAnsi="Times New Roman"/>
          <w:sz w:val="16"/>
          <w:szCs w:val="16"/>
          <w:b w:val="1"/>
          <w:bCs w:val="1"/>
          <w:color w:val="auto"/>
        </w:rPr>
        <w:t>EXHIBIT 32.1</w:t>
      </w:r>
    </w:p>
    <w:p>
      <w:pPr>
        <w:spacing w:after="0" w:line="264" w:lineRule="exact"/>
        <w:rPr>
          <w:sz w:val="20"/>
          <w:szCs w:val="20"/>
          <w:color w:val="auto"/>
        </w:rPr>
      </w:pPr>
    </w:p>
    <w:p>
      <w:pPr>
        <w:ind w:left="320" w:right="60"/>
        <w:spacing w:after="0" w:line="267" w:lineRule="auto"/>
        <w:rPr>
          <w:sz w:val="20"/>
          <w:szCs w:val="20"/>
          <w:color w:val="auto"/>
        </w:rPr>
      </w:pPr>
      <w:r>
        <w:rPr>
          <w:rFonts w:ascii="Times New Roman" w:cs="Times New Roman" w:eastAsia="Times New Roman" w:hAnsi="Times New Roman"/>
          <w:sz w:val="18"/>
          <w:szCs w:val="18"/>
          <w:color w:val="auto"/>
        </w:rPr>
        <w:t>CERTIFICATION PURSUANT TO 18 U.S.C. SECTION 1350, AS ADOPTED PURSUANT TO SECTION 906 OF THE SARBANES-OXLEY ACT OF 2002</w:t>
      </w:r>
    </w:p>
    <w:p>
      <w:pPr>
        <w:spacing w:after="0" w:line="65"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In connection with the annual report of Skyworks Solutions, Inc. (the “Company”) on Form 10-K for the period ended September 27, 2024 as filed with the Securities and Exchange Commission on the date hereof (the “Report”), I, Liam K. Griffin, Chairman, Chief Executive Officer and President of the Company, certify, pursuant to 18 U.S.C. Section 1350, as adopted pursuant to Section 906 of the Sarbanes-Oxley Act of 2002, that:</w:t>
      </w:r>
    </w:p>
    <w:p>
      <w:pPr>
        <w:spacing w:after="0" w:line="207" w:lineRule="exact"/>
        <w:rPr>
          <w:sz w:val="20"/>
          <w:szCs w:val="20"/>
          <w:color w:val="auto"/>
        </w:rPr>
      </w:pPr>
    </w:p>
    <w:p>
      <w:pPr>
        <w:ind w:left="620" w:hanging="300"/>
        <w:spacing w:after="0"/>
        <w:tabs>
          <w:tab w:leader="none" w:pos="62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39" w:lineRule="exact"/>
        <w:rPr>
          <w:rFonts w:ascii="Times New Roman" w:cs="Times New Roman" w:eastAsia="Times New Roman" w:hAnsi="Times New Roman"/>
          <w:sz w:val="18"/>
          <w:szCs w:val="18"/>
          <w:color w:val="auto"/>
        </w:rPr>
      </w:pPr>
    </w:p>
    <w:p>
      <w:pPr>
        <w:ind w:left="620" w:hanging="300"/>
        <w:spacing w:after="0"/>
        <w:tabs>
          <w:tab w:leader="none" w:pos="62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8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Liam K. Griffin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wp:posOffset>
            </wp:positionV>
            <wp:extent cx="277622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30">
                      <a:extLst>
                        <a:ext uri="{28A0092B-C50C-407E-A947-70E740481C1C}"/>
                      </a:extLst>
                    </a:blip>
                    <a:srcRect/>
                    <a:stretch>
                      <a:fillRect/>
                    </a:stretch>
                  </pic:blipFill>
                  <pic:spPr bwMode="auto">
                    <a:xfrm>
                      <a:off x="0" y="0"/>
                      <a:ext cx="2776220" cy="8255"/>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8"/>
          <w:szCs w:val="18"/>
          <w:color w:val="auto"/>
        </w:rPr>
        <w:t>Liam K. Griffin</w:t>
      </w:r>
    </w:p>
    <w:p>
      <w:pPr>
        <w:ind w:left="20"/>
        <w:spacing w:after="0"/>
        <w:rPr>
          <w:sz w:val="20"/>
          <w:szCs w:val="20"/>
          <w:color w:val="auto"/>
        </w:rPr>
      </w:pPr>
      <w:r>
        <w:rPr>
          <w:rFonts w:ascii="Times New Roman" w:cs="Times New Roman" w:eastAsia="Times New Roman" w:hAnsi="Times New Roman"/>
          <w:sz w:val="18"/>
          <w:szCs w:val="18"/>
          <w:color w:val="auto"/>
        </w:rPr>
        <w:t>Chairman, Chief Executive Officer and President</w:t>
      </w:r>
    </w:p>
    <w:p>
      <w:pPr>
        <w:spacing w:after="0" w:line="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November 15, 2024</w:t>
      </w:r>
    </w:p>
    <w:p>
      <w:pPr>
        <w:sectPr>
          <w:pgSz w:w="11900" w:h="16838" w:orient="portrait"/>
          <w:cols w:equalWidth="0" w:num="1">
            <w:col w:w="11240"/>
          </w:cols>
          <w:pgMar w:left="320" w:top="867" w:right="339" w:bottom="1440" w:gutter="0" w:footer="0" w:header="0"/>
        </w:sectPr>
      </w:pPr>
    </w:p>
    <w:bookmarkStart w:id="103" w:name="page104"/>
    <w:bookmarkEnd w:id="103"/>
    <w:p>
      <w:pPr>
        <w:ind w:left="10140"/>
        <w:spacing w:after="0"/>
        <w:rPr>
          <w:sz w:val="20"/>
          <w:szCs w:val="20"/>
          <w:color w:val="auto"/>
        </w:rPr>
      </w:pPr>
      <w:r>
        <w:rPr>
          <w:rFonts w:ascii="Times New Roman" w:cs="Times New Roman" w:eastAsia="Times New Roman" w:hAnsi="Times New Roman"/>
          <w:sz w:val="16"/>
          <w:szCs w:val="16"/>
          <w:b w:val="1"/>
          <w:bCs w:val="1"/>
          <w:color w:val="auto"/>
        </w:rPr>
        <w:t>EXHIBIT 32.2</w:t>
      </w:r>
    </w:p>
    <w:p>
      <w:pPr>
        <w:spacing w:after="0" w:line="264" w:lineRule="exact"/>
        <w:rPr>
          <w:sz w:val="20"/>
          <w:szCs w:val="20"/>
          <w:color w:val="auto"/>
        </w:rPr>
      </w:pPr>
    </w:p>
    <w:p>
      <w:pPr>
        <w:ind w:left="320" w:right="60"/>
        <w:spacing w:after="0" w:line="267" w:lineRule="auto"/>
        <w:rPr>
          <w:sz w:val="20"/>
          <w:szCs w:val="20"/>
          <w:color w:val="auto"/>
        </w:rPr>
      </w:pPr>
      <w:r>
        <w:rPr>
          <w:rFonts w:ascii="Times New Roman" w:cs="Times New Roman" w:eastAsia="Times New Roman" w:hAnsi="Times New Roman"/>
          <w:sz w:val="18"/>
          <w:szCs w:val="18"/>
          <w:color w:val="auto"/>
        </w:rPr>
        <w:t>CERTIFICATION PURSUANT TO 18 U.S.C. SECTION 1350, AS ADOPTED PURSUANT TO SECTION 906 OF THE SARBANES-OXLEY ACT OF 2002</w:t>
      </w:r>
    </w:p>
    <w:p>
      <w:pPr>
        <w:spacing w:after="0" w:line="65" w:lineRule="exact"/>
        <w:rPr>
          <w:sz w:val="20"/>
          <w:szCs w:val="20"/>
          <w:color w:val="auto"/>
        </w:rPr>
      </w:pPr>
    </w:p>
    <w:p>
      <w:pPr>
        <w:ind w:right="340"/>
        <w:spacing w:after="0" w:line="255" w:lineRule="auto"/>
        <w:rPr>
          <w:sz w:val="20"/>
          <w:szCs w:val="20"/>
          <w:color w:val="auto"/>
        </w:rPr>
      </w:pPr>
      <w:r>
        <w:rPr>
          <w:rFonts w:ascii="Times New Roman" w:cs="Times New Roman" w:eastAsia="Times New Roman" w:hAnsi="Times New Roman"/>
          <w:sz w:val="18"/>
          <w:szCs w:val="18"/>
          <w:color w:val="auto"/>
        </w:rPr>
        <w:t>In connection with the annual report of Skyworks Solutions, Inc. (the “Company”) on Form 10-K for the period ended September 27, 2024 as filed with the Securities and Exchange Commission on the date hereof (the “Report”), I, Kris Sennesael, Chief Financial Officer of the Company, certify, pursuant to 18 U.S.C. Section 1350, as adopted pursuant to Section 906 of the Sarbanes-Oxley Act of 2002, that:</w:t>
      </w:r>
    </w:p>
    <w:p>
      <w:pPr>
        <w:spacing w:after="0" w:line="207" w:lineRule="exact"/>
        <w:rPr>
          <w:sz w:val="20"/>
          <w:szCs w:val="20"/>
          <w:color w:val="auto"/>
        </w:rPr>
      </w:pPr>
    </w:p>
    <w:p>
      <w:pPr>
        <w:ind w:left="620" w:hanging="300"/>
        <w:spacing w:after="0"/>
        <w:tabs>
          <w:tab w:leader="none" w:pos="62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39" w:lineRule="exact"/>
        <w:rPr>
          <w:rFonts w:ascii="Times New Roman" w:cs="Times New Roman" w:eastAsia="Times New Roman" w:hAnsi="Times New Roman"/>
          <w:sz w:val="18"/>
          <w:szCs w:val="18"/>
          <w:color w:val="auto"/>
        </w:rPr>
      </w:pPr>
    </w:p>
    <w:p>
      <w:pPr>
        <w:ind w:left="620" w:hanging="300"/>
        <w:spacing w:after="0"/>
        <w:tabs>
          <w:tab w:leader="none" w:pos="62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8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Kris Sennesael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wp:posOffset>
            </wp:positionV>
            <wp:extent cx="277622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31">
                      <a:extLst>
                        <a:ext uri="{28A0092B-C50C-407E-A947-70E740481C1C}"/>
                      </a:extLst>
                    </a:blip>
                    <a:srcRect/>
                    <a:stretch>
                      <a:fillRect/>
                    </a:stretch>
                  </pic:blipFill>
                  <pic:spPr bwMode="auto">
                    <a:xfrm>
                      <a:off x="0" y="0"/>
                      <a:ext cx="2776220" cy="8255"/>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8"/>
          <w:szCs w:val="18"/>
          <w:color w:val="auto"/>
        </w:rPr>
        <w:t>Kris Sennesael</w:t>
      </w:r>
    </w:p>
    <w:p>
      <w:pPr>
        <w:ind w:left="2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p>
      <w:pPr>
        <w:spacing w:after="0" w:line="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November 15, 2024</w:t>
      </w:r>
    </w:p>
    <w:p>
      <w:pPr>
        <w:sectPr>
          <w:pgSz w:w="11900" w:h="16838" w:orient="portrait"/>
          <w:cols w:equalWidth="0" w:num="1">
            <w:col w:w="11240"/>
          </w:cols>
          <w:pgMar w:left="320" w:top="867" w:right="339" w:bottom="1440" w:gutter="0" w:footer="0" w:header="0"/>
        </w:sectPr>
      </w:pPr>
    </w:p>
    <w:bookmarkStart w:id="104" w:name="page105"/>
    <w:bookmarkEnd w:id="104"/>
    <w:p>
      <w:pPr>
        <w:jc w:val="right"/>
        <w:spacing w:after="0"/>
        <w:rPr>
          <w:sz w:val="20"/>
          <w:szCs w:val="20"/>
          <w:color w:val="auto"/>
        </w:rPr>
      </w:pPr>
      <w:r>
        <w:rPr>
          <w:rFonts w:ascii="Times New Roman" w:cs="Times New Roman" w:eastAsia="Times New Roman" w:hAnsi="Times New Roman"/>
          <w:sz w:val="18"/>
          <w:szCs w:val="18"/>
          <w:b w:val="1"/>
          <w:bCs w:val="1"/>
          <w:color w:val="auto"/>
        </w:rPr>
        <w:t>Exhibit 97.1</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SKYWORKS SOLUTIONS, INC.</w:t>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u w:val="single" w:color="auto"/>
          <w:color w:val="auto"/>
        </w:rPr>
        <w:t>Executive Compensation Recovery Policy</w:t>
      </w:r>
    </w:p>
    <w:p>
      <w:pPr>
        <w:spacing w:after="0" w:line="231"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21"/>
          <w:szCs w:val="21"/>
          <w:color w:val="auto"/>
        </w:rPr>
        <w:t>This Executive Compensation Recovery Policy (this “Policy”), adopted by Skyworks Solutions, Inc. (the “Company”), relates to the Company’s right to recover compensation previously paid to specified employees in certain circumstances, including the recovery of Erroneously Awarded Compensation (as defined below) in accordance with Nasdaq Listing Rule 5608 (“Rule 5608”), which implements Rule 10D-1 under the Securities Exchange Act of 1934, as amended (the “Exchange Act”) (as promulgated pursuant to Section 954 of the Dodd-Frank Wall Street Reform and Consumer Protection Act of 2010). This Policy is effective as of October 2, 2023 (the “Effective Date”).</w:t>
      </w:r>
    </w:p>
    <w:p>
      <w:pPr>
        <w:spacing w:after="0" w:line="164" w:lineRule="exact"/>
        <w:rPr>
          <w:sz w:val="20"/>
          <w:szCs w:val="20"/>
          <w:color w:val="auto"/>
        </w:rPr>
      </w:pPr>
    </w:p>
    <w:p>
      <w:pPr>
        <w:ind w:left="640" w:hanging="635"/>
        <w:spacing w:after="0"/>
        <w:tabs>
          <w:tab w:leader="none" w:pos="640" w:val="left"/>
        </w:tabs>
        <w:numPr>
          <w:ilvl w:val="0"/>
          <w:numId w:val="85"/>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Definitions</w:t>
      </w:r>
    </w:p>
    <w:p>
      <w:pPr>
        <w:spacing w:after="0" w:line="218" w:lineRule="exact"/>
        <w:rPr>
          <w:rFonts w:ascii="Times New Roman" w:cs="Times New Roman" w:eastAsia="Times New Roman" w:hAnsi="Times New Roman"/>
          <w:sz w:val="21"/>
          <w:szCs w:val="21"/>
          <w:b w:val="1"/>
          <w:bCs w:val="1"/>
          <w:color w:val="auto"/>
        </w:rPr>
      </w:pPr>
    </w:p>
    <w:p>
      <w:pPr>
        <w:ind w:right="160" w:firstLine="635"/>
        <w:spacing w:after="0" w:line="254" w:lineRule="auto"/>
        <w:tabs>
          <w:tab w:leader="none" w:pos="1257" w:val="left"/>
        </w:tabs>
        <w:numPr>
          <w:ilvl w:val="1"/>
          <w:numId w:val="8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“Accounting Restatement” </w:t>
      </w:r>
      <w:r>
        <w:rPr>
          <w:rFonts w:ascii="Times New Roman" w:cs="Times New Roman" w:eastAsia="Times New Roman" w:hAnsi="Times New Roman"/>
          <w:sz w:val="21"/>
          <w:szCs w:val="21"/>
          <w:color w:val="auto"/>
        </w:rPr>
        <w:t>means a requirement that the Company prepare an accounting restatement due to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material noncompliance of the Company with any financial reporting requirement under the U.S. federal securities laws, including any required accounting restatement to correct an error in previously issued financial statements that is material to the previously issued financial statements, or that would result in a material misstatement if the error were corrected in the current period or left uncorrected in the current period. Changes to the Company’s financial statements that do not represent error corrections are not an Accounting Restatement, including: (A) retrospective application of a change in accounting principle; (B) retrospective revision to reportable segment information due to a change in the structure of the Company’s internal organization; (C) retrospective reclassification due to a discontinued operation; (D) retrospective application of a change in reporting entity, such as from a reorganization of entities under common control; and (E) retrospective revision for stock splits, reverse stock splits, stock dividends or other changes in capital structure.</w:t>
      </w:r>
    </w:p>
    <w:p>
      <w:pPr>
        <w:spacing w:after="0" w:line="175" w:lineRule="exact"/>
        <w:rPr>
          <w:rFonts w:ascii="Times New Roman" w:cs="Times New Roman" w:eastAsia="Times New Roman" w:hAnsi="Times New Roman"/>
          <w:sz w:val="21"/>
          <w:szCs w:val="21"/>
          <w:color w:val="auto"/>
        </w:rPr>
      </w:pPr>
    </w:p>
    <w:p>
      <w:pPr>
        <w:ind w:left="1260" w:hanging="625"/>
        <w:spacing w:after="0"/>
        <w:tabs>
          <w:tab w:leader="none" w:pos="1260" w:val="left"/>
        </w:tabs>
        <w:numPr>
          <w:ilvl w:val="1"/>
          <w:numId w:val="8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“Committee” </w:t>
      </w:r>
      <w:r>
        <w:rPr>
          <w:rFonts w:ascii="Times New Roman" w:cs="Times New Roman" w:eastAsia="Times New Roman" w:hAnsi="Times New Roman"/>
          <w:sz w:val="21"/>
          <w:szCs w:val="21"/>
          <w:color w:val="auto"/>
        </w:rPr>
        <w:t>means the Compensation Committee of the Company’s Board of Directors (the “Board”).</w:t>
      </w:r>
    </w:p>
    <w:p>
      <w:pPr>
        <w:spacing w:after="0" w:line="218" w:lineRule="exact"/>
        <w:rPr>
          <w:rFonts w:ascii="Times New Roman" w:cs="Times New Roman" w:eastAsia="Times New Roman" w:hAnsi="Times New Roman"/>
          <w:sz w:val="21"/>
          <w:szCs w:val="21"/>
          <w:color w:val="auto"/>
        </w:rPr>
      </w:pPr>
    </w:p>
    <w:p>
      <w:pPr>
        <w:ind w:right="60" w:firstLine="635"/>
        <w:spacing w:after="0" w:line="285" w:lineRule="auto"/>
        <w:tabs>
          <w:tab w:leader="none" w:pos="1257" w:val="left"/>
        </w:tabs>
        <w:numPr>
          <w:ilvl w:val="1"/>
          <w:numId w:val="8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“Covered Person” </w:t>
      </w:r>
      <w:r>
        <w:rPr>
          <w:rFonts w:ascii="Times New Roman" w:cs="Times New Roman" w:eastAsia="Times New Roman" w:hAnsi="Times New Roman"/>
          <w:sz w:val="21"/>
          <w:szCs w:val="21"/>
          <w:color w:val="auto"/>
        </w:rPr>
        <w:t>means a person who served as an Executive Officer at any time during the performance period for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 applicable Incentive-Based Compensation.</w:t>
      </w:r>
    </w:p>
    <w:p>
      <w:pPr>
        <w:spacing w:after="0" w:line="135" w:lineRule="exact"/>
        <w:rPr>
          <w:rFonts w:ascii="Times New Roman" w:cs="Times New Roman" w:eastAsia="Times New Roman" w:hAnsi="Times New Roman"/>
          <w:sz w:val="21"/>
          <w:szCs w:val="21"/>
          <w:color w:val="auto"/>
        </w:rPr>
      </w:pPr>
    </w:p>
    <w:p>
      <w:pPr>
        <w:ind w:right="20" w:firstLine="635"/>
        <w:spacing w:after="0" w:line="256" w:lineRule="auto"/>
        <w:tabs>
          <w:tab w:leader="none" w:pos="1256" w:val="left"/>
        </w:tabs>
        <w:numPr>
          <w:ilvl w:val="1"/>
          <w:numId w:val="8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“Erroneously Awarded Compensation” </w:t>
      </w:r>
      <w:r>
        <w:rPr>
          <w:rFonts w:ascii="Times New Roman" w:cs="Times New Roman" w:eastAsia="Times New Roman" w:hAnsi="Times New Roman"/>
          <w:sz w:val="21"/>
          <w:szCs w:val="21"/>
          <w:color w:val="auto"/>
        </w:rPr>
        <w:t>means the amount of Incentive-Based Compensation that was Received that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exceeds the amount of Incentive-Based Compensation that otherwise would have been Received had the amount of Incentive-Based Compensation been determined based on the restated amounts, computed without regard to any taxes paid by the Covered Person or by the Company on the Covered Person’s behalf. For Incentive-Based Compensation based on stock price or total shareholder return, where the amount of Erroneously Awarded Compensation is not subject to mathematical recalculation directly from the information in an Accounting Restatement, the amount of Erroneously Awarded Compensation will be based on a reasonable estimate by the Committee of the effect of the Accounting</w:t>
      </w:r>
    </w:p>
    <w:p>
      <w:pPr>
        <w:sectPr>
          <w:pgSz w:w="11900" w:h="16838" w:orient="portrait"/>
          <w:cols w:equalWidth="0" w:num="1">
            <w:col w:w="11240"/>
          </w:cols>
          <w:pgMar w:left="320" w:top="1379" w:right="339" w:bottom="1440" w:gutter="0" w:footer="0" w:header="0"/>
        </w:sectPr>
      </w:pPr>
    </w:p>
    <w:bookmarkStart w:id="105" w:name="page106"/>
    <w:bookmarkEnd w:id="105"/>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Restatement on the stock price or total shareholder return upon which the Incentive-Based Compensation was Received.</w:t>
      </w:r>
    </w:p>
    <w:p>
      <w:pPr>
        <w:spacing w:after="0" w:line="214" w:lineRule="exact"/>
        <w:rPr>
          <w:sz w:val="20"/>
          <w:szCs w:val="20"/>
          <w:color w:val="auto"/>
        </w:rPr>
      </w:pPr>
    </w:p>
    <w:p>
      <w:pPr>
        <w:ind w:left="1260" w:hanging="625"/>
        <w:spacing w:after="0"/>
        <w:tabs>
          <w:tab w:leader="none" w:pos="1260" w:val="left"/>
        </w:tabs>
        <w:numPr>
          <w:ilvl w:val="1"/>
          <w:numId w:val="8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“Executive Officer” </w:t>
      </w:r>
      <w:r>
        <w:rPr>
          <w:rFonts w:ascii="Times New Roman" w:cs="Times New Roman" w:eastAsia="Times New Roman" w:hAnsi="Times New Roman"/>
          <w:sz w:val="21"/>
          <w:szCs w:val="21"/>
          <w:color w:val="auto"/>
        </w:rPr>
        <w:t>means the Company’s officers as defined in Rule 16a-1(f) under the Exchange Act.</w:t>
      </w:r>
    </w:p>
    <w:p>
      <w:pPr>
        <w:spacing w:after="0" w:line="218" w:lineRule="exact"/>
        <w:rPr>
          <w:rFonts w:ascii="Times New Roman" w:cs="Times New Roman" w:eastAsia="Times New Roman" w:hAnsi="Times New Roman"/>
          <w:sz w:val="21"/>
          <w:szCs w:val="21"/>
          <w:color w:val="auto"/>
        </w:rPr>
      </w:pPr>
    </w:p>
    <w:p>
      <w:pPr>
        <w:ind w:firstLine="635"/>
        <w:spacing w:after="0" w:line="264" w:lineRule="auto"/>
        <w:tabs>
          <w:tab w:leader="none" w:pos="1260" w:val="left"/>
        </w:tabs>
        <w:numPr>
          <w:ilvl w:val="1"/>
          <w:numId w:val="8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“Financial Reporting Measures” </w:t>
      </w:r>
      <w:r>
        <w:rPr>
          <w:rFonts w:ascii="Times New Roman" w:cs="Times New Roman" w:eastAsia="Times New Roman" w:hAnsi="Times New Roman"/>
          <w:sz w:val="21"/>
          <w:szCs w:val="21"/>
          <w:color w:val="auto"/>
        </w:rPr>
        <w:t>means (A) measures that are determined and presented in accordance with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accounting principles used in preparing the Company’s financial statements, and any measures that are derived wholly or in part from such measures (whether or not such measures are presented within the Company’s financial statements or included in a filing made with the U.S. Securities and Exchange Commission), (B) stock price and (C) total shareholder return.</w:t>
      </w:r>
    </w:p>
    <w:p>
      <w:pPr>
        <w:spacing w:after="0" w:line="158" w:lineRule="exact"/>
        <w:rPr>
          <w:rFonts w:ascii="Times New Roman" w:cs="Times New Roman" w:eastAsia="Times New Roman" w:hAnsi="Times New Roman"/>
          <w:sz w:val="21"/>
          <w:szCs w:val="21"/>
          <w:color w:val="auto"/>
        </w:rPr>
      </w:pPr>
    </w:p>
    <w:p>
      <w:pPr>
        <w:ind w:right="60" w:firstLine="635"/>
        <w:spacing w:after="0" w:line="285" w:lineRule="auto"/>
        <w:tabs>
          <w:tab w:leader="none" w:pos="1256" w:val="left"/>
        </w:tabs>
        <w:numPr>
          <w:ilvl w:val="1"/>
          <w:numId w:val="8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“Incentive-Based Compensation” </w:t>
      </w:r>
      <w:r>
        <w:rPr>
          <w:rFonts w:ascii="Times New Roman" w:cs="Times New Roman" w:eastAsia="Times New Roman" w:hAnsi="Times New Roman"/>
          <w:sz w:val="21"/>
          <w:szCs w:val="21"/>
          <w:color w:val="auto"/>
        </w:rPr>
        <w:t>means any compensation that is granted, earned, or vested based wholly or in part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upon the attainment of a Financial Reporting Measure.</w:t>
      </w:r>
    </w:p>
    <w:p>
      <w:pPr>
        <w:spacing w:after="0" w:line="148" w:lineRule="exact"/>
        <w:rPr>
          <w:rFonts w:ascii="Times New Roman" w:cs="Times New Roman" w:eastAsia="Times New Roman" w:hAnsi="Times New Roman"/>
          <w:sz w:val="21"/>
          <w:szCs w:val="21"/>
          <w:color w:val="auto"/>
        </w:rPr>
      </w:pPr>
    </w:p>
    <w:p>
      <w:pPr>
        <w:ind w:right="60" w:firstLine="635"/>
        <w:spacing w:after="0" w:line="266" w:lineRule="auto"/>
        <w:tabs>
          <w:tab w:leader="none" w:pos="1256" w:val="left"/>
        </w:tabs>
        <w:numPr>
          <w:ilvl w:val="1"/>
          <w:numId w:val="8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Incentive-Based Compensation is deemed to be </w:t>
      </w:r>
      <w:r>
        <w:rPr>
          <w:rFonts w:ascii="Times New Roman" w:cs="Times New Roman" w:eastAsia="Times New Roman" w:hAnsi="Times New Roman"/>
          <w:sz w:val="21"/>
          <w:szCs w:val="21"/>
          <w:b w:val="1"/>
          <w:bCs w:val="1"/>
          <w:color w:val="auto"/>
        </w:rPr>
        <w:t>“Received”</w:t>
      </w:r>
      <w:r>
        <w:rPr>
          <w:rFonts w:ascii="Times New Roman" w:cs="Times New Roman" w:eastAsia="Times New Roman" w:hAnsi="Times New Roman"/>
          <w:sz w:val="21"/>
          <w:szCs w:val="21"/>
          <w:color w:val="auto"/>
        </w:rPr>
        <w:t xml:space="preserve"> in the Company’s fiscal period during which the Financial Reporting Measure specified in the applicable Incentive-Based Compensation award is attained, even if the payment, grant or issuance of the Incentive-Based Compensation occurs after the end of that period.</w:t>
      </w:r>
    </w:p>
    <w:p>
      <w:pPr>
        <w:spacing w:after="0" w:line="155" w:lineRule="exact"/>
        <w:rPr>
          <w:rFonts w:ascii="Times New Roman" w:cs="Times New Roman" w:eastAsia="Times New Roman" w:hAnsi="Times New Roman"/>
          <w:sz w:val="21"/>
          <w:szCs w:val="21"/>
          <w:color w:val="auto"/>
        </w:rPr>
      </w:pPr>
    </w:p>
    <w:p>
      <w:pPr>
        <w:ind w:right="260" w:firstLine="635"/>
        <w:spacing w:after="0" w:line="257" w:lineRule="auto"/>
        <w:tabs>
          <w:tab w:leader="none" w:pos="1248" w:val="left"/>
        </w:tabs>
        <w:numPr>
          <w:ilvl w:val="1"/>
          <w:numId w:val="8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“Recovery Period” </w:t>
      </w:r>
      <w:r>
        <w:rPr>
          <w:rFonts w:ascii="Times New Roman" w:cs="Times New Roman" w:eastAsia="Times New Roman" w:hAnsi="Times New Roman"/>
          <w:sz w:val="21"/>
          <w:szCs w:val="21"/>
          <w:color w:val="auto"/>
        </w:rPr>
        <w:t>means the three completed fiscal years immediately preceding the earlier of: (A) the date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Board, a committee of the Board, or the officer or officers of the Company authorized to take such action if Board action is not required, concludes, or reasonably should have concluded, that the Company is required to prepare an Accounting Restatement; or</w:t>
      </w:r>
    </w:p>
    <w:p>
      <w:pPr>
        <w:spacing w:after="0" w:line="2" w:lineRule="exact"/>
        <w:rPr>
          <w:rFonts w:ascii="Times New Roman" w:cs="Times New Roman" w:eastAsia="Times New Roman" w:hAnsi="Times New Roman"/>
          <w:sz w:val="21"/>
          <w:szCs w:val="21"/>
          <w:color w:val="auto"/>
        </w:rPr>
      </w:pPr>
    </w:p>
    <w:p>
      <w:pPr>
        <w:ind w:right="460" w:firstLine="5"/>
        <w:spacing w:after="0" w:line="258" w:lineRule="auto"/>
        <w:tabs>
          <w:tab w:leader="none" w:pos="333" w:val="left"/>
        </w:tabs>
        <w:numPr>
          <w:ilvl w:val="0"/>
          <w:numId w:val="8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date a court, regulator, or other legally authorized body directs the Company to prepare an Accounting Restatement. In addition, if there is a change in the Company’s fiscal year end, the Recovery Period will also include any transition period to the extent required by Rule 5608.</w:t>
      </w:r>
    </w:p>
    <w:p>
      <w:pPr>
        <w:spacing w:after="0" w:line="163" w:lineRule="exact"/>
        <w:rPr>
          <w:sz w:val="20"/>
          <w:szCs w:val="20"/>
          <w:color w:val="auto"/>
        </w:rPr>
      </w:pPr>
    </w:p>
    <w:p>
      <w:pPr>
        <w:ind w:left="640" w:hanging="635"/>
        <w:spacing w:after="0"/>
        <w:tabs>
          <w:tab w:leader="none" w:pos="640" w:val="left"/>
        </w:tabs>
        <w:numPr>
          <w:ilvl w:val="0"/>
          <w:numId w:val="88"/>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Clawback Provisions</w:t>
      </w:r>
    </w:p>
    <w:p>
      <w:pPr>
        <w:spacing w:after="0" w:line="222" w:lineRule="exact"/>
        <w:rPr>
          <w:rFonts w:ascii="Times New Roman" w:cs="Times New Roman" w:eastAsia="Times New Roman" w:hAnsi="Times New Roman"/>
          <w:sz w:val="21"/>
          <w:szCs w:val="21"/>
          <w:b w:val="1"/>
          <w:bCs w:val="1"/>
          <w:color w:val="auto"/>
        </w:rPr>
      </w:pPr>
    </w:p>
    <w:p>
      <w:pPr>
        <w:jc w:val="both"/>
        <w:ind w:right="200" w:firstLine="635"/>
        <w:spacing w:after="0" w:line="263" w:lineRule="auto"/>
        <w:tabs>
          <w:tab w:leader="none" w:pos="1257" w:val="left"/>
        </w:tabs>
        <w:numPr>
          <w:ilvl w:val="1"/>
          <w:numId w:val="8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Application of Prior Policy</w:t>
      </w:r>
      <w:r>
        <w:rPr>
          <w:rFonts w:ascii="Times New Roman" w:cs="Times New Roman" w:eastAsia="Times New Roman" w:hAnsi="Times New Roman"/>
          <w:sz w:val="21"/>
          <w:szCs w:val="21"/>
          <w:color w:val="auto"/>
        </w:rPr>
        <w:t>. If the Company is required to prepare an Accounting Restatement and the provisions of Section 2(b) of this Policy are inapplicable, the Executive Compensation Recoupment Policy previously adopted by the Committee on March 3, 2022 (the “Prior Policy”) will apply in accordance with its terms. The Prior Policy will not apply when Section 2(b) of this Policy is applicable.</w:t>
      </w:r>
    </w:p>
    <w:p>
      <w:pPr>
        <w:spacing w:after="0" w:line="162" w:lineRule="exact"/>
        <w:rPr>
          <w:rFonts w:ascii="Times New Roman" w:cs="Times New Roman" w:eastAsia="Times New Roman" w:hAnsi="Times New Roman"/>
          <w:sz w:val="21"/>
          <w:szCs w:val="21"/>
          <w:color w:val="auto"/>
        </w:rPr>
      </w:pPr>
    </w:p>
    <w:p>
      <w:pPr>
        <w:ind w:right="300" w:firstLine="635"/>
        <w:spacing w:after="0" w:line="259" w:lineRule="auto"/>
        <w:tabs>
          <w:tab w:leader="none" w:pos="1256" w:val="left"/>
        </w:tabs>
        <w:numPr>
          <w:ilvl w:val="1"/>
          <w:numId w:val="8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Recovery of Erroneously Awarded Compensation Upon an Accounting Restatement</w:t>
      </w:r>
      <w:r>
        <w:rPr>
          <w:rFonts w:ascii="Times New Roman" w:cs="Times New Roman" w:eastAsia="Times New Roman" w:hAnsi="Times New Roman"/>
          <w:sz w:val="21"/>
          <w:szCs w:val="21"/>
          <w:color w:val="auto"/>
        </w:rPr>
        <w:t>. Subject to the terms of this Policy and the requirements of Rule 5608, if, on or after the Effective Date, the Company is required to prepare an Accounting Restatement, the Company will attempt to recover, reasonably promptly from each Covered Person, any Erroneously Awarded Compensation that was Received by such Covered Person during the Recovery Period pursuant to Incentive-Based Compensation that is subject to this Policy.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w:t>
      </w:r>
    </w:p>
    <w:p>
      <w:pPr>
        <w:sectPr>
          <w:pgSz w:w="11900" w:h="16838" w:orient="portrait"/>
          <w:cols w:equalWidth="0" w:num="1">
            <w:col w:w="11240"/>
          </w:cols>
          <w:pgMar w:left="320" w:top="1440" w:right="339" w:bottom="1440" w:gutter="0" w:footer="0" w:header="0"/>
        </w:sectPr>
      </w:pPr>
    </w:p>
    <w:bookmarkStart w:id="106" w:name="page107"/>
    <w:bookmarkEnd w:id="106"/>
    <w:p>
      <w:pPr>
        <w:spacing w:after="0" w:line="156" w:lineRule="exact"/>
        <w:rPr>
          <w:sz w:val="20"/>
          <w:szCs w:val="20"/>
          <w:color w:val="auto"/>
        </w:rPr>
      </w:pPr>
    </w:p>
    <w:p>
      <w:pPr>
        <w:ind w:left="-5" w:right="20" w:firstLine="635"/>
        <w:spacing w:after="0" w:line="254" w:lineRule="auto"/>
        <w:tabs>
          <w:tab w:leader="none" w:pos="1252" w:val="left"/>
        </w:tabs>
        <w:numPr>
          <w:ilvl w:val="1"/>
          <w:numId w:val="8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Potential Recovery of Additional Amounts Upon an Accounting Restatement</w:t>
      </w:r>
      <w:r>
        <w:rPr>
          <w:rFonts w:ascii="Times New Roman" w:cs="Times New Roman" w:eastAsia="Times New Roman" w:hAnsi="Times New Roman"/>
          <w:sz w:val="21"/>
          <w:szCs w:val="21"/>
          <w:color w:val="auto"/>
        </w:rPr>
        <w:t>. In addition to (and without limiting) the provisions of Section 2(b) of this Policy, in the event that the Committee, in its discretion, determines that a Covered Person’s acts or omissions that contributed to the circumstances requiring an Accounting Restatement that is subject to Section 2(b) of this Policy involved either: (i) intentional misconduct or an intentional violation of any of the Company’s rules or any applicable legal or regulatory requirements in the course of the Covered Person’s employment by the Company or (ii) fraud in the course of the Covered Person’s employment by the Company, then in each such case, the Company may attempt to recover from such Covered Person up to 100% (as determined by the Committee in its discretion based such considerations as the Committee deems appropriate) of the Covered Person’s Incentive-Based Compensation that was Received by such Covered Person during the Recovery Period.</w:t>
      </w:r>
    </w:p>
    <w:p>
      <w:pPr>
        <w:spacing w:after="0" w:line="183" w:lineRule="exact"/>
        <w:rPr>
          <w:rFonts w:ascii="Times New Roman" w:cs="Times New Roman" w:eastAsia="Times New Roman" w:hAnsi="Times New Roman"/>
          <w:sz w:val="21"/>
          <w:szCs w:val="21"/>
          <w:color w:val="auto"/>
        </w:rPr>
      </w:pPr>
    </w:p>
    <w:p>
      <w:pPr>
        <w:ind w:left="635" w:hanging="635"/>
        <w:spacing w:after="0"/>
        <w:tabs>
          <w:tab w:leader="none" w:pos="635" w:val="left"/>
        </w:tabs>
        <w:numPr>
          <w:ilvl w:val="0"/>
          <w:numId w:val="90"/>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Interpretation and Administration</w:t>
      </w:r>
    </w:p>
    <w:p>
      <w:pPr>
        <w:spacing w:after="0" w:line="222" w:lineRule="exact"/>
        <w:rPr>
          <w:rFonts w:ascii="Times New Roman" w:cs="Times New Roman" w:eastAsia="Times New Roman" w:hAnsi="Times New Roman"/>
          <w:sz w:val="21"/>
          <w:szCs w:val="21"/>
          <w:b w:val="1"/>
          <w:bCs w:val="1"/>
          <w:color w:val="auto"/>
        </w:rPr>
      </w:pPr>
    </w:p>
    <w:p>
      <w:pPr>
        <w:ind w:left="-5" w:right="100" w:firstLine="635"/>
        <w:spacing w:after="0" w:line="259" w:lineRule="auto"/>
        <w:tabs>
          <w:tab w:leader="none" w:pos="1252" w:val="left"/>
        </w:tabs>
        <w:numPr>
          <w:ilvl w:val="1"/>
          <w:numId w:val="9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Role of the Committee</w:t>
      </w:r>
      <w:r>
        <w:rPr>
          <w:rFonts w:ascii="Times New Roman" w:cs="Times New Roman" w:eastAsia="Times New Roman" w:hAnsi="Times New Roman"/>
          <w:sz w:val="21"/>
          <w:szCs w:val="21"/>
          <w:color w:val="auto"/>
        </w:rPr>
        <w:t>. Section 2(b) of this Policy will be interpreted by the Committee in a manner that is consistent with Rule 5608 and any other applicable law, and this Policy will otherwise be interpreted in the business judgment of the Committee. All decisions and interpretations of the Committee will be final and binding; provided that, with respect to Section 2(b), such decisions must be consistent with Rule 5608.</w:t>
      </w:r>
    </w:p>
    <w:p>
      <w:pPr>
        <w:spacing w:after="0" w:line="165" w:lineRule="exact"/>
        <w:rPr>
          <w:rFonts w:ascii="Times New Roman" w:cs="Times New Roman" w:eastAsia="Times New Roman" w:hAnsi="Times New Roman"/>
          <w:sz w:val="21"/>
          <w:szCs w:val="21"/>
          <w:color w:val="auto"/>
        </w:rPr>
      </w:pPr>
    </w:p>
    <w:p>
      <w:pPr>
        <w:ind w:left="-5" w:right="560" w:firstLine="635"/>
        <w:spacing w:after="0" w:line="271" w:lineRule="auto"/>
        <w:tabs>
          <w:tab w:leader="none" w:pos="1251" w:val="left"/>
        </w:tabs>
        <w:numPr>
          <w:ilvl w:val="1"/>
          <w:numId w:val="9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Compensation Not Subject to this Policy</w:t>
      </w:r>
      <w:r>
        <w:rPr>
          <w:rFonts w:ascii="Times New Roman" w:cs="Times New Roman" w:eastAsia="Times New Roman" w:hAnsi="Times New Roman"/>
          <w:sz w:val="21"/>
          <w:szCs w:val="21"/>
          <w:color w:val="auto"/>
        </w:rPr>
        <w:t>. This Policy does not apply to Incentive-Based Compensation that was Received before the Effective Date. With respect to any Covered Person, this Policy does not apply to Incentive-Based Compensation that was Received by such Covered Person before beginning service as an Executive Officer.</w:t>
      </w:r>
    </w:p>
    <w:p>
      <w:pPr>
        <w:spacing w:after="0" w:line="153" w:lineRule="exact"/>
        <w:rPr>
          <w:rFonts w:ascii="Times New Roman" w:cs="Times New Roman" w:eastAsia="Times New Roman" w:hAnsi="Times New Roman"/>
          <w:sz w:val="21"/>
          <w:szCs w:val="21"/>
          <w:color w:val="auto"/>
        </w:rPr>
      </w:pPr>
    </w:p>
    <w:p>
      <w:pPr>
        <w:ind w:left="-5" w:firstLine="635"/>
        <w:spacing w:after="0" w:line="255" w:lineRule="auto"/>
        <w:tabs>
          <w:tab w:leader="none" w:pos="1252" w:val="left"/>
        </w:tabs>
        <w:numPr>
          <w:ilvl w:val="1"/>
          <w:numId w:val="9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Determination of Means of Recovery</w:t>
      </w:r>
      <w:r>
        <w:rPr>
          <w:rFonts w:ascii="Times New Roman" w:cs="Times New Roman" w:eastAsia="Times New Roman" w:hAnsi="Times New Roman"/>
          <w:sz w:val="21"/>
          <w:szCs w:val="21"/>
          <w:color w:val="auto"/>
        </w:rPr>
        <w:t>. Subject to the requirement that recovery under Section 2(b) be made reasonably promptly, the Committee will determine the appropriate means of any recovery under this Policy, which may vary between Covered Persons or based on the nature of the applicable Incentive-Based Compensation, and which may involve, without limitation, establishing a deferred repayment plan or setting off against current or future compensation otherwise payable to the Covered Person. Recovery of Erroneously Awarded Compensation under Section 2(b) of this Policy will be made without regard to income taxes paid by the Covered Person or by the Company on the Covered Person’s behalf in connection with such Erroneously Awarded Compensation.</w:t>
      </w:r>
    </w:p>
    <w:p>
      <w:pPr>
        <w:spacing w:after="0" w:line="173" w:lineRule="exact"/>
        <w:rPr>
          <w:rFonts w:ascii="Times New Roman" w:cs="Times New Roman" w:eastAsia="Times New Roman" w:hAnsi="Times New Roman"/>
          <w:sz w:val="21"/>
          <w:szCs w:val="21"/>
          <w:color w:val="auto"/>
        </w:rPr>
      </w:pPr>
    </w:p>
    <w:p>
      <w:pPr>
        <w:ind w:left="-5" w:right="240" w:firstLine="635"/>
        <w:spacing w:after="0" w:line="255" w:lineRule="auto"/>
        <w:tabs>
          <w:tab w:leader="none" w:pos="1251" w:val="left"/>
        </w:tabs>
        <w:numPr>
          <w:ilvl w:val="1"/>
          <w:numId w:val="9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Determination That Recovery is Impracticable</w:t>
      </w:r>
      <w:r>
        <w:rPr>
          <w:rFonts w:ascii="Times New Roman" w:cs="Times New Roman" w:eastAsia="Times New Roman" w:hAnsi="Times New Roman"/>
          <w:sz w:val="21"/>
          <w:szCs w:val="21"/>
          <w:color w:val="auto"/>
        </w:rPr>
        <w:t>. The Company is not required to recover Erroneously Awarded Compensation under Section 2(b) of this Policy if a determination is made by the Committee that either (A) after the Company has made and documented a reasonable attempt to recover such Erroneously Awarded Compensation, the direct expense paid to a third party to assist in enforcing this Policy would exceed the amount to be recovered or (B) recovery of such Erroneously Awarded Compensation would likely cause an otherwise tax-qualified retirement plan, under which benefits are broadly available to employees of the registrant, to fail to meet the requirements of Section 401(a)(13) or 411(a) of the Internal Revenue Code and regulations thereunder.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4"/>
        <w:spacing w:after="0"/>
        <w:rPr>
          <w:sz w:val="20"/>
          <w:szCs w:val="20"/>
          <w:color w:val="auto"/>
        </w:rPr>
      </w:pPr>
      <w:r>
        <w:rPr>
          <w:rFonts w:ascii="Times New Roman" w:cs="Times New Roman" w:eastAsia="Times New Roman" w:hAnsi="Times New Roman"/>
          <w:sz w:val="21"/>
          <w:szCs w:val="21"/>
          <w:color w:val="auto"/>
        </w:rPr>
        <w:t>3</w:t>
      </w:r>
    </w:p>
    <w:p>
      <w:pPr>
        <w:sectPr>
          <w:pgSz w:w="11900" w:h="16838" w:orient="portrait"/>
          <w:cols w:equalWidth="0" w:num="1">
            <w:col w:w="11235"/>
          </w:cols>
          <w:pgMar w:left="325" w:top="1440" w:right="339" w:bottom="1440" w:gutter="0" w:footer="0" w:header="0"/>
        </w:sectPr>
      </w:pPr>
    </w:p>
    <w:bookmarkStart w:id="107" w:name="page108"/>
    <w:bookmarkEnd w:id="107"/>
    <w:p>
      <w:pPr>
        <w:spacing w:after="0" w:line="156" w:lineRule="exact"/>
        <w:rPr>
          <w:sz w:val="20"/>
          <w:szCs w:val="20"/>
          <w:color w:val="auto"/>
        </w:rPr>
      </w:pPr>
    </w:p>
    <w:p>
      <w:pPr>
        <w:jc w:val="both"/>
        <w:ind w:firstLine="635"/>
        <w:spacing w:after="0" w:line="263" w:lineRule="auto"/>
        <w:tabs>
          <w:tab w:leader="none" w:pos="1257" w:val="left"/>
        </w:tabs>
        <w:numPr>
          <w:ilvl w:val="0"/>
          <w:numId w:val="9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 Indemnification or Company-Paid Insurance</w:t>
      </w:r>
      <w:r>
        <w:rPr>
          <w:rFonts w:ascii="Times New Roman" w:cs="Times New Roman" w:eastAsia="Times New Roman" w:hAnsi="Times New Roman"/>
          <w:sz w:val="21"/>
          <w:szCs w:val="21"/>
          <w:color w:val="auto"/>
        </w:rPr>
        <w:t>. The Company will not indemnify any Covered Person against the loss of Erroneously Awarded Compensation or any other amounts that may be recovered by the Company in accordance with this Policy and will not pay or reimburse any Covered Person for the purchase of a third-party insurance policy to fund potential recovery obligations.</w:t>
      </w:r>
    </w:p>
    <w:p>
      <w:pPr>
        <w:spacing w:after="0" w:line="162" w:lineRule="exact"/>
        <w:rPr>
          <w:rFonts w:ascii="Times New Roman" w:cs="Times New Roman" w:eastAsia="Times New Roman" w:hAnsi="Times New Roman"/>
          <w:sz w:val="21"/>
          <w:szCs w:val="21"/>
          <w:color w:val="auto"/>
        </w:rPr>
      </w:pPr>
    </w:p>
    <w:p>
      <w:pPr>
        <w:jc w:val="both"/>
        <w:ind w:right="100" w:firstLine="635"/>
        <w:spacing w:after="0" w:line="259" w:lineRule="auto"/>
        <w:tabs>
          <w:tab w:leader="none" w:pos="1260" w:val="left"/>
        </w:tabs>
        <w:numPr>
          <w:ilvl w:val="0"/>
          <w:numId w:val="9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Interaction with Other Clawback Provisions</w:t>
      </w:r>
      <w:r>
        <w:rPr>
          <w:rFonts w:ascii="Times New Roman" w:cs="Times New Roman" w:eastAsia="Times New Roman" w:hAnsi="Times New Roman"/>
          <w:sz w:val="21"/>
          <w:szCs w:val="21"/>
          <w:color w:val="auto"/>
        </w:rPr>
        <w:t>. The Company will be deemed to have recovered Erroneously Awarded Compensation in accordance with Section 2(b) of this Policy to the extent the Company actually receives such amounts pursuant to any other Company policy, program or agreement (including the Prior Policy) pursuant to Section 304 of the Sarbanes-Oxley Act or otherwise.</w:t>
      </w:r>
    </w:p>
    <w:p>
      <w:pPr>
        <w:spacing w:after="0" w:line="178" w:lineRule="exact"/>
        <w:rPr>
          <w:rFonts w:ascii="Times New Roman" w:cs="Times New Roman" w:eastAsia="Times New Roman" w:hAnsi="Times New Roman"/>
          <w:sz w:val="21"/>
          <w:szCs w:val="21"/>
          <w:color w:val="auto"/>
        </w:rPr>
      </w:pPr>
    </w:p>
    <w:p>
      <w:pPr>
        <w:jc w:val="both"/>
        <w:ind w:right="260" w:firstLine="635"/>
        <w:spacing w:after="0" w:line="264" w:lineRule="auto"/>
        <w:tabs>
          <w:tab w:leader="none" w:pos="1256" w:val="left"/>
        </w:tabs>
        <w:numPr>
          <w:ilvl w:val="0"/>
          <w:numId w:val="9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 Limitation on Other Remedies</w:t>
      </w:r>
      <w:r>
        <w:rPr>
          <w:rFonts w:ascii="Times New Roman" w:cs="Times New Roman" w:eastAsia="Times New Roman" w:hAnsi="Times New Roman"/>
          <w:sz w:val="21"/>
          <w:szCs w:val="21"/>
          <w:color w:val="auto"/>
        </w:rPr>
        <w:t>. Nothing in this Policy will be deemed to limit the Company’s right to terminate employment of any Covered Person, to seek recovery of other compensation paid to a Covered Person, or to pursue other rights or remedies available to the Company under applicable law.</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i w:val="1"/>
          <w:iCs w:val="1"/>
          <w:color w:val="auto"/>
        </w:rPr>
        <w:t>Adopted by the Committee on November 20,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1"/>
          <w:szCs w:val="21"/>
          <w:color w:val="auto"/>
        </w:rPr>
        <w:t>4</w:t>
      </w:r>
    </w:p>
    <w:sectPr>
      <w:pgSz w:w="11900" w:h="16838" w:orient="portrait"/>
      <w:cols w:equalWidth="0" w:num="1">
        <w:col w:w="11220"/>
      </w:cols>
      <w:pgMar w:left="320" w:top="1440"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B588F54"/>
    <w:multiLevelType w:val="hybridMultilevel"/>
    <w:lvl w:ilvl="0">
      <w:lvlJc w:val="left"/>
      <w:lvlText w:val="☑"/>
      <w:numFmt w:val="bullet"/>
      <w:start w:val="1"/>
    </w:lvl>
  </w:abstractNum>
  <w:abstractNum w:abstractNumId="1">
    <w:nsid w:val="542289EC"/>
    <w:multiLevelType w:val="hybridMultilevel"/>
    <w:lvl w:ilvl="0">
      <w:lvlJc w:val="left"/>
      <w:lvlText w:val="☐"/>
      <w:numFmt w:val="bullet"/>
      <w:start w:val="1"/>
    </w:lvl>
  </w:abstractNum>
  <w:abstractNum w:abstractNumId="2">
    <w:nsid w:val="6DE91B18"/>
    <w:multiLevelType w:val="hybridMultilevel"/>
    <w:lvl w:ilvl="0">
      <w:lvlJc w:val="left"/>
      <w:lvlText w:val="•"/>
      <w:numFmt w:val="bullet"/>
      <w:start w:val="1"/>
    </w:lvl>
  </w:abstractNum>
  <w:abstractNum w:abstractNumId="3">
    <w:nsid w:val="38437FDB"/>
    <w:multiLevelType w:val="hybridMultilevel"/>
    <w:lvl w:ilvl="0">
      <w:lvlJc w:val="left"/>
      <w:lvlText w:val="•"/>
      <w:numFmt w:val="bullet"/>
      <w:start w:val="1"/>
    </w:lvl>
  </w:abstractNum>
  <w:abstractNum w:abstractNumId="4">
    <w:nsid w:val="7644A45C"/>
    <w:multiLevelType w:val="hybridMultilevel"/>
    <w:lvl w:ilvl="0">
      <w:lvlJc w:val="left"/>
      <w:lvlText w:val="•"/>
      <w:numFmt w:val="bullet"/>
      <w:start w:val="1"/>
    </w:lvl>
  </w:abstractNum>
  <w:abstractNum w:abstractNumId="5">
    <w:nsid w:val="32FFF902"/>
    <w:multiLevelType w:val="hybridMultilevel"/>
    <w:lvl w:ilvl="0">
      <w:lvlJc w:val="left"/>
      <w:lvlText w:val="•"/>
      <w:numFmt w:val="bullet"/>
      <w:start w:val="1"/>
    </w:lvl>
  </w:abstractNum>
  <w:abstractNum w:abstractNumId="6">
    <w:nsid w:val="684A481A"/>
    <w:multiLevelType w:val="hybridMultilevel"/>
    <w:lvl w:ilvl="0">
      <w:lvlJc w:val="left"/>
      <w:lvlText w:val="•"/>
      <w:numFmt w:val="bullet"/>
      <w:start w:val="1"/>
    </w:lvl>
  </w:abstractNum>
  <w:abstractNum w:abstractNumId="7">
    <w:nsid w:val="579478FE"/>
    <w:multiLevelType w:val="hybridMultilevel"/>
    <w:lvl w:ilvl="0">
      <w:lvlJc w:val="left"/>
      <w:lvlText w:val="•"/>
      <w:numFmt w:val="bullet"/>
      <w:start w:val="1"/>
    </w:lvl>
  </w:abstractNum>
  <w:abstractNum w:abstractNumId="8">
    <w:nsid w:val="749ABB43"/>
    <w:multiLevelType w:val="hybridMultilevel"/>
    <w:lvl w:ilvl="0">
      <w:lvlJc w:val="left"/>
      <w:lvlText w:val="•"/>
      <w:numFmt w:val="bullet"/>
      <w:start w:val="1"/>
    </w:lvl>
  </w:abstractNum>
  <w:abstractNum w:abstractNumId="9">
    <w:nsid w:val="3DC240FB"/>
    <w:multiLevelType w:val="hybridMultilevel"/>
    <w:lvl w:ilvl="0">
      <w:lvlJc w:val="left"/>
      <w:lvlText w:val="•"/>
      <w:numFmt w:val="bullet"/>
      <w:start w:val="1"/>
    </w:lvl>
  </w:abstractNum>
  <w:abstractNum w:abstractNumId="10">
    <w:nsid w:val="1BA026FA"/>
    <w:multiLevelType w:val="hybridMultilevel"/>
    <w:lvl w:ilvl="0">
      <w:lvlJc w:val="left"/>
      <w:lvlText w:val="•"/>
      <w:numFmt w:val="bullet"/>
      <w:start w:val="1"/>
    </w:lvl>
  </w:abstractNum>
  <w:abstractNum w:abstractNumId="11">
    <w:nsid w:val="79A1DEAA"/>
    <w:multiLevelType w:val="hybridMultilevel"/>
    <w:lvl w:ilvl="0">
      <w:lvlJc w:val="left"/>
      <w:lvlText w:val="•"/>
      <w:numFmt w:val="bullet"/>
      <w:start w:val="1"/>
    </w:lvl>
  </w:abstractNum>
  <w:abstractNum w:abstractNumId="12">
    <w:nsid w:val="75C6C33A"/>
    <w:multiLevelType w:val="hybridMultilevel"/>
    <w:lvl w:ilvl="0">
      <w:lvlJc w:val="left"/>
      <w:lvlText w:val="•"/>
      <w:numFmt w:val="bullet"/>
      <w:start w:val="1"/>
    </w:lvl>
  </w:abstractNum>
  <w:abstractNum w:abstractNumId="13">
    <w:nsid w:val="12E685FB"/>
    <w:multiLevelType w:val="hybridMultilevel"/>
    <w:lvl w:ilvl="0">
      <w:lvlJc w:val="left"/>
      <w:lvlText w:val="•"/>
      <w:numFmt w:val="bullet"/>
      <w:start w:val="1"/>
    </w:lvl>
  </w:abstractNum>
  <w:abstractNum w:abstractNumId="14">
    <w:nsid w:val="70C6A529"/>
    <w:multiLevelType w:val="hybridMultilevel"/>
    <w:lvl w:ilvl="0">
      <w:lvlJc w:val="left"/>
      <w:lvlText w:val="•"/>
      <w:numFmt w:val="bullet"/>
      <w:start w:val="1"/>
    </w:lvl>
  </w:abstractNum>
  <w:abstractNum w:abstractNumId="15">
    <w:nsid w:val="520EEDD1"/>
    <w:multiLevelType w:val="hybridMultilevel"/>
    <w:lvl w:ilvl="0">
      <w:lvlJc w:val="left"/>
      <w:lvlText w:val="•"/>
      <w:numFmt w:val="bullet"/>
      <w:start w:val="1"/>
    </w:lvl>
  </w:abstractNum>
  <w:abstractNum w:abstractNumId="16">
    <w:nsid w:val="374A3FE6"/>
    <w:multiLevelType w:val="hybridMultilevel"/>
    <w:lvl w:ilvl="0">
      <w:lvlJc w:val="left"/>
      <w:lvlText w:val="•"/>
      <w:numFmt w:val="bullet"/>
      <w:start w:val="1"/>
    </w:lvl>
  </w:abstractNum>
  <w:abstractNum w:abstractNumId="17">
    <w:nsid w:val="4F4EF005"/>
    <w:multiLevelType w:val="hybridMultilevel"/>
    <w:lvl w:ilvl="0">
      <w:lvlJc w:val="left"/>
      <w:lvlText w:val="•"/>
      <w:numFmt w:val="bullet"/>
      <w:start w:val="1"/>
    </w:lvl>
  </w:abstractNum>
  <w:abstractNum w:abstractNumId="18">
    <w:nsid w:val="23F9C13C"/>
    <w:multiLevelType w:val="hybridMultilevel"/>
    <w:lvl w:ilvl="0">
      <w:lvlJc w:val="left"/>
      <w:lvlText w:val="•"/>
      <w:numFmt w:val="bullet"/>
      <w:start w:val="1"/>
    </w:lvl>
  </w:abstractNum>
  <w:abstractNum w:abstractNumId="19">
    <w:nsid w:val="649BB77C"/>
    <w:multiLevelType w:val="hybridMultilevel"/>
    <w:lvl w:ilvl="0">
      <w:lvlJc w:val="left"/>
      <w:lvlText w:val="•"/>
      <w:numFmt w:val="bullet"/>
      <w:start w:val="1"/>
    </w:lvl>
  </w:abstractNum>
  <w:abstractNum w:abstractNumId="20">
    <w:nsid w:val="275AC794"/>
    <w:multiLevelType w:val="hybridMultilevel"/>
    <w:lvl w:ilvl="0">
      <w:lvlJc w:val="left"/>
      <w:lvlText w:val="•"/>
      <w:numFmt w:val="bullet"/>
      <w:start w:val="1"/>
    </w:lvl>
  </w:abstractNum>
  <w:abstractNum w:abstractNumId="21">
    <w:nsid w:val="39386575"/>
    <w:multiLevelType w:val="hybridMultilevel"/>
    <w:lvl w:ilvl="0">
      <w:lvlJc w:val="left"/>
      <w:lvlText w:val="(%1)"/>
      <w:numFmt w:val="decimal"/>
      <w:start w:val="1"/>
    </w:lvl>
  </w:abstractNum>
  <w:abstractNum w:abstractNumId="22">
    <w:nsid w:val="1CF10FD8"/>
    <w:multiLevelType w:val="hybridMultilevel"/>
    <w:lvl w:ilvl="0">
      <w:lvlJc w:val="left"/>
      <w:lvlText w:val="•"/>
      <w:numFmt w:val="bullet"/>
      <w:start w:val="1"/>
    </w:lvl>
  </w:abstractNum>
  <w:abstractNum w:abstractNumId="23">
    <w:nsid w:val="180115BE"/>
    <w:multiLevelType w:val="hybridMultilevel"/>
    <w:lvl w:ilvl="0">
      <w:lvlJc w:val="left"/>
      <w:lvlText w:val="%1."/>
      <w:numFmt w:val="decimal"/>
      <w:start w:val="1"/>
    </w:lvl>
  </w:abstractNum>
  <w:abstractNum w:abstractNumId="24">
    <w:nsid w:val="235BA861"/>
    <w:multiLevelType w:val="hybridMultilevel"/>
    <w:lvl w:ilvl="0">
      <w:lvlJc w:val="left"/>
      <w:lvlText w:val="%1."/>
      <w:numFmt w:val="decimal"/>
      <w:start w:val="2"/>
    </w:lvl>
  </w:abstractNum>
  <w:abstractNum w:abstractNumId="25">
    <w:nsid w:val="47398C89"/>
    <w:multiLevelType w:val="hybridMultilevel"/>
    <w:lvl w:ilvl="0">
      <w:lvlJc w:val="left"/>
      <w:lvlText w:val="•"/>
      <w:numFmt w:val="bullet"/>
      <w:start w:val="1"/>
    </w:lvl>
  </w:abstractNum>
  <w:abstractNum w:abstractNumId="26">
    <w:nsid w:val="354FE9F9"/>
    <w:multiLevelType w:val="hybridMultilevel"/>
    <w:lvl w:ilvl="0">
      <w:lvlJc w:val="left"/>
      <w:lvlText w:val="%1."/>
      <w:numFmt w:val="decimal"/>
      <w:start w:val="3"/>
    </w:lvl>
  </w:abstractNum>
  <w:abstractNum w:abstractNumId="27">
    <w:nsid w:val="15B5AF5C"/>
    <w:multiLevelType w:val="hybridMultilevel"/>
    <w:lvl w:ilvl="0">
      <w:lvlJc w:val="left"/>
      <w:lvlText w:val="(%1)"/>
      <w:numFmt w:val="decimal"/>
      <w:start w:val="1"/>
    </w:lvl>
  </w:abstractNum>
  <w:abstractNum w:abstractNumId="28">
    <w:nsid w:val="741226BB"/>
    <w:multiLevelType w:val="hybridMultilevel"/>
    <w:lvl w:ilvl="0">
      <w:lvlJc w:val="left"/>
      <w:lvlText w:val="%1."/>
      <w:numFmt w:val="decimal"/>
      <w:start w:val="9"/>
    </w:lvl>
  </w:abstractNum>
  <w:abstractNum w:abstractNumId="29">
    <w:nsid w:val="D34B6A8"/>
    <w:multiLevelType w:val="hybridMultilevel"/>
    <w:lvl w:ilvl="0">
      <w:lvlJc w:val="left"/>
      <w:lvlText w:val="•"/>
      <w:numFmt w:val="bullet"/>
      <w:start w:val="1"/>
    </w:lvl>
  </w:abstractNum>
  <w:abstractNum w:abstractNumId="30">
    <w:nsid w:val="10233C99"/>
    <w:multiLevelType w:val="hybridMultilevel"/>
    <w:lvl w:ilvl="0">
      <w:lvlJc w:val="left"/>
      <w:lvlText w:val="%1."/>
      <w:numFmt w:val="decimal"/>
      <w:start w:val="10"/>
    </w:lvl>
  </w:abstractNum>
  <w:abstractNum w:abstractNumId="31">
    <w:nsid w:val="3F6AB60F"/>
    <w:multiLevelType w:val="hybridMultilevel"/>
    <w:lvl w:ilvl="0">
      <w:lvlJc w:val="left"/>
      <w:lvlText w:val="%1."/>
      <w:numFmt w:val="decimal"/>
      <w:start w:val="11"/>
    </w:lvl>
  </w:abstractNum>
  <w:abstractNum w:abstractNumId="32">
    <w:nsid w:val="61574095"/>
    <w:multiLevelType w:val="hybridMultilevel"/>
    <w:lvl w:ilvl="0">
      <w:lvlJc w:val="left"/>
      <w:lvlText w:val="%1."/>
      <w:numFmt w:val="decimal"/>
      <w:start w:val="12"/>
    </w:lvl>
  </w:abstractNum>
  <w:abstractNum w:abstractNumId="33">
    <w:nsid w:val="7E0C57B1"/>
    <w:multiLevelType w:val="hybridMultilevel"/>
    <w:lvl w:ilvl="0">
      <w:lvlJc w:val="left"/>
      <w:lvlText w:val="%1."/>
      <w:numFmt w:val="decimal"/>
      <w:start w:val="13"/>
    </w:lvl>
  </w:abstractNum>
  <w:abstractNum w:abstractNumId="34">
    <w:nsid w:val="77AE35EB"/>
    <w:multiLevelType w:val="hybridMultilevel"/>
    <w:lvl w:ilvl="0">
      <w:lvlJc w:val="left"/>
      <w:lvlText w:val="%1."/>
      <w:numFmt w:val="decimal"/>
      <w:start w:val="14"/>
    </w:lvl>
  </w:abstractNum>
  <w:abstractNum w:abstractNumId="35">
    <w:nsid w:val="579BE4F1"/>
    <w:multiLevelType w:val="hybridMultilevel"/>
    <w:lvl w:ilvl="0">
      <w:lvlJc w:val="left"/>
      <w:lvlText w:val="•"/>
      <w:numFmt w:val="bullet"/>
      <w:start w:val="1"/>
    </w:lvl>
  </w:abstractNum>
  <w:abstractNum w:abstractNumId="36">
    <w:nsid w:val="310C50B3"/>
    <w:multiLevelType w:val="hybridMultilevel"/>
    <w:lvl w:ilvl="0">
      <w:lvlJc w:val="left"/>
      <w:lvlText w:val="%1."/>
      <w:numFmt w:val="decimal"/>
      <w:start w:val="2"/>
    </w:lvl>
  </w:abstractNum>
  <w:abstractNum w:abstractNumId="37">
    <w:nsid w:val="5FF87E05"/>
    <w:multiLevelType w:val="hybridMultilevel"/>
    <w:lvl w:ilvl="0">
      <w:lvlJc w:val="left"/>
      <w:lvlText w:val="(%1)"/>
      <w:numFmt w:val="lowerLetter"/>
      <w:start w:val="2"/>
    </w:lvl>
  </w:abstractNum>
  <w:abstractNum w:abstractNumId="38">
    <w:nsid w:val="2F305DEF"/>
    <w:multiLevelType w:val="hybridMultilevel"/>
    <w:lvl w:ilvl="0">
      <w:lvlJc w:val="left"/>
      <w:lvlText w:val="*"/>
      <w:numFmt w:val="bullet"/>
      <w:start w:val="1"/>
    </w:lvl>
    <w:lvl w:ilvl="1">
      <w:lvlJc w:val="left"/>
      <w:lvlText w:val="%2"/>
      <w:numFmt w:val="decimal"/>
      <w:start w:val="104"/>
    </w:lvl>
  </w:abstractNum>
  <w:abstractNum w:abstractNumId="39">
    <w:nsid w:val="25A70BF7"/>
    <w:multiLevelType w:val="hybridMultilevel"/>
    <w:lvl w:ilvl="0">
      <w:lvlJc w:val="left"/>
      <w:lvlText w:val="^"/>
      <w:numFmt w:val="bullet"/>
      <w:start w:val="1"/>
    </w:lvl>
  </w:abstractNum>
  <w:abstractNum w:abstractNumId="40">
    <w:nsid w:val="1DBABF00"/>
    <w:multiLevelType w:val="hybridMultilevel"/>
    <w:lvl w:ilvl="0">
      <w:lvlJc w:val="left"/>
      <w:lvlText w:val="%1."/>
      <w:numFmt w:val="decimal"/>
      <w:start w:val="1"/>
    </w:lvl>
  </w:abstractNum>
  <w:abstractNum w:abstractNumId="41">
    <w:nsid w:val="4AD084E9"/>
    <w:multiLevelType w:val="hybridMultilevel"/>
    <w:lvl w:ilvl="0">
      <w:lvlJc w:val="left"/>
      <w:lvlText w:val="%1."/>
      <w:numFmt w:val="decimal"/>
      <w:start w:val="2"/>
    </w:lvl>
  </w:abstractNum>
  <w:abstractNum w:abstractNumId="42">
    <w:nsid w:val="1F48EAA1"/>
    <w:multiLevelType w:val="hybridMultilevel"/>
    <w:lvl w:ilvl="0">
      <w:lvlJc w:val="left"/>
      <w:lvlText w:val="%1."/>
      <w:numFmt w:val="decimal"/>
      <w:start w:val="3"/>
    </w:lvl>
    <w:lvl w:ilvl="1">
      <w:lvlJc w:val="left"/>
      <w:lvlText w:val="(%2)"/>
      <w:numFmt w:val="lowerLetter"/>
      <w:start w:val="1"/>
    </w:lvl>
  </w:abstractNum>
  <w:abstractNum w:abstractNumId="43">
    <w:nsid w:val="1381823A"/>
    <w:multiLevelType w:val="hybridMultilevel"/>
    <w:lvl w:ilvl="0">
      <w:lvlJc w:val="left"/>
      <w:lvlText w:val="%1."/>
      <w:numFmt w:val="decimal"/>
      <w:start w:val="5"/>
    </w:lvl>
  </w:abstractNum>
  <w:abstractNum w:abstractNumId="44">
    <w:nsid w:val="5DB70AE5"/>
    <w:multiLevelType w:val="hybridMultilevel"/>
    <w:lvl w:ilvl="0">
      <w:lvlJc w:val="left"/>
      <w:lvlText w:val="%1."/>
      <w:numFmt w:val="decimal"/>
      <w:start w:val="6"/>
    </w:lvl>
  </w:abstractNum>
  <w:abstractNum w:abstractNumId="45">
    <w:nsid w:val="100F8FCA"/>
    <w:multiLevelType w:val="hybridMultilevel"/>
    <w:lvl w:ilvl="0">
      <w:lvlJc w:val="left"/>
      <w:lvlText w:val="%1."/>
      <w:numFmt w:val="decimal"/>
      <w:start w:val="7"/>
    </w:lvl>
    <w:lvl w:ilvl="1">
      <w:lvlJc w:val="left"/>
      <w:lvlText w:val="(%2)"/>
      <w:numFmt w:val="lowerLetter"/>
      <w:start w:val="1"/>
    </w:lvl>
  </w:abstractNum>
  <w:abstractNum w:abstractNumId="46">
    <w:nsid w:val="6590700B"/>
    <w:multiLevelType w:val="hybridMultilevel"/>
    <w:lvl w:ilvl="0">
      <w:lvlJc w:val="left"/>
      <w:lvlText w:val="(%1)"/>
      <w:numFmt w:val="lowerLetter"/>
      <w:start w:val="5"/>
    </w:lvl>
  </w:abstractNum>
  <w:abstractNum w:abstractNumId="47">
    <w:nsid w:val="15014ACB"/>
    <w:multiLevelType w:val="hybridMultilevel"/>
    <w:lvl w:ilvl="0">
      <w:lvlJc w:val="left"/>
      <w:lvlText w:val="%1."/>
      <w:numFmt w:val="decimal"/>
      <w:start w:val="1"/>
    </w:lvl>
  </w:abstractNum>
  <w:abstractNum w:abstractNumId="48">
    <w:nsid w:val="5F5E7FD0"/>
    <w:multiLevelType w:val="hybridMultilevel"/>
    <w:lvl w:ilvl="0">
      <w:lvlJc w:val="left"/>
      <w:lvlText w:val="%1."/>
      <w:numFmt w:val="decimal"/>
      <w:start w:val="2"/>
    </w:lvl>
    <w:lvl w:ilvl="1">
      <w:lvlJc w:val="left"/>
      <w:lvlText w:val="(%2)"/>
      <w:numFmt w:val="lowerLetter"/>
      <w:start w:val="1"/>
    </w:lvl>
  </w:abstractNum>
  <w:abstractNum w:abstractNumId="49">
    <w:nsid w:val="98A3148"/>
    <w:multiLevelType w:val="hybridMultilevel"/>
    <w:lvl w:ilvl="0">
      <w:lvlJc w:val="left"/>
      <w:lvlText w:val="%1."/>
      <w:numFmt w:val="decimal"/>
      <w:start w:val="3"/>
    </w:lvl>
    <w:lvl w:ilvl="1">
      <w:lvlJc w:val="left"/>
      <w:lvlText w:val="(%2)"/>
      <w:numFmt w:val="lowerLetter"/>
      <w:start w:val="1"/>
    </w:lvl>
  </w:abstractNum>
  <w:abstractNum w:abstractNumId="50">
    <w:nsid w:val="799D0247"/>
    <w:multiLevelType w:val="hybridMultilevel"/>
    <w:lvl w:ilvl="0">
      <w:lvlJc w:val="left"/>
      <w:lvlText w:val="%1."/>
      <w:numFmt w:val="decimal"/>
      <w:start w:val="5"/>
    </w:lvl>
  </w:abstractNum>
  <w:abstractNum w:abstractNumId="51">
    <w:nsid w:val="6B94764"/>
    <w:multiLevelType w:val="hybridMultilevel"/>
    <w:lvl w:ilvl="0">
      <w:lvlJc w:val="left"/>
      <w:lvlText w:val="%1."/>
      <w:numFmt w:val="decimal"/>
      <w:start w:val="6"/>
    </w:lvl>
    <w:lvl w:ilvl="1">
      <w:lvlJc w:val="left"/>
      <w:lvlText w:val="(%2)"/>
      <w:numFmt w:val="lowerLetter"/>
      <w:start w:val="1"/>
    </w:lvl>
  </w:abstractNum>
  <w:abstractNum w:abstractNumId="52">
    <w:nsid w:val="42C296BD"/>
    <w:multiLevelType w:val="hybridMultilevel"/>
    <w:lvl w:ilvl="0">
      <w:lvlJc w:val="left"/>
      <w:lvlText w:val="%1."/>
      <w:numFmt w:val="decimal"/>
      <w:start w:val="7"/>
    </w:lvl>
    <w:lvl w:ilvl="1">
      <w:lvlJc w:val="left"/>
      <w:lvlText w:val="(%2)"/>
      <w:numFmt w:val="lowerLetter"/>
      <w:start w:val="1"/>
    </w:lvl>
  </w:abstractNum>
  <w:abstractNum w:abstractNumId="53">
    <w:nsid w:val="168E121F"/>
    <w:multiLevelType w:val="hybridMultilevel"/>
    <w:lvl w:ilvl="0">
      <w:lvlJc w:val="left"/>
      <w:lvlText w:val="(%1)"/>
      <w:numFmt w:val="lowerLetter"/>
      <w:start w:val="8"/>
    </w:lvl>
  </w:abstractNum>
  <w:abstractNum w:abstractNumId="54">
    <w:nsid w:val="1EBA5D23"/>
    <w:multiLevelType w:val="hybridMultilevel"/>
    <w:lvl w:ilvl="0">
      <w:lvlJc w:val="left"/>
      <w:lvlText w:val="%1."/>
      <w:numFmt w:val="decimal"/>
      <w:start w:val="1"/>
    </w:lvl>
  </w:abstractNum>
  <w:abstractNum w:abstractNumId="55">
    <w:nsid w:val="661E3F1E"/>
    <w:multiLevelType w:val="hybridMultilevel"/>
    <w:lvl w:ilvl="0">
      <w:lvlJc w:val="left"/>
      <w:lvlText w:val="%1."/>
      <w:numFmt w:val="decimal"/>
      <w:start w:val="2"/>
    </w:lvl>
    <w:lvl w:ilvl="1">
      <w:lvlJc w:val="left"/>
      <w:lvlText w:val="(%2)"/>
      <w:numFmt w:val="lowerLetter"/>
      <w:start w:val="1"/>
    </w:lvl>
  </w:abstractNum>
  <w:abstractNum w:abstractNumId="56">
    <w:nsid w:val="5DC79EA8"/>
    <w:multiLevelType w:val="hybridMultilevel"/>
    <w:lvl w:ilvl="0">
      <w:lvlJc w:val="left"/>
      <w:lvlText w:val="%1"/>
      <w:numFmt w:val="decimal"/>
      <w:start w:val="1"/>
    </w:lvl>
    <w:lvl w:ilvl="1">
      <w:lvlJc w:val="left"/>
      <w:lvlText w:val="(%2)"/>
      <w:numFmt w:val="lowerLetter"/>
      <w:start w:val="2"/>
    </w:lvl>
  </w:abstractNum>
  <w:abstractNum w:abstractNumId="57">
    <w:nsid w:val="540A471C"/>
    <w:multiLevelType w:val="hybridMultilevel"/>
    <w:lvl w:ilvl="0">
      <w:lvlJc w:val="left"/>
      <w:lvlText w:val="%1."/>
      <w:numFmt w:val="decimal"/>
      <w:start w:val="3"/>
    </w:lvl>
    <w:lvl w:ilvl="1">
      <w:lvlJc w:val="left"/>
      <w:lvlText w:val="(%2)"/>
      <w:numFmt w:val="lowerLetter"/>
      <w:start w:val="1"/>
    </w:lvl>
  </w:abstractNum>
  <w:abstractNum w:abstractNumId="58">
    <w:nsid w:val="7BD3EE7B"/>
    <w:multiLevelType w:val="hybridMultilevel"/>
    <w:lvl w:ilvl="0">
      <w:lvlJc w:val="left"/>
      <w:lvlText w:val="%1."/>
      <w:numFmt w:val="decimal"/>
      <w:start w:val="5"/>
    </w:lvl>
  </w:abstractNum>
  <w:abstractNum w:abstractNumId="59">
    <w:nsid w:val="51D9C564"/>
    <w:multiLevelType w:val="hybridMultilevel"/>
    <w:lvl w:ilvl="0">
      <w:lvlJc w:val="left"/>
      <w:lvlText w:val="%1."/>
      <w:numFmt w:val="decimal"/>
      <w:start w:val="6"/>
    </w:lvl>
    <w:lvl w:ilvl="1">
      <w:lvlJc w:val="left"/>
      <w:lvlText w:val="(%2)"/>
      <w:numFmt w:val="lowerLetter"/>
      <w:start w:val="1"/>
    </w:lvl>
  </w:abstractNum>
  <w:abstractNum w:abstractNumId="60">
    <w:nsid w:val="613EFDC5"/>
    <w:multiLevelType w:val="hybridMultilevel"/>
    <w:lvl w:ilvl="0">
      <w:lvlJc w:val="left"/>
      <w:lvlText w:val="%1"/>
      <w:numFmt w:val="decimal"/>
      <w:start w:val="1"/>
    </w:lvl>
    <w:lvl w:ilvl="1">
      <w:lvlJc w:val="left"/>
      <w:lvlText w:val="(%2)"/>
      <w:numFmt w:val="lowerLetter"/>
      <w:start w:val="2"/>
    </w:lvl>
  </w:abstractNum>
  <w:abstractNum w:abstractNumId="61">
    <w:nsid w:val="BF72B14"/>
    <w:multiLevelType w:val="hybridMultilevel"/>
    <w:lvl w:ilvl="0">
      <w:lvlJc w:val="left"/>
      <w:lvlText w:val="%1."/>
      <w:numFmt w:val="decimal"/>
      <w:start w:val="7"/>
    </w:lvl>
    <w:lvl w:ilvl="1">
      <w:lvlJc w:val="left"/>
      <w:lvlText w:val="(%2)"/>
      <w:numFmt w:val="lowerLetter"/>
      <w:start w:val="1"/>
    </w:lvl>
  </w:abstractNum>
  <w:abstractNum w:abstractNumId="62">
    <w:nsid w:val="11447B73"/>
    <w:multiLevelType w:val="hybridMultilevel"/>
    <w:lvl w:ilvl="0">
      <w:lvlJc w:val="left"/>
      <w:lvlText w:val="(%1)"/>
      <w:numFmt w:val="lowerLetter"/>
      <w:start w:val="5"/>
    </w:lvl>
  </w:abstractNum>
  <w:abstractNum w:abstractNumId="63">
    <w:nsid w:val="42963E5A"/>
    <w:multiLevelType w:val="hybridMultilevel"/>
    <w:lvl w:ilvl="0">
      <w:lvlJc w:val="left"/>
      <w:lvlText w:val="•"/>
      <w:numFmt w:val="bullet"/>
      <w:start w:val="1"/>
    </w:lvl>
  </w:abstractNum>
  <w:abstractNum w:abstractNumId="64">
    <w:nsid w:val="A0382C5"/>
    <w:multiLevelType w:val="hybridMultilevel"/>
    <w:lvl w:ilvl="0">
      <w:lvlJc w:val="left"/>
      <w:lvlText w:val="•"/>
      <w:numFmt w:val="bullet"/>
      <w:start w:val="1"/>
    </w:lvl>
  </w:abstractNum>
  <w:abstractNum w:abstractNumId="65">
    <w:nsid w:val="8F2B15E"/>
    <w:multiLevelType w:val="hybridMultilevel"/>
    <w:lvl w:ilvl="0">
      <w:lvlJc w:val="left"/>
      <w:lvlText w:val="•"/>
      <w:numFmt w:val="bullet"/>
      <w:start w:val="1"/>
    </w:lvl>
  </w:abstractNum>
  <w:abstractNum w:abstractNumId="66">
    <w:nsid w:val="1A32234B"/>
    <w:multiLevelType w:val="hybridMultilevel"/>
    <w:lvl w:ilvl="0">
      <w:lvlJc w:val="left"/>
      <w:lvlText w:val="(%1)"/>
      <w:numFmt w:val="decimal"/>
      <w:start w:val="1"/>
    </w:lvl>
  </w:abstractNum>
  <w:abstractNum w:abstractNumId="67">
    <w:nsid w:val="3B0FD379"/>
    <w:multiLevelType w:val="hybridMultilevel"/>
    <w:lvl w:ilvl="0">
      <w:lvlJc w:val="left"/>
      <w:lvlText w:val="(%1)"/>
      <w:numFmt w:val="decimal"/>
      <w:start w:val="5"/>
    </w:lvl>
  </w:abstractNum>
  <w:abstractNum w:abstractNumId="68">
    <w:nsid w:val="68EB2F63"/>
    <w:multiLevelType w:val="hybridMultilevel"/>
    <w:lvl w:ilvl="0">
      <w:lvlJc w:val="left"/>
      <w:lvlText w:val="1"/>
      <w:numFmt w:val="bullet"/>
      <w:start w:val="1"/>
    </w:lvl>
  </w:abstractNum>
  <w:abstractNum w:abstractNumId="69">
    <w:nsid w:val="4962813B"/>
    <w:multiLevelType w:val="hybridMultilevel"/>
    <w:lvl w:ilvl="0">
      <w:lvlJc w:val="left"/>
      <w:lvlText w:val="(%1)"/>
      <w:numFmt w:val="decimal"/>
      <w:start w:val="1"/>
    </w:lvl>
  </w:abstractNum>
  <w:abstractNum w:abstractNumId="70">
    <w:nsid w:val="60B6DF70"/>
    <w:multiLevelType w:val="hybridMultilevel"/>
    <w:lvl w:ilvl="0">
      <w:lvlJc w:val="left"/>
      <w:lvlText w:val="(%1)"/>
      <w:numFmt w:val="decimal"/>
      <w:start w:val="1"/>
    </w:lvl>
  </w:abstractNum>
  <w:abstractNum w:abstractNumId="71">
    <w:nsid w:val="6A5EE64"/>
    <w:multiLevelType w:val="hybridMultilevel"/>
    <w:lvl w:ilvl="0">
      <w:lvlJc w:val="left"/>
      <w:lvlText w:val="•"/>
      <w:numFmt w:val="bullet"/>
      <w:start w:val="1"/>
    </w:lvl>
  </w:abstractNum>
  <w:abstractNum w:abstractNumId="72">
    <w:nsid w:val="14330624"/>
    <w:multiLevelType w:val="hybridMultilevel"/>
    <w:lvl w:ilvl="0">
      <w:lvlJc w:val="left"/>
      <w:lvlText w:val="•"/>
      <w:numFmt w:val="bullet"/>
      <w:start w:val="1"/>
    </w:lvl>
  </w:abstractNum>
  <w:abstractNum w:abstractNumId="73">
    <w:nsid w:val="7FFFCA11"/>
    <w:multiLevelType w:val="hybridMultilevel"/>
    <w:lvl w:ilvl="0">
      <w:lvlJc w:val="left"/>
      <w:lvlText w:val="(%1)"/>
      <w:numFmt w:val="decimal"/>
      <w:start w:val="1"/>
    </w:lvl>
  </w:abstractNum>
  <w:abstractNum w:abstractNumId="74">
    <w:nsid w:val="1A27709E"/>
    <w:multiLevelType w:val="hybridMultilevel"/>
    <w:lvl w:ilvl="0">
      <w:lvlJc w:val="left"/>
      <w:lvlText w:val="(%1)"/>
      <w:numFmt w:val="decimal"/>
      <w:start w:val="5"/>
    </w:lvl>
  </w:abstractNum>
  <w:abstractNum w:abstractNumId="75">
    <w:nsid w:val="71EA1109"/>
    <w:multiLevelType w:val="hybridMultilevel"/>
    <w:lvl w:ilvl="0">
      <w:lvlJc w:val="left"/>
      <w:lvlText w:val="(%1)"/>
      <w:numFmt w:val="decimal"/>
      <w:start w:val="121"/>
    </w:lvl>
  </w:abstractNum>
  <w:abstractNum w:abstractNumId="76">
    <w:nsid w:val="100F59DC"/>
    <w:multiLevelType w:val="hybridMultilevel"/>
    <w:lvl w:ilvl="0">
      <w:lvlJc w:val="left"/>
      <w:lvlText w:val="(%1)"/>
      <w:numFmt w:val="decimal"/>
      <w:start w:val="6"/>
    </w:lvl>
  </w:abstractNum>
  <w:abstractNum w:abstractNumId="77">
    <w:nsid w:val="7FB7E0AA"/>
    <w:multiLevelType w:val="hybridMultilevel"/>
    <w:lvl w:ilvl="0">
      <w:lvlJc w:val="left"/>
      <w:lvlText w:val="(%1)"/>
      <w:numFmt w:val="decimal"/>
      <w:start w:val="1"/>
    </w:lvl>
  </w:abstractNum>
  <w:abstractNum w:abstractNumId="78">
    <w:nsid w:val="6EB5BD4"/>
    <w:multiLevelType w:val="hybridMultilevel"/>
    <w:lvl w:ilvl="0">
      <w:lvlJc w:val="left"/>
      <w:lvlText w:val="(%1)"/>
      <w:numFmt w:val="decimal"/>
      <w:start w:val="5"/>
    </w:lvl>
  </w:abstractNum>
  <w:abstractNum w:abstractNumId="79">
    <w:nsid w:val="6F6DD9AC"/>
    <w:multiLevelType w:val="hybridMultilevel"/>
    <w:lvl w:ilvl="0">
      <w:lvlJc w:val="left"/>
      <w:lvlText w:val="(%1)"/>
      <w:numFmt w:val="decimal"/>
      <w:start w:val="1"/>
    </w:lvl>
  </w:abstractNum>
  <w:abstractNum w:abstractNumId="80">
    <w:nsid w:val="94211F2"/>
    <w:multiLevelType w:val="hybridMultilevel"/>
    <w:lvl w:ilvl="0">
      <w:lvlJc w:val="left"/>
      <w:lvlText w:val="%1."/>
      <w:numFmt w:val="decimal"/>
      <w:start w:val="1"/>
    </w:lvl>
    <w:lvl w:ilvl="1">
      <w:lvlJc w:val="left"/>
      <w:lvlText w:val="%2)"/>
      <w:numFmt w:val="lowerLetter"/>
      <w:start w:val="1"/>
    </w:lvl>
  </w:abstractNum>
  <w:abstractNum w:abstractNumId="81">
    <w:nsid w:val="885E1B"/>
    <w:multiLevelType w:val="hybridMultilevel"/>
    <w:lvl w:ilvl="0">
      <w:lvlJc w:val="left"/>
      <w:lvlText w:val="%1."/>
      <w:numFmt w:val="decimal"/>
      <w:start w:val="1"/>
    </w:lvl>
    <w:lvl w:ilvl="1">
      <w:lvlJc w:val="left"/>
      <w:lvlText w:val="%2)"/>
      <w:numFmt w:val="lowerLetter"/>
      <w:start w:val="1"/>
    </w:lvl>
  </w:abstractNum>
  <w:abstractNum w:abstractNumId="82">
    <w:nsid w:val="76272110"/>
    <w:multiLevelType w:val="hybridMultilevel"/>
    <w:lvl w:ilvl="0">
      <w:lvlJc w:val="left"/>
      <w:lvlText w:val="(%1)"/>
      <w:numFmt w:val="decimal"/>
      <w:start w:val="1"/>
    </w:lvl>
  </w:abstractNum>
  <w:abstractNum w:abstractNumId="83">
    <w:nsid w:val="4C04A8AF"/>
    <w:multiLevelType w:val="hybridMultilevel"/>
    <w:lvl w:ilvl="0">
      <w:lvlJc w:val="left"/>
      <w:lvlText w:val="(%1)"/>
      <w:numFmt w:val="decimal"/>
      <w:start w:val="1"/>
    </w:lvl>
  </w:abstractNum>
  <w:abstractNum w:abstractNumId="84">
    <w:nsid w:val="1716703B"/>
    <w:multiLevelType w:val="hybridMultilevel"/>
    <w:lvl w:ilvl="0">
      <w:lvlJc w:val="left"/>
      <w:lvlText w:val="%1."/>
      <w:numFmt w:val="decimal"/>
      <w:start w:val="1"/>
    </w:lvl>
    <w:lvl w:ilvl="1">
      <w:lvlJc w:val="left"/>
      <w:lvlText w:val="(%2)"/>
      <w:numFmt w:val="lowerLetter"/>
      <w:start w:val="1"/>
    </w:lvl>
  </w:abstractNum>
  <w:abstractNum w:abstractNumId="85">
    <w:nsid w:val="14E17E33"/>
    <w:multiLevelType w:val="hybridMultilevel"/>
    <w:lvl w:ilvl="0">
      <w:lvlJc w:val="left"/>
      <w:lvlText w:val="%1"/>
      <w:numFmt w:val="upperLetter"/>
      <w:start w:val="1"/>
    </w:lvl>
    <w:lvl w:ilvl="1">
      <w:lvlJc w:val="left"/>
      <w:lvlText w:val="(%2)"/>
      <w:numFmt w:val="lowerLetter"/>
      <w:start w:val="5"/>
    </w:lvl>
  </w:abstractNum>
  <w:abstractNum w:abstractNumId="86">
    <w:nsid w:val="3222E7CD"/>
    <w:multiLevelType w:val="hybridMultilevel"/>
    <w:lvl w:ilvl="0">
      <w:lvlJc w:val="left"/>
      <w:lvlText w:val="(%1)"/>
      <w:numFmt w:val="upperLetter"/>
      <w:start w:val="2"/>
    </w:lvl>
    <w:lvl w:ilvl="1">
      <w:lvlJc w:val="left"/>
      <w:lvlText w:val="%2"/>
      <w:numFmt w:val="lowerLetter"/>
      <w:start w:val="1"/>
    </w:lvl>
  </w:abstractNum>
  <w:abstractNum w:abstractNumId="87">
    <w:nsid w:val="74DE0EE3"/>
    <w:multiLevelType w:val="hybridMultilevel"/>
    <w:lvl w:ilvl="0">
      <w:lvlJc w:val="left"/>
      <w:lvlText w:val="%1."/>
      <w:numFmt w:val="decimal"/>
      <w:start w:val="2"/>
    </w:lvl>
    <w:lvl w:ilvl="1">
      <w:lvlJc w:val="left"/>
      <w:lvlText w:val="(%2)"/>
      <w:numFmt w:val="lowerLetter"/>
      <w:start w:val="1"/>
    </w:lvl>
  </w:abstractNum>
  <w:abstractNum w:abstractNumId="88">
    <w:nsid w:val="68EBC550"/>
    <w:multiLevelType w:val="hybridMultilevel"/>
    <w:lvl w:ilvl="0">
      <w:lvlJc w:val="left"/>
      <w:lvlText w:val="%1"/>
      <w:numFmt w:val="decimal"/>
      <w:start w:val="1"/>
    </w:lvl>
    <w:lvl w:ilvl="1">
      <w:lvlJc w:val="left"/>
      <w:lvlText w:val="(%2)"/>
      <w:numFmt w:val="lowerLetter"/>
      <w:start w:val="3"/>
    </w:lvl>
  </w:abstractNum>
  <w:abstractNum w:abstractNumId="89">
    <w:nsid w:val="2DF6D648"/>
    <w:multiLevelType w:val="hybridMultilevel"/>
    <w:lvl w:ilvl="0">
      <w:lvlJc w:val="left"/>
      <w:lvlText w:val="%1."/>
      <w:numFmt w:val="decimal"/>
      <w:start w:val="3"/>
    </w:lvl>
    <w:lvl w:ilvl="1">
      <w:lvlJc w:val="left"/>
      <w:lvlText w:val="(%2)"/>
      <w:numFmt w:val="lowerLetter"/>
      <w:start w:val="1"/>
    </w:lvl>
  </w:abstractNum>
  <w:abstractNum w:abstractNumId="90">
    <w:nsid w:val="46B7D447"/>
    <w:multiLevelType w:val="hybridMultilevel"/>
    <w:lvl w:ilvl="0">
      <w:lvlJc w:val="left"/>
      <w:lvlText w:val="(%1)"/>
      <w:numFmt w:val="lowerLetter"/>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99" Type="http://schemas.openxmlformats.org/officeDocument/2006/relationships/image" Target="media/image74.png"/><Relationship Id="rId108" Type="http://schemas.openxmlformats.org/officeDocument/2006/relationships/image" Target="media/image75.png"/><Relationship Id="rId109" Type="http://schemas.openxmlformats.org/officeDocument/2006/relationships/image" Target="media/image76.png"/><Relationship Id="rId110" Type="http://schemas.openxmlformats.org/officeDocument/2006/relationships/image" Target="media/image77.png"/><Relationship Id="rId111" Type="http://schemas.openxmlformats.org/officeDocument/2006/relationships/image" Target="media/image78.png"/><Relationship Id="rId112" Type="http://schemas.openxmlformats.org/officeDocument/2006/relationships/image" Target="media/image79.png"/><Relationship Id="rId113" Type="http://schemas.openxmlformats.org/officeDocument/2006/relationships/image" Target="media/image80.png"/><Relationship Id="rId114" Type="http://schemas.openxmlformats.org/officeDocument/2006/relationships/image" Target="media/image81.png"/><Relationship Id="rId115" Type="http://schemas.openxmlformats.org/officeDocument/2006/relationships/image" Target="media/image82.png"/><Relationship Id="rId116" Type="http://schemas.openxmlformats.org/officeDocument/2006/relationships/image" Target="media/image83.png"/><Relationship Id="rId117" Type="http://schemas.openxmlformats.org/officeDocument/2006/relationships/image" Target="media/image84.png"/><Relationship Id="rId118" Type="http://schemas.openxmlformats.org/officeDocument/2006/relationships/image" Target="media/image85.png"/><Relationship Id="rId119" Type="http://schemas.openxmlformats.org/officeDocument/2006/relationships/image" Target="media/image86.png"/><Relationship Id="rId120" Type="http://schemas.openxmlformats.org/officeDocument/2006/relationships/image" Target="media/image87.png"/><Relationship Id="rId121" Type="http://schemas.openxmlformats.org/officeDocument/2006/relationships/image" Target="media/image88.png"/><Relationship Id="rId122" Type="http://schemas.openxmlformats.org/officeDocument/2006/relationships/image" Target="media/image89.png"/><Relationship Id="rId123" Type="http://schemas.openxmlformats.org/officeDocument/2006/relationships/image" Target="media/image90.png"/><Relationship Id="rId124" Type="http://schemas.openxmlformats.org/officeDocument/2006/relationships/image" Target="media/image91.png"/><Relationship Id="rId125" Type="http://schemas.openxmlformats.org/officeDocument/2006/relationships/image" Target="media/image92.png"/><Relationship Id="rId126" Type="http://schemas.openxmlformats.org/officeDocument/2006/relationships/image" Target="media/image93.jpeg"/><Relationship Id="rId127" Type="http://schemas.openxmlformats.org/officeDocument/2006/relationships/image" Target="media/image94.png"/><Relationship Id="rId128" Type="http://schemas.openxmlformats.org/officeDocument/2006/relationships/image" Target="media/image95.png"/><Relationship Id="rId129" Type="http://schemas.openxmlformats.org/officeDocument/2006/relationships/image" Target="media/image96.png"/><Relationship Id="rId130" Type="http://schemas.openxmlformats.org/officeDocument/2006/relationships/image" Target="media/image97.png"/><Relationship Id="rId131" Type="http://schemas.openxmlformats.org/officeDocument/2006/relationships/image" Target="media/image98.png"/><Relationship Id="rId81" Type="http://schemas.openxmlformats.org/officeDocument/2006/relationships/hyperlink" Target="https://www.sec.gov/Archives/edgar/data/0000004127/000110465921053805/tm2113063d1_ex2-1.htm" TargetMode="External"/><Relationship Id="rId82" Type="http://schemas.openxmlformats.org/officeDocument/2006/relationships/hyperlink" Target="https://www.sec.gov/Archives/edgar/data/4127/000000412723000025/a31_restatedcertificateofi.htm" TargetMode="External"/><Relationship Id="rId83" Type="http://schemas.openxmlformats.org/officeDocument/2006/relationships/hyperlink" Target="https://www.sec.gov/Archives/edgar/data/4127/000000412723000016/exhibit31fourthamendmentan.htm" TargetMode="External"/><Relationship Id="rId84" Type="http://schemas.openxmlformats.org/officeDocument/2006/relationships/hyperlink" Target="http://www.sec.gov/Archives/edgar/data/4127/000095013502003322/b43499ssexv4.txt" TargetMode="External"/><Relationship Id="rId85" Type="http://schemas.openxmlformats.org/officeDocument/2006/relationships/hyperlink" Target="https://www.sec.gov/Archives/edgar/data/4127/000000412719000049/fy1910k92719ex42.htm" TargetMode="External"/><Relationship Id="rId86" Type="http://schemas.openxmlformats.org/officeDocument/2006/relationships/hyperlink" Target="https://www.sec.gov/Archives/edgar/data/0000004127/000110465921072130/tm2115447d6_ex4-1.htm" TargetMode="External"/><Relationship Id="rId87" Type="http://schemas.openxmlformats.org/officeDocument/2006/relationships/hyperlink" Target="https://www.sec.gov/Archives/edgar/data/0000004127/000110465921072130/tm2115447d6_ex4-2.htm" TargetMode="External"/><Relationship Id="rId88" Type="http://schemas.openxmlformats.org/officeDocument/2006/relationships/hyperlink" Target="https://www.sec.gov/Archives/edgar/data/0000004127/000110465921072130/tm2115447d6_ex4-3.htm" TargetMode="External"/><Relationship Id="rId89" Type="http://schemas.openxmlformats.org/officeDocument/2006/relationships/hyperlink" Target="https://www.sec.gov/Archives/edgar/data/0000004127/000110465921072130/tm2115447d6_ex4-4.htm" TargetMode="External"/><Relationship Id="rId90" Type="http://schemas.openxmlformats.org/officeDocument/2006/relationships/hyperlink" Target="https://www.sec.gov/Archives/edgar/data/4127/000000412724000070/exhibit102-amendmenttoespp.htm" TargetMode="External"/><Relationship Id="rId91" Type="http://schemas.openxmlformats.org/officeDocument/2006/relationships/hyperlink" Target="https://www.sec.gov/Archives/edgar/data/4127/000000412724000070/exhibit103-amendmenttonqes.htm" TargetMode="External"/><Relationship Id="rId92" Type="http://schemas.openxmlformats.org/officeDocument/2006/relationships/hyperlink" Target="https://www.sec.gov/Archives/edgar/data/4127/000000412722000015/q222exhibit101-2008dltip.htm" TargetMode="External"/><Relationship Id="rId93" Type="http://schemas.openxmlformats.org/officeDocument/2006/relationships/hyperlink" Target="http://www.sec.gov/Archives/edgar/data/4127/000089256908000778/a40452exv10woo.htm" TargetMode="External"/><Relationship Id="rId94" Type="http://schemas.openxmlformats.org/officeDocument/2006/relationships/hyperlink" Target="http://www.sec.gov/Archives/edgar/data/4127/000000412716000049/ex1022008dltiprsuagreement.htm" TargetMode="External"/><Relationship Id="rId95" Type="http://schemas.openxmlformats.org/officeDocument/2006/relationships/hyperlink" Target="https://www.sec.gov/ix?doc=/Archives/edgar/data/4127/000110465924040560/tm242679-d5_def14a.htm" TargetMode="External"/><Relationship Id="rId96" Type="http://schemas.openxmlformats.org/officeDocument/2006/relationships/hyperlink" Target="https://www.sec.gov/Archives/edgar/data/4127/000000412724000007/fy24eipv1redacted-ex101.htm" TargetMode="External"/><Relationship Id="rId97" Type="http://schemas.openxmlformats.org/officeDocument/2006/relationships/hyperlink" Target="https://www.sec.gov/Archives/edgar/data/4127/000000412724000019/exhibit101-directorcashcom.htm" TargetMode="External"/><Relationship Id="rId98" Type="http://schemas.openxmlformats.org/officeDocument/2006/relationships/hyperlink" Target="https://www.sec.gov/Archives/edgar/data/4127/000000412723000025/a101cicagreementgriffin.htm" TargetMode="External"/><Relationship Id="rId100" Type="http://schemas.openxmlformats.org/officeDocument/2006/relationships/hyperlink" Target="https://www.sec.gov/Archives/edgar/data/4127/000000412723000025/a102cicagreementsennesael.htm" TargetMode="External"/><Relationship Id="rId101" Type="http://schemas.openxmlformats.org/officeDocument/2006/relationships/hyperlink" Target="https://www.sec.gov/Archives/edgar/data/4127/000000412723000025/a103cicagreementterry.htm" TargetMode="External"/><Relationship Id="rId102" Type="http://schemas.openxmlformats.org/officeDocument/2006/relationships/hyperlink" Target="https://www.sec.gov/Archives/edgar/data/4127/000000412723000025/a104cicagreementbori.htm" TargetMode="External"/><Relationship Id="rId103" Type="http://schemas.openxmlformats.org/officeDocument/2006/relationships/hyperlink" Target="https://www.sec.gov/Archives/edgar/data/4127/000000412723000025/a105cicagreementdurham.htm" TargetMode="External"/><Relationship Id="rId104" Type="http://schemas.openxmlformats.org/officeDocument/2006/relationships/hyperlink" Target="https://www.sec.gov/Archives/edgar/data/4127/000000412723000025/a106cicagreementkasnavi.htm" TargetMode="External"/><Relationship Id="rId105" Type="http://schemas.openxmlformats.org/officeDocument/2006/relationships/hyperlink" Target="https://www.sec.gov/Archives/edgar/data/4127/000110465921053805/tm2113063d1_ex10-1.htm" TargetMode="External"/><Relationship Id="rId106" Type="http://schemas.openxmlformats.org/officeDocument/2006/relationships/hyperlink" Target="https://www.sec.gov/Archives/edgar/data/4127/000110465921072130/tm2115447d6_ex10-2.htm" TargetMode="External"/><Relationship Id="rId107" Type="http://schemas.openxmlformats.org/officeDocument/2006/relationships/hyperlink" Target="https://www.sec.gov/Archives/edgar/data/4127/000000412723000012/exhibit102swksfirstamendme.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2024-11-15T15:52:31Z</dcterms:created>
  <dcterms:modified xsi:type="dcterms:W3CDTF">2024-11-15T15:52:31Z</dcterms:modified>
</cp:coreProperties>
</file>