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10-K/A</w:t>
      </w:r>
    </w:p>
    <w:p>
      <w:pPr>
        <w:spacing w:after="0" w:line="8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391" w:lineRule="exact"/>
        <w:rPr>
          <w:sz w:val="24"/>
          <w:szCs w:val="24"/>
          <w:color w:val="auto"/>
        </w:rPr>
      </w:pPr>
    </w:p>
    <w:p>
      <w:pPr>
        <w:ind w:left="600" w:hanging="574"/>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fiscal year ended September 29, 2023</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8" w:lineRule="exact"/>
        <w:rPr>
          <w:sz w:val="24"/>
          <w:szCs w:val="24"/>
          <w:color w:val="auto"/>
        </w:rPr>
      </w:pPr>
    </w:p>
    <w:p>
      <w:pPr>
        <w:ind w:left="600" w:hanging="574"/>
        <w:spacing w:after="0"/>
        <w:tabs>
          <w:tab w:leader="none" w:pos="6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__________to__________</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001-05560</w:t>
      </w:r>
    </w:p>
    <w:p>
      <w:pPr>
        <w:spacing w:after="0" w:line="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Skyworks Solutions, Inc.</w:t>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07" w:lineRule="exact"/>
        <w:rPr>
          <w:sz w:val="24"/>
          <w:szCs w:val="24"/>
          <w:color w:val="auto"/>
        </w:rPr>
      </w:pPr>
    </w:p>
    <w:tbl>
      <w:tblPr>
        <w:tblLayout w:type="fixed"/>
        <w:tblInd w:w="400" w:type="dxa"/>
        <w:tblCellMar>
          <w:top w:w="0" w:type="dxa"/>
          <w:left w:w="0" w:type="dxa"/>
          <w:bottom w:w="0" w:type="dxa"/>
          <w:right w:w="0" w:type="dxa"/>
        </w:tblCellMar>
      </w:tblPr>
      <w:tr>
        <w:trPr>
          <w:trHeight w:val="236"/>
        </w:trPr>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360" w:type="dxa"/>
            <w:vAlign w:val="bottom"/>
          </w:tcPr>
          <w:p>
            <w:pPr>
              <w:jc w:val="center"/>
              <w:ind w:right="377"/>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80" w:type="dxa"/>
            <w:vAlign w:val="bottom"/>
          </w:tcPr>
          <w:p>
            <w:pPr>
              <w:spacing w:after="0"/>
              <w:rPr>
                <w:sz w:val="20"/>
                <w:szCs w:val="20"/>
                <w:color w:val="auto"/>
              </w:rPr>
            </w:pPr>
          </w:p>
        </w:tc>
        <w:tc>
          <w:tcPr>
            <w:tcW w:w="3480" w:type="dxa"/>
            <w:vAlign w:val="bottom"/>
          </w:tcPr>
          <w:p>
            <w:pPr>
              <w:jc w:val="right"/>
              <w:ind w:right="1539"/>
              <w:spacing w:after="0"/>
              <w:rPr>
                <w:sz w:val="20"/>
                <w:szCs w:val="20"/>
                <w:color w:val="auto"/>
              </w:rPr>
            </w:pPr>
            <w:r>
              <w:rPr>
                <w:rFonts w:ascii="Times New Roman" w:cs="Times New Roman" w:eastAsia="Times New Roman" w:hAnsi="Times New Roman"/>
                <w:sz w:val="18"/>
                <w:szCs w:val="18"/>
                <w:b w:val="1"/>
                <w:bCs w:val="1"/>
                <w:color w:val="auto"/>
              </w:rPr>
              <w:t>04-2302115</w:t>
            </w:r>
          </w:p>
        </w:tc>
      </w:tr>
      <w:tr>
        <w:trPr>
          <w:trHeight w:val="212"/>
        </w:trPr>
        <w:tc>
          <w:tcPr>
            <w:tcW w:w="700" w:type="dxa"/>
            <w:vAlign w:val="bottom"/>
          </w:tcPr>
          <w:p>
            <w:pPr>
              <w:spacing w:after="0"/>
              <w:rPr>
                <w:sz w:val="18"/>
                <w:szCs w:val="18"/>
                <w:color w:val="auto"/>
              </w:rPr>
            </w:pPr>
          </w:p>
        </w:tc>
        <w:tc>
          <w:tcPr>
            <w:tcW w:w="5560" w:type="dxa"/>
            <w:vAlign w:val="bottom"/>
            <w:gridSpan w:val="3"/>
          </w:tcPr>
          <w:p>
            <w:pPr>
              <w:jc w:val="center"/>
              <w:ind w:right="1339"/>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 or organization)</w:t>
            </w:r>
          </w:p>
        </w:tc>
        <w:tc>
          <w:tcPr>
            <w:tcW w:w="3480" w:type="dxa"/>
            <w:vAlign w:val="bottom"/>
          </w:tcPr>
          <w:p>
            <w:pPr>
              <w:jc w:val="center"/>
              <w:ind w:right="559"/>
              <w:spacing w:after="0"/>
              <w:rPr>
                <w:sz w:val="20"/>
                <w:szCs w:val="20"/>
                <w:color w:val="auto"/>
              </w:rPr>
            </w:pPr>
            <w:r>
              <w:rPr>
                <w:rFonts w:ascii="Times New Roman" w:cs="Times New Roman" w:eastAsia="Times New Roman" w:hAnsi="Times New Roman"/>
                <w:sz w:val="16"/>
                <w:szCs w:val="16"/>
                <w:i w:val="1"/>
                <w:iCs w:val="1"/>
                <w:color w:val="auto"/>
              </w:rPr>
              <w:t>(I.R.S. Employer Identification No.)</w:t>
            </w:r>
          </w:p>
        </w:tc>
      </w:tr>
      <w:tr>
        <w:trPr>
          <w:trHeight w:val="355"/>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5260 California Avenue</w:t>
            </w:r>
          </w:p>
        </w:tc>
        <w:tc>
          <w:tcPr>
            <w:tcW w:w="236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Irvine</w:t>
            </w:r>
          </w:p>
        </w:tc>
        <w:tc>
          <w:tcPr>
            <w:tcW w:w="2080" w:type="dxa"/>
            <w:vAlign w:val="bottom"/>
          </w:tcPr>
          <w:p>
            <w:pPr>
              <w:jc w:val="right"/>
              <w:ind w:right="1079"/>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3480" w:type="dxa"/>
            <w:vAlign w:val="bottom"/>
          </w:tcPr>
          <w:p>
            <w:pPr>
              <w:jc w:val="right"/>
              <w:ind w:right="1419"/>
              <w:spacing w:after="0"/>
              <w:rPr>
                <w:sz w:val="20"/>
                <w:szCs w:val="20"/>
                <w:color w:val="auto"/>
              </w:rPr>
            </w:pPr>
            <w:r>
              <w:rPr>
                <w:rFonts w:ascii="Times New Roman" w:cs="Times New Roman" w:eastAsia="Times New Roman" w:hAnsi="Times New Roman"/>
                <w:sz w:val="18"/>
                <w:szCs w:val="18"/>
                <w:b w:val="1"/>
                <w:bCs w:val="1"/>
                <w:color w:val="auto"/>
              </w:rPr>
              <w:t>92617</w:t>
            </w:r>
          </w:p>
        </w:tc>
      </w:tr>
      <w:tr>
        <w:trPr>
          <w:trHeight w:val="212"/>
        </w:trPr>
        <w:tc>
          <w:tcPr>
            <w:tcW w:w="700" w:type="dxa"/>
            <w:vAlign w:val="bottom"/>
          </w:tcPr>
          <w:p>
            <w:pPr>
              <w:spacing w:after="0"/>
              <w:rPr>
                <w:sz w:val="18"/>
                <w:szCs w:val="18"/>
                <w:color w:val="auto"/>
              </w:rPr>
            </w:pPr>
          </w:p>
        </w:tc>
        <w:tc>
          <w:tcPr>
            <w:tcW w:w="3480" w:type="dxa"/>
            <w:vAlign w:val="bottom"/>
            <w:gridSpan w:val="2"/>
          </w:tcPr>
          <w:p>
            <w:pPr>
              <w:jc w:val="center"/>
              <w:ind w:left="602"/>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2080" w:type="dxa"/>
            <w:vAlign w:val="bottom"/>
          </w:tcPr>
          <w:p>
            <w:pPr>
              <w:spacing w:after="0"/>
              <w:rPr>
                <w:sz w:val="18"/>
                <w:szCs w:val="18"/>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350"/>
        </w:trPr>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80" w:type="dxa"/>
            <w:vAlign w:val="bottom"/>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(949) 231-3000</w:t>
            </w:r>
          </w:p>
        </w:tc>
        <w:tc>
          <w:tcPr>
            <w:tcW w:w="3480" w:type="dxa"/>
            <w:vAlign w:val="bottom"/>
          </w:tcPr>
          <w:p>
            <w:pPr>
              <w:spacing w:after="0"/>
              <w:rPr>
                <w:sz w:val="24"/>
                <w:szCs w:val="24"/>
                <w:color w:val="auto"/>
              </w:rPr>
            </w:pPr>
          </w:p>
        </w:tc>
      </w:tr>
      <w:tr>
        <w:trPr>
          <w:trHeight w:val="236"/>
        </w:trPr>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920" w:type="dxa"/>
            <w:vAlign w:val="bottom"/>
            <w:gridSpan w:val="3"/>
          </w:tcPr>
          <w:p>
            <w:pPr>
              <w:jc w:val="center"/>
              <w:ind w:right="1019"/>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r>
      <w:tr>
        <w:trPr>
          <w:trHeight w:val="489"/>
        </w:trPr>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920" w:type="dxa"/>
            <w:vAlign w:val="bottom"/>
            <w:gridSpan w:val="3"/>
          </w:tcPr>
          <w:p>
            <w:pPr>
              <w:jc w:val="center"/>
              <w:ind w:right="103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270"/>
        </w:trPr>
        <w:tc>
          <w:tcPr>
            <w:tcW w:w="7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360" w:type="dxa"/>
            <w:vAlign w:val="bottom"/>
          </w:tcPr>
          <w:p>
            <w:pPr>
              <w:jc w:val="center"/>
              <w:ind w:right="1157"/>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80" w:type="dxa"/>
            <w:vAlign w:val="bottom"/>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80" w:type="dxa"/>
            <w:vAlign w:val="bottom"/>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700" w:type="dxa"/>
            <w:vAlign w:val="bottom"/>
          </w:tcPr>
          <w:p>
            <w:pPr>
              <w:spacing w:after="0"/>
              <w:rPr>
                <w:sz w:val="2"/>
                <w:szCs w:val="2"/>
                <w:color w:val="auto"/>
              </w:rPr>
            </w:pPr>
          </w:p>
        </w:tc>
        <w:tc>
          <w:tcPr>
            <w:tcW w:w="3480" w:type="dxa"/>
            <w:vAlign w:val="bottom"/>
            <w:tcBorders>
              <w:bottom w:val="single" w:sz="8" w:color="auto"/>
            </w:tcBorders>
            <w:gridSpan w:val="2"/>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r>
      <w:tr>
        <w:trPr>
          <w:trHeight w:val="213"/>
        </w:trPr>
        <w:tc>
          <w:tcPr>
            <w:tcW w:w="700" w:type="dxa"/>
            <w:vAlign w:val="bottom"/>
          </w:tcPr>
          <w:p>
            <w:pPr>
              <w:spacing w:after="0"/>
              <w:rPr>
                <w:sz w:val="18"/>
                <w:szCs w:val="18"/>
                <w:color w:val="auto"/>
              </w:rPr>
            </w:pPr>
          </w:p>
        </w:tc>
        <w:tc>
          <w:tcPr>
            <w:tcW w:w="3480" w:type="dxa"/>
            <w:vAlign w:val="bottom"/>
            <w:gridSpan w:val="2"/>
          </w:tcPr>
          <w:p>
            <w:pPr>
              <w:jc w:val="center"/>
              <w:ind w:right="17"/>
              <w:spacing w:after="0"/>
              <w:rPr>
                <w:sz w:val="20"/>
                <w:szCs w:val="20"/>
                <w:color w:val="auto"/>
              </w:rPr>
            </w:pPr>
            <w:r>
              <w:rPr>
                <w:rFonts w:ascii="Times New Roman" w:cs="Times New Roman" w:eastAsia="Times New Roman" w:hAnsi="Times New Roman"/>
                <w:sz w:val="14"/>
                <w:szCs w:val="14"/>
                <w:color w:val="auto"/>
              </w:rPr>
              <w:t>Common Stock, par value $0.25 per share</w:t>
            </w:r>
          </w:p>
        </w:tc>
        <w:tc>
          <w:tcPr>
            <w:tcW w:w="2080" w:type="dxa"/>
            <w:vAlign w:val="bottom"/>
          </w:tcPr>
          <w:p>
            <w:pPr>
              <w:jc w:val="center"/>
              <w:ind w:left="359"/>
              <w:spacing w:after="0"/>
              <w:rPr>
                <w:sz w:val="20"/>
                <w:szCs w:val="20"/>
                <w:color w:val="auto"/>
              </w:rPr>
            </w:pPr>
            <w:r>
              <w:rPr>
                <w:rFonts w:ascii="Times New Roman" w:cs="Times New Roman" w:eastAsia="Times New Roman" w:hAnsi="Times New Roman"/>
                <w:sz w:val="14"/>
                <w:szCs w:val="14"/>
                <w:color w:val="auto"/>
              </w:rPr>
              <w:t>SWKS</w:t>
            </w:r>
          </w:p>
        </w:tc>
        <w:tc>
          <w:tcPr>
            <w:tcW w:w="3480" w:type="dxa"/>
            <w:vAlign w:val="bottom"/>
          </w:tcPr>
          <w:p>
            <w:pPr>
              <w:jc w:val="center"/>
              <w:ind w:left="459"/>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3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242" w:lineRule="exact"/>
        <w:rPr>
          <w:sz w:val="24"/>
          <w:szCs w:val="24"/>
          <w:color w:val="auto"/>
        </w:rPr>
      </w:pPr>
    </w:p>
    <w:p>
      <w:pPr>
        <w:ind w:right="3540"/>
        <w:spacing w:after="0" w:line="236"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Indicate by check mark if the registrant is not required to file reports pursuant to Section 13 or 15(d) of the Act.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9" w:lineRule="exact"/>
        <w:rPr>
          <w:sz w:val="24"/>
          <w:szCs w:val="24"/>
          <w:color w:val="auto"/>
        </w:rPr>
      </w:pPr>
    </w:p>
    <w:p>
      <w:pPr>
        <w:ind w:right="18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w:t>
      </w:r>
    </w:p>
    <w:p>
      <w:pPr>
        <w:spacing w:after="0" w:line="20" w:lineRule="exact"/>
        <w:rPr>
          <w:sz w:val="24"/>
          <w:szCs w:val="24"/>
          <w:color w:val="auto"/>
        </w:rPr>
      </w:pPr>
    </w:p>
    <w:p>
      <w:pPr>
        <w:ind w:right="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w:t>
      </w:r>
    </w:p>
    <w:p>
      <w:pPr>
        <w:spacing w:after="0" w:line="7" w:lineRule="exact"/>
        <w:rPr>
          <w:sz w:val="24"/>
          <w:szCs w:val="24"/>
          <w:color w:val="auto"/>
        </w:rPr>
      </w:pPr>
    </w:p>
    <w:p>
      <w:pPr>
        <w:ind w:right="40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p>
      <w:pPr>
        <w:jc w:val="center"/>
        <w:ind w:right="-39"/>
        <w:spacing w:after="0" w:line="161" w:lineRule="exact"/>
        <w:tabs>
          <w:tab w:leader="none" w:pos="320" w:val="left"/>
          <w:tab w:leader="none" w:pos="280" w:val="left"/>
          <w:tab w:leader="none" w:pos="340" w:val="left"/>
          <w:tab w:leader="none" w:pos="12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Emerging growth company</w:t>
      </w:r>
      <w:r>
        <w:rPr>
          <w:rFonts w:ascii="MS PGothic" w:cs="MS PGothic" w:eastAsia="MS PGothic" w:hAnsi="MS PGothic"/>
          <w:sz w:val="14"/>
          <w:szCs w:val="14"/>
          <w:color w:val="auto"/>
        </w:rPr>
        <w:t xml:space="preserve">  ☐</w:t>
      </w:r>
    </w:p>
    <w:p>
      <w:pPr>
        <w:spacing w:after="0" w:line="235" w:lineRule="exact"/>
        <w:rPr>
          <w:sz w:val="24"/>
          <w:szCs w:val="24"/>
          <w:color w:val="auto"/>
        </w:rPr>
      </w:pPr>
    </w:p>
    <w:p>
      <w:pPr>
        <w:ind w:right="520"/>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41" w:lineRule="exact"/>
        <w:rPr>
          <w:sz w:val="24"/>
          <w:szCs w:val="24"/>
          <w:color w:val="auto"/>
        </w:rPr>
      </w:pPr>
    </w:p>
    <w:p>
      <w:pPr>
        <w:ind w:right="2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74" w:lineRule="exact"/>
        <w:rPr>
          <w:sz w:val="24"/>
          <w:szCs w:val="24"/>
          <w:color w:val="auto"/>
        </w:rPr>
      </w:pPr>
    </w:p>
    <w:p>
      <w:pPr>
        <w:ind w:right="80"/>
        <w:spacing w:after="0" w:line="23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74" w:lineRule="exact"/>
        <w:rPr>
          <w:sz w:val="24"/>
          <w:szCs w:val="24"/>
          <w:color w:val="auto"/>
        </w:rPr>
      </w:pPr>
    </w:p>
    <w:p>
      <w:pPr>
        <w:ind w:right="240"/>
        <w:spacing w:after="0" w:line="23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3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65"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of the registrant (based on the closing price of the registrant’s common stock as reported on the Nasdaq Global Select Market on March 31, 2023, the last business day of the registrant’s most recently completed second fiscal quarter) was approximately $18.7 billion. The number of outstanding shares of the registrant’s common stock, par value $0.25 per share, as of January 18, 2024, was 160,225,891.</w:t>
      </w:r>
    </w:p>
    <w:p>
      <w:pPr>
        <w:sectPr>
          <w:pgSz w:w="11900" w:h="16838" w:orient="portrait"/>
          <w:cols w:equalWidth="0" w:num="1">
            <w:col w:w="11200"/>
          </w:cols>
          <w:pgMar w:left="320" w:top="878" w:right="379" w:bottom="1440" w:gutter="0" w:footer="0" w:header="0"/>
        </w:sectPr>
      </w:pPr>
    </w:p>
    <w:p>
      <w:pPr>
        <w:spacing w:after="0" w:line="3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8" w:right="37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This Amendment No. 1 amends the Annual Report on Form 10-K of Skyworks Solutions, Inc. (“Skyworks” or the “Company”), for the year ended September 29, 2023, which was filed with the Securities and Exchange Commission (“SEC”) on November 17, 2023 (the “Original Filing”). The Company is filing this Amendment No. 1 for the sole purpose of providing the information required in Part III of Form 10-K, as the Company’s 2024 Annual Meeting of Stockholders is scheduled for May 14, 2024, and, accordingly, the Company’s Proxy Statement relating to such Annual Meeting will be filed after the date hereof. Except as described above, this Amendment No. 1 does not amend any other information set forth in the Original Filing, and the Company has not updated disclosures included therein to reflect any subsequent events.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Directors and Executive Officers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sets forth for each director and executive officer of the Company his or her position with the Company as of January 18, 2024:</w:t>
      </w:r>
    </w:p>
    <w:p>
      <w:pPr>
        <w:spacing w:after="0" w:line="314"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b w:val="1"/>
          <w:bCs w:val="1"/>
          <w:color w:val="auto"/>
        </w:rPr>
        <w:t>Title</w:t>
      </w:r>
    </w:p>
    <w:p>
      <w:pPr>
        <w:spacing w:after="0" w:line="31"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Liam K. Griffin</w:t>
      </w:r>
      <w:r>
        <w:rPr>
          <w:sz w:val="20"/>
          <w:szCs w:val="20"/>
          <w:color w:val="auto"/>
        </w:rPr>
        <w:tab/>
      </w:r>
      <w:r>
        <w:rPr>
          <w:rFonts w:ascii="Times New Roman" w:cs="Times New Roman" w:eastAsia="Times New Roman" w:hAnsi="Times New Roman"/>
          <w:sz w:val="17"/>
          <w:szCs w:val="17"/>
          <w:color w:val="auto"/>
        </w:rPr>
        <w:t>Chairman of the Board, Chief Executive Officer and President</w:t>
      </w:r>
    </w:p>
    <w:p>
      <w:pPr>
        <w:spacing w:after="0" w:line="23"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Christine King</w:t>
      </w:r>
      <w:r>
        <w:rPr>
          <w:sz w:val="20"/>
          <w:szCs w:val="20"/>
          <w:color w:val="auto"/>
        </w:rPr>
        <w:tab/>
      </w:r>
      <w:r>
        <w:rPr>
          <w:rFonts w:ascii="Times New Roman" w:cs="Times New Roman" w:eastAsia="Times New Roman" w:hAnsi="Times New Roman"/>
          <w:sz w:val="18"/>
          <w:szCs w:val="18"/>
          <w:color w:val="auto"/>
        </w:rPr>
        <w:t>Lead Independent Director</w:t>
      </w:r>
    </w:p>
    <w:p>
      <w:pPr>
        <w:spacing w:after="0" w:line="23"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Alan S. Batey</w:t>
      </w:r>
      <w:r>
        <w:rPr>
          <w:sz w:val="20"/>
          <w:szCs w:val="20"/>
          <w:color w:val="auto"/>
        </w:rPr>
        <w:tab/>
      </w:r>
      <w:r>
        <w:rPr>
          <w:rFonts w:ascii="Times New Roman" w:cs="Times New Roman" w:eastAsia="Times New Roman" w:hAnsi="Times New Roman"/>
          <w:sz w:val="18"/>
          <w:szCs w:val="18"/>
          <w:color w:val="auto"/>
        </w:rPr>
        <w:t>Director</w:t>
      </w:r>
    </w:p>
    <w:p>
      <w:pPr>
        <w:spacing w:after="0" w:line="23"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Kevin L. Beebe</w:t>
      </w:r>
      <w:r>
        <w:rPr>
          <w:sz w:val="20"/>
          <w:szCs w:val="20"/>
          <w:color w:val="auto"/>
        </w:rPr>
        <w:tab/>
      </w:r>
      <w:r>
        <w:rPr>
          <w:rFonts w:ascii="Times New Roman" w:cs="Times New Roman" w:eastAsia="Times New Roman" w:hAnsi="Times New Roman"/>
          <w:sz w:val="18"/>
          <w:szCs w:val="18"/>
          <w:color w:val="auto"/>
        </w:rPr>
        <w:t>Director</w:t>
      </w:r>
    </w:p>
    <w:p>
      <w:pPr>
        <w:spacing w:after="0" w:line="23"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Eric J. Guerin</w:t>
      </w:r>
      <w:r>
        <w:rPr>
          <w:sz w:val="20"/>
          <w:szCs w:val="20"/>
          <w:color w:val="auto"/>
        </w:rPr>
        <w:tab/>
      </w:r>
      <w:r>
        <w:rPr>
          <w:rFonts w:ascii="Times New Roman" w:cs="Times New Roman" w:eastAsia="Times New Roman" w:hAnsi="Times New Roman"/>
          <w:sz w:val="18"/>
          <w:szCs w:val="18"/>
          <w:color w:val="auto"/>
        </w:rPr>
        <w:t>Director</w:t>
      </w:r>
    </w:p>
    <w:p>
      <w:pPr>
        <w:spacing w:after="0" w:line="23"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Suzanne E. McBride</w:t>
      </w:r>
      <w:r>
        <w:rPr>
          <w:sz w:val="20"/>
          <w:szCs w:val="20"/>
          <w:color w:val="auto"/>
        </w:rPr>
        <w:tab/>
      </w:r>
      <w:r>
        <w:rPr>
          <w:rFonts w:ascii="Times New Roman" w:cs="Times New Roman" w:eastAsia="Times New Roman" w:hAnsi="Times New Roman"/>
          <w:sz w:val="18"/>
          <w:szCs w:val="18"/>
          <w:color w:val="auto"/>
        </w:rPr>
        <w:t>Director</w:t>
      </w:r>
    </w:p>
    <w:p>
      <w:pPr>
        <w:spacing w:after="0" w:line="23"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David P. McGlade</w:t>
      </w:r>
      <w:r>
        <w:rPr>
          <w:sz w:val="20"/>
          <w:szCs w:val="20"/>
          <w:color w:val="auto"/>
        </w:rPr>
        <w:tab/>
      </w:r>
      <w:r>
        <w:rPr>
          <w:rFonts w:ascii="Times New Roman" w:cs="Times New Roman" w:eastAsia="Times New Roman" w:hAnsi="Times New Roman"/>
          <w:sz w:val="18"/>
          <w:szCs w:val="18"/>
          <w:color w:val="auto"/>
        </w:rPr>
        <w:t>Director</w:t>
      </w:r>
    </w:p>
    <w:p>
      <w:pPr>
        <w:spacing w:after="0" w:line="23"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Robert A. Schriesheim</w:t>
      </w:r>
      <w:r>
        <w:rPr>
          <w:sz w:val="20"/>
          <w:szCs w:val="20"/>
          <w:color w:val="auto"/>
        </w:rPr>
        <w:tab/>
      </w:r>
      <w:r>
        <w:rPr>
          <w:rFonts w:ascii="Times New Roman" w:cs="Times New Roman" w:eastAsia="Times New Roman" w:hAnsi="Times New Roman"/>
          <w:sz w:val="18"/>
          <w:szCs w:val="18"/>
          <w:color w:val="auto"/>
        </w:rPr>
        <w:t>Director</w:t>
      </w:r>
    </w:p>
    <w:p>
      <w:pPr>
        <w:spacing w:after="0" w:line="23"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Maryann Turcke</w:t>
      </w:r>
      <w:r>
        <w:rPr>
          <w:sz w:val="20"/>
          <w:szCs w:val="20"/>
          <w:color w:val="auto"/>
        </w:rPr>
        <w:tab/>
      </w:r>
      <w:r>
        <w:rPr>
          <w:rFonts w:ascii="Times New Roman" w:cs="Times New Roman" w:eastAsia="Times New Roman" w:hAnsi="Times New Roman"/>
          <w:sz w:val="18"/>
          <w:szCs w:val="18"/>
          <w:color w:val="auto"/>
        </w:rPr>
        <w:t>Director</w:t>
      </w:r>
    </w:p>
    <w:p>
      <w:pPr>
        <w:spacing w:after="0" w:line="23"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Carlos S. Bori</w:t>
      </w:r>
      <w:r>
        <w:rPr>
          <w:sz w:val="20"/>
          <w:szCs w:val="20"/>
          <w:color w:val="auto"/>
        </w:rPr>
        <w:tab/>
      </w:r>
      <w:r>
        <w:rPr>
          <w:rFonts w:ascii="Times New Roman" w:cs="Times New Roman" w:eastAsia="Times New Roman" w:hAnsi="Times New Roman"/>
          <w:sz w:val="17"/>
          <w:szCs w:val="17"/>
          <w:color w:val="auto"/>
        </w:rPr>
        <w:t>Senior Vice President, Sales and Marketing</w:t>
      </w:r>
    </w:p>
    <w:p>
      <w:pPr>
        <w:spacing w:after="0" w:line="23"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Karilee A. Durham</w:t>
      </w:r>
      <w:r>
        <w:rPr>
          <w:sz w:val="20"/>
          <w:szCs w:val="20"/>
          <w:color w:val="auto"/>
        </w:rPr>
        <w:tab/>
      </w:r>
      <w:r>
        <w:rPr>
          <w:rFonts w:ascii="Times New Roman" w:cs="Times New Roman" w:eastAsia="Times New Roman" w:hAnsi="Times New Roman"/>
          <w:sz w:val="17"/>
          <w:szCs w:val="17"/>
          <w:color w:val="auto"/>
        </w:rPr>
        <w:t>Senior Vice President, Human Resources</w:t>
      </w:r>
    </w:p>
    <w:p>
      <w:pPr>
        <w:spacing w:after="0" w:line="23"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Reza Kasnavi</w:t>
      </w:r>
      <w:r>
        <w:rPr>
          <w:sz w:val="20"/>
          <w:szCs w:val="20"/>
          <w:color w:val="auto"/>
        </w:rPr>
        <w:tab/>
      </w:r>
      <w:r>
        <w:rPr>
          <w:rFonts w:ascii="Times New Roman" w:cs="Times New Roman" w:eastAsia="Times New Roman" w:hAnsi="Times New Roman"/>
          <w:sz w:val="17"/>
          <w:szCs w:val="17"/>
          <w:color w:val="auto"/>
        </w:rPr>
        <w:t>Senior Vice President, Technology and Manufacturing</w:t>
      </w:r>
    </w:p>
    <w:p>
      <w:pPr>
        <w:spacing w:after="0" w:line="23"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Kris Sennesael</w:t>
      </w:r>
      <w:r>
        <w:rPr>
          <w:sz w:val="20"/>
          <w:szCs w:val="20"/>
          <w:color w:val="auto"/>
        </w:rPr>
        <w:tab/>
      </w:r>
      <w:r>
        <w:rPr>
          <w:rFonts w:ascii="Times New Roman" w:cs="Times New Roman" w:eastAsia="Times New Roman" w:hAnsi="Times New Roman"/>
          <w:sz w:val="17"/>
          <w:szCs w:val="17"/>
          <w:color w:val="auto"/>
        </w:rPr>
        <w:t>Senior Vice President and Chief Financial Officer</w:t>
      </w:r>
    </w:p>
    <w:p>
      <w:pPr>
        <w:spacing w:after="0" w:line="23"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Robert J. Terry</w:t>
      </w:r>
      <w:r>
        <w:rPr>
          <w:sz w:val="20"/>
          <w:szCs w:val="20"/>
          <w:color w:val="auto"/>
        </w:rPr>
        <w:tab/>
      </w:r>
      <w:r>
        <w:rPr>
          <w:rFonts w:ascii="Times New Roman" w:cs="Times New Roman" w:eastAsia="Times New Roman" w:hAnsi="Times New Roman"/>
          <w:sz w:val="17"/>
          <w:szCs w:val="17"/>
          <w:color w:val="auto"/>
        </w:rPr>
        <w:t>Senior Vice President, General Counsel and Secretary</w:t>
      </w:r>
    </w:p>
    <w:p>
      <w:pPr>
        <w:sectPr>
          <w:pgSz w:w="11900" w:h="16838" w:orient="portrait"/>
          <w:cols w:equalWidth="0" w:num="1">
            <w:col w:w="11240"/>
          </w:cols>
          <w:pgMar w:left="320" w:top="914" w:right="339" w:bottom="1440" w:gutter="0" w:footer="0" w:header="0"/>
        </w:sectPr>
      </w:pP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360"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Liam K. Griffin</w:t>
      </w:r>
      <w:r>
        <w:rPr>
          <w:rFonts w:ascii="Times New Roman" w:cs="Times New Roman" w:eastAsia="Times New Roman" w:hAnsi="Times New Roman"/>
          <w:sz w:val="18"/>
          <w:szCs w:val="18"/>
          <w:color w:val="auto"/>
        </w:rPr>
        <w:t>, age 57, is Chairman, Chief Executive Officer and President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Prior to his appointment as Chairman of the Board in May 2021, Mr. Griffin had served as Chief Executive Officer and a director since May 2016 and as President since May 2014. He served as Executive Vice President and Corporate General Manager from November 2012 to May 2014, Executive Vice President and General Manager, High Performance Analog from May 2011 to November 2012, and Senior Vice President, Sales and Marketing from August 2001 to May 2011. Previously, Mr. Griffin was employed by Vectron International, a division of Dover Corp., as Vice President of Worldwide Sales from 1997 to 2001 and as Vice President of North American Sales from 1995 to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Public Company Boards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w:t>
      </w:r>
    </w:p>
    <w:p>
      <w:pPr>
        <w:spacing w:after="0" w:line="162" w:lineRule="exact"/>
        <w:rPr>
          <w:sz w:val="20"/>
          <w:szCs w:val="20"/>
          <w:color w:val="auto"/>
        </w:rPr>
      </w:pPr>
    </w:p>
    <w:p>
      <w:pPr>
        <w:ind w:left="640" w:hanging="324"/>
        <w:spacing w:after="0"/>
        <w:tabs>
          <w:tab w:leader="none" w:pos="6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Past 5 Years</w:t>
      </w:r>
    </w:p>
    <w:p>
      <w:pPr>
        <w:spacing w:after="0" w:line="162" w:lineRule="exact"/>
        <w:rPr>
          <w:sz w:val="20"/>
          <w:szCs w:val="20"/>
          <w:color w:val="auto"/>
        </w:rPr>
      </w:pPr>
    </w:p>
    <w:p>
      <w:pPr>
        <w:ind w:left="640" w:hanging="324"/>
        <w:spacing w:after="0"/>
        <w:tabs>
          <w:tab w:leader="none" w:pos="64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National Instruments Corporation (until 2023)</w:t>
      </w:r>
    </w:p>
    <w:p>
      <w:pPr>
        <w:spacing w:after="0" w:line="47" w:lineRule="exact"/>
        <w:rPr>
          <w:rFonts w:ascii="Times New Roman" w:cs="Times New Roman" w:eastAsia="Times New Roman" w:hAnsi="Times New Roman"/>
          <w:sz w:val="17"/>
          <w:szCs w:val="17"/>
          <w:b w:val="1"/>
          <w:bCs w:val="1"/>
          <w:color w:val="auto"/>
        </w:rPr>
      </w:pPr>
    </w:p>
    <w:p>
      <w:pPr>
        <w:ind w:left="640" w:hanging="324"/>
        <w:spacing w:after="0"/>
        <w:tabs>
          <w:tab w:leader="none" w:pos="6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Vicor Corporation (until 2019)</w:t>
      </w:r>
    </w:p>
    <w:p>
      <w:pPr>
        <w:spacing w:after="0" w:line="733" w:lineRule="exact"/>
        <w:rPr>
          <w:sz w:val="20"/>
          <w:szCs w:val="20"/>
          <w:color w:val="auto"/>
        </w:rPr>
      </w:pPr>
    </w:p>
    <w:p>
      <w:pPr>
        <w:sectPr>
          <w:pgSz w:w="11900" w:h="16838" w:orient="portrait"/>
          <w:cols w:equalWidth="0" w:num="2">
            <w:col w:w="6320" w:space="140"/>
            <w:col w:w="4780"/>
          </w:cols>
          <w:pgMar w:left="320" w:top="914" w:right="339" w:bottom="1440" w:gutter="0" w:footer="0" w:header="0"/>
          <w:type w:val="continuous"/>
        </w:sectPr>
      </w:pPr>
    </w:p>
    <w:p>
      <w:pPr>
        <w:spacing w:after="0" w:line="162"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color w:val="191919"/>
        </w:rPr>
        <w:t xml:space="preserve">Qualifications: </w:t>
      </w:r>
      <w:r>
        <w:rPr>
          <w:rFonts w:ascii="Times New Roman" w:cs="Times New Roman" w:eastAsia="Times New Roman" w:hAnsi="Times New Roman"/>
          <w:sz w:val="18"/>
          <w:szCs w:val="18"/>
          <w:color w:val="191919"/>
        </w:rPr>
        <w:t>We believe that Mr. Griffin’s qualifications to serve as a director include his strong relationships with Skyworks’ key customers, investors,</w:t>
      </w:r>
      <w:r>
        <w:rPr>
          <w:rFonts w:ascii="Times New Roman" w:cs="Times New Roman" w:eastAsia="Times New Roman" w:hAnsi="Times New Roman"/>
          <w:sz w:val="18"/>
          <w:szCs w:val="18"/>
          <w:b w:val="1"/>
          <w:bCs w:val="1"/>
          <w:color w:val="191919"/>
        </w:rPr>
        <w:t xml:space="preserve"> </w:t>
      </w:r>
      <w:r>
        <w:rPr>
          <w:rFonts w:ascii="Times New Roman" w:cs="Times New Roman" w:eastAsia="Times New Roman" w:hAnsi="Times New Roman"/>
          <w:sz w:val="18"/>
          <w:szCs w:val="18"/>
          <w:color w:val="191919"/>
        </w:rPr>
        <w:t>employees, and other stakeholders, as well as his deep understanding of the semiconductor industry and its competitive landscape gained through serving in several different executive positions at Skyworks over the past two decades.</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3" w:name="page4"/>
    <w:bookmarkEnd w:id="3"/>
    <w:p>
      <w:pPr>
        <w:jc w:val="both"/>
        <w:ind w:lef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Christine King</w:t>
      </w:r>
      <w:r>
        <w:rPr>
          <w:rFonts w:ascii="Times New Roman" w:cs="Times New Roman" w:eastAsia="Times New Roman" w:hAnsi="Times New Roman"/>
          <w:sz w:val="18"/>
          <w:szCs w:val="18"/>
          <w:color w:val="auto"/>
        </w:rPr>
        <w:t>, age 74, has been a director since 2014 and Lead Independent Director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2019. Ms. King served as Executive Chairman of QLogic Corporation (a publicly traded developer of high performance server and storage networking connectivity products) from August 2015 until August 2016, when it was acquired by Cavium, Inc. Previously, she served as Chief Executive Officer of Standard Microsystems Corporation (a publicly traded developer of silicon-based integrated circuits utilizing analog and mixed-signal technologies) from 2008 until the company’s acquisition in 2012 by Microchip Technology, Inc. Prior to Standard Microsystems, Ms. King was Chief Executive Officer of AMI Semiconductor, Inc., a publicly traded company, from 2001 until it was acquired by ON Semiconductor Corp. in 2008.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Public Company Boards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w:t>
      </w:r>
    </w:p>
    <w:p>
      <w:pPr>
        <w:spacing w:after="0" w:line="148" w:lineRule="exact"/>
        <w:rPr>
          <w:sz w:val="20"/>
          <w:szCs w:val="20"/>
          <w:color w:val="auto"/>
        </w:rPr>
      </w:pPr>
    </w:p>
    <w:p>
      <w:pPr>
        <w:ind w:left="640" w:hanging="324"/>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Past 5 Years</w:t>
      </w:r>
    </w:p>
    <w:p>
      <w:pPr>
        <w:spacing w:after="0" w:line="148" w:lineRule="exact"/>
        <w:rPr>
          <w:sz w:val="20"/>
          <w:szCs w:val="20"/>
          <w:color w:val="auto"/>
        </w:rPr>
      </w:pPr>
    </w:p>
    <w:p>
      <w:pPr>
        <w:ind w:left="640" w:hanging="324"/>
        <w:spacing w:after="0"/>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Allegro MicroSystems, Inc. (until 2021)</w:t>
      </w:r>
    </w:p>
    <w:p>
      <w:pPr>
        <w:spacing w:after="0" w:line="47" w:lineRule="exact"/>
        <w:rPr>
          <w:rFonts w:ascii="Times New Roman" w:cs="Times New Roman" w:eastAsia="Times New Roman" w:hAnsi="Times New Roman"/>
          <w:sz w:val="17"/>
          <w:szCs w:val="17"/>
          <w:color w:val="auto"/>
        </w:rPr>
      </w:pPr>
    </w:p>
    <w:p>
      <w:pPr>
        <w:ind w:left="640" w:hanging="324"/>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IDACORP, Inc. (until 2021)</w:t>
      </w:r>
    </w:p>
    <w:p>
      <w:pPr>
        <w:spacing w:after="0" w:line="747" w:lineRule="exact"/>
        <w:rPr>
          <w:sz w:val="20"/>
          <w:szCs w:val="20"/>
          <w:color w:val="auto"/>
        </w:rPr>
      </w:pPr>
    </w:p>
    <w:p>
      <w:pPr>
        <w:sectPr>
          <w:pgSz w:w="11900" w:h="16838" w:orient="portrait"/>
          <w:cols w:equalWidth="0" w:num="2">
            <w:col w:w="6320" w:space="140"/>
            <w:col w:w="4780"/>
          </w:cols>
          <w:pgMar w:left="320" w:top="1008" w:right="339" w:bottom="1440" w:gutter="0" w:footer="0" w:header="0"/>
        </w:sectPr>
      </w:pPr>
    </w:p>
    <w:p>
      <w:pPr>
        <w:spacing w:after="0" w:line="149" w:lineRule="exact"/>
        <w:rPr>
          <w:sz w:val="20"/>
          <w:szCs w:val="20"/>
          <w:color w:val="auto"/>
        </w:rPr>
      </w:pPr>
    </w:p>
    <w:p>
      <w:pPr>
        <w:ind w:right="20"/>
        <w:spacing w:after="0" w:line="333" w:lineRule="auto"/>
        <w:rPr>
          <w:sz w:val="20"/>
          <w:szCs w:val="20"/>
          <w:color w:val="auto"/>
        </w:rPr>
      </w:pPr>
      <w:r>
        <w:rPr>
          <w:rFonts w:ascii="Times New Roman" w:cs="Times New Roman" w:eastAsia="Times New Roman" w:hAnsi="Times New Roman"/>
          <w:sz w:val="18"/>
          <w:szCs w:val="18"/>
          <w:b w:val="1"/>
          <w:bCs w:val="1"/>
          <w:color w:val="191919"/>
        </w:rPr>
        <w:t xml:space="preserve">Qualifications: </w:t>
      </w:r>
      <w:r>
        <w:rPr>
          <w:rFonts w:ascii="Times New Roman" w:cs="Times New Roman" w:eastAsia="Times New Roman" w:hAnsi="Times New Roman"/>
          <w:sz w:val="18"/>
          <w:szCs w:val="18"/>
          <w:color w:val="191919"/>
        </w:rPr>
        <w:t>We believe that Ms. King’s qualifications to serve as a director include her extensive management and operational experience in the high-tech and semiconductor industries as well as her significant strategic and financial expertise.</w:t>
      </w:r>
    </w:p>
    <w:p>
      <w:pPr>
        <w:sectPr>
          <w:pgSz w:w="11900" w:h="16838" w:orient="portrait"/>
          <w:cols w:equalWidth="0" w:num="1">
            <w:col w:w="11240"/>
          </w:cols>
          <w:pgMar w:left="320" w:top="1008" w:right="339" w:bottom="1440" w:gutter="0" w:footer="0" w:header="0"/>
          <w:type w:val="continuous"/>
        </w:sectPr>
      </w:pPr>
    </w:p>
    <w:p>
      <w:pPr>
        <w:spacing w:after="0" w:line="276"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Alan S. Batey</w:t>
      </w:r>
      <w:r>
        <w:rPr>
          <w:rFonts w:ascii="Times New Roman" w:cs="Times New Roman" w:eastAsia="Times New Roman" w:hAnsi="Times New Roman"/>
          <w:sz w:val="18"/>
          <w:szCs w:val="18"/>
          <w:color w:val="auto"/>
        </w:rPr>
        <w:t>, age 60, has been a director since 2019. Mr. Batey served as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President and President of North America for General Motors Company (a publicly traded automotive manufacturer), as well as the Global Brand Chief for Chevrolet, a division of General Motors Company, from 2014 until 2019. His career spans more than 39 years with General Motors where he held various senior management positions in operations, marketing, and sales around the world.</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Public Company Boards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w:t>
      </w:r>
    </w:p>
    <w:p>
      <w:pPr>
        <w:spacing w:after="0" w:line="162" w:lineRule="exact"/>
        <w:rPr>
          <w:sz w:val="20"/>
          <w:szCs w:val="20"/>
          <w:color w:val="auto"/>
        </w:rPr>
      </w:pPr>
    </w:p>
    <w:p>
      <w:pPr>
        <w:ind w:left="640" w:hanging="324"/>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Past 5 Years</w:t>
      </w:r>
    </w:p>
    <w:p>
      <w:pPr>
        <w:spacing w:after="0" w:line="162" w:lineRule="exact"/>
        <w:rPr>
          <w:sz w:val="20"/>
          <w:szCs w:val="20"/>
          <w:color w:val="auto"/>
        </w:rPr>
      </w:pPr>
    </w:p>
    <w:p>
      <w:pPr>
        <w:ind w:left="640" w:hanging="32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ectPr>
          <w:pgSz w:w="11900" w:h="16838" w:orient="portrait"/>
          <w:cols w:equalWidth="0" w:num="2">
            <w:col w:w="6320" w:space="140"/>
            <w:col w:w="4780"/>
          </w:cols>
          <w:pgMar w:left="320" w:top="1008" w:right="339" w:bottom="1440" w:gutter="0" w:footer="0" w:header="0"/>
          <w:type w:val="continuous"/>
        </w:sectPr>
      </w:pPr>
    </w:p>
    <w:p>
      <w:pPr>
        <w:spacing w:after="0" w:line="197"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color w:val="191919"/>
        </w:rPr>
        <w:t xml:space="preserve">Qualifications: </w:t>
      </w:r>
      <w:r>
        <w:rPr>
          <w:rFonts w:ascii="Times New Roman" w:cs="Times New Roman" w:eastAsia="Times New Roman" w:hAnsi="Times New Roman"/>
          <w:sz w:val="18"/>
          <w:szCs w:val="18"/>
          <w:color w:val="191919"/>
        </w:rPr>
        <w:t>We believe that Mr. Batey’s qualifications to serve as a director include his extensive senior management experience at General Motors,</w:t>
      </w:r>
      <w:r>
        <w:rPr>
          <w:rFonts w:ascii="Times New Roman" w:cs="Times New Roman" w:eastAsia="Times New Roman" w:hAnsi="Times New Roman"/>
          <w:sz w:val="18"/>
          <w:szCs w:val="18"/>
          <w:b w:val="1"/>
          <w:bCs w:val="1"/>
          <w:color w:val="191919"/>
        </w:rPr>
        <w:t xml:space="preserve"> </w:t>
      </w:r>
      <w:r>
        <w:rPr>
          <w:rFonts w:ascii="Times New Roman" w:cs="Times New Roman" w:eastAsia="Times New Roman" w:hAnsi="Times New Roman"/>
          <w:sz w:val="18"/>
          <w:szCs w:val="18"/>
          <w:color w:val="191919"/>
        </w:rPr>
        <w:t>where he developed expertise on a broad set of complex strategic, operational, and technological matters involving the automotive industry, an industry that is expected to be a growth market for the Company.</w:t>
      </w:r>
    </w:p>
    <w:p>
      <w:pPr>
        <w:sectPr>
          <w:pgSz w:w="11900" w:h="16838" w:orient="portrait"/>
          <w:cols w:equalWidth="0" w:num="1">
            <w:col w:w="11240"/>
          </w:cols>
          <w:pgMar w:left="320" w:top="1008" w:right="339" w:bottom="1440" w:gutter="0" w:footer="0" w:header="0"/>
          <w:type w:val="continuous"/>
        </w:sectPr>
      </w:pPr>
    </w:p>
    <w:p>
      <w:pPr>
        <w:spacing w:after="0" w:line="299"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Kevin L. Beebe</w:t>
      </w:r>
      <w:r>
        <w:rPr>
          <w:rFonts w:ascii="Times New Roman" w:cs="Times New Roman" w:eastAsia="Times New Roman" w:hAnsi="Times New Roman"/>
          <w:sz w:val="18"/>
          <w:szCs w:val="18"/>
          <w:color w:val="auto"/>
        </w:rPr>
        <w:t>, age 64, has been a director since 2004. He has been President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Executive Officer of 2BPartners, LLC (a partnership that provides strategic, financial, and operational advice to private equity investors and management) since 2007. In 2014, Mr. Beebe became a founding partner of Astra Capital Management (a private equity firm based in Washington, D.C.). Previously, beginning in 1998, he was Group President of Operations at ALLTEL Corporation (a telecommunications services company).</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Public Company Boards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w:t>
      </w:r>
    </w:p>
    <w:p>
      <w:pPr>
        <w:spacing w:after="0" w:line="148" w:lineRule="exact"/>
        <w:rPr>
          <w:sz w:val="20"/>
          <w:szCs w:val="20"/>
          <w:color w:val="auto"/>
        </w:rPr>
      </w:pPr>
    </w:p>
    <w:p>
      <w:pPr>
        <w:ind w:left="640" w:hanging="320"/>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SBA Communications Corporation</w:t>
      </w:r>
    </w:p>
    <w:p>
      <w:pPr>
        <w:spacing w:after="0" w:line="49" w:lineRule="exact"/>
        <w:rPr>
          <w:rFonts w:ascii="Times New Roman" w:cs="Times New Roman" w:eastAsia="Times New Roman" w:hAnsi="Times New Roman"/>
          <w:sz w:val="18"/>
          <w:szCs w:val="18"/>
          <w:color w:val="auto"/>
        </w:rPr>
      </w:pPr>
    </w:p>
    <w:p>
      <w:pPr>
        <w:ind w:left="640" w:right="120" w:hanging="320"/>
        <w:spacing w:after="0" w:line="313"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Frontier Communications Parent, Inc. (formerly Frontier Communications Corporation), Lead Independent Director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Past 5 Years</w:t>
      </w:r>
    </w:p>
    <w:p>
      <w:pPr>
        <w:spacing w:after="0" w:line="148" w:lineRule="exact"/>
        <w:rPr>
          <w:sz w:val="20"/>
          <w:szCs w:val="20"/>
          <w:color w:val="auto"/>
        </w:rPr>
      </w:pPr>
    </w:p>
    <w:p>
      <w:pPr>
        <w:ind w:left="640" w:right="2000" w:hanging="320"/>
        <w:spacing w:after="0" w:line="276"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Altimar Acquisition Corporation (until 2021)</w:t>
      </w:r>
    </w:p>
    <w:p>
      <w:pPr>
        <w:spacing w:after="0" w:line="1"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Altimar Acquisition Corp. II (until 2021)</w:t>
      </w:r>
    </w:p>
    <w:p>
      <w:pPr>
        <w:spacing w:after="0" w:line="31"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NII Holdings, Inc. (until 2019)</w:t>
      </w:r>
    </w:p>
    <w:p>
      <w:pPr>
        <w:spacing w:after="0" w:line="200" w:lineRule="exact"/>
        <w:rPr>
          <w:sz w:val="20"/>
          <w:szCs w:val="20"/>
          <w:color w:val="auto"/>
        </w:rPr>
      </w:pPr>
    </w:p>
    <w:p>
      <w:pPr>
        <w:sectPr>
          <w:pgSz w:w="11900" w:h="16838" w:orient="portrait"/>
          <w:cols w:equalWidth="0" w:num="2">
            <w:col w:w="6100" w:space="140"/>
            <w:col w:w="5000"/>
          </w:cols>
          <w:pgMar w:left="320" w:top="1008" w:right="339" w:bottom="1440" w:gutter="0" w:footer="0" w:header="0"/>
          <w:type w:val="continuous"/>
        </w:sectPr>
      </w:pPr>
    </w:p>
    <w:p>
      <w:pPr>
        <w:spacing w:after="0" w:line="224" w:lineRule="exact"/>
        <w:rPr>
          <w:sz w:val="20"/>
          <w:szCs w:val="20"/>
          <w:color w:val="auto"/>
        </w:rPr>
      </w:pPr>
    </w:p>
    <w:p>
      <w:pPr>
        <w:spacing w:after="0" w:line="333" w:lineRule="auto"/>
        <w:rPr>
          <w:sz w:val="20"/>
          <w:szCs w:val="20"/>
          <w:color w:val="auto"/>
        </w:rPr>
      </w:pPr>
      <w:r>
        <w:rPr>
          <w:rFonts w:ascii="Times New Roman" w:cs="Times New Roman" w:eastAsia="Times New Roman" w:hAnsi="Times New Roman"/>
          <w:sz w:val="18"/>
          <w:szCs w:val="18"/>
          <w:b w:val="1"/>
          <w:bCs w:val="1"/>
          <w:color w:val="191919"/>
        </w:rPr>
        <w:t xml:space="preserve">Qualifications: </w:t>
      </w:r>
      <w:r>
        <w:rPr>
          <w:rFonts w:ascii="Times New Roman" w:cs="Times New Roman" w:eastAsia="Times New Roman" w:hAnsi="Times New Roman"/>
          <w:sz w:val="18"/>
          <w:szCs w:val="18"/>
          <w:color w:val="191919"/>
        </w:rPr>
        <w:t>We believe that Mr. Beebe’s qualifications to serve as a director include his two decades of experience as an operating executive in the</w:t>
      </w:r>
      <w:r>
        <w:rPr>
          <w:rFonts w:ascii="Times New Roman" w:cs="Times New Roman" w:eastAsia="Times New Roman" w:hAnsi="Times New Roman"/>
          <w:sz w:val="18"/>
          <w:szCs w:val="18"/>
          <w:b w:val="1"/>
          <w:bCs w:val="1"/>
          <w:color w:val="191919"/>
        </w:rPr>
        <w:t xml:space="preserve"> </w:t>
      </w:r>
      <w:r>
        <w:rPr>
          <w:rFonts w:ascii="Times New Roman" w:cs="Times New Roman" w:eastAsia="Times New Roman" w:hAnsi="Times New Roman"/>
          <w:sz w:val="18"/>
          <w:szCs w:val="18"/>
          <w:color w:val="191919"/>
        </w:rPr>
        <w:t>wireless telecommunications industry as well as his experience and</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191919"/>
        </w:rPr>
        <w:t>relationships gained from advising leading private equity firms that are transacting business in the global capital markets.</w:t>
      </w:r>
    </w:p>
    <w:p>
      <w:pPr>
        <w:sectPr>
          <w:pgSz w:w="11900" w:h="16838" w:orient="portrait"/>
          <w:cols w:equalWidth="0" w:num="1">
            <w:col w:w="11240"/>
          </w:cols>
          <w:pgMar w:left="320" w:top="918" w:right="339" w:bottom="1440" w:gutter="0" w:footer="0" w:header="0"/>
        </w:sectPr>
      </w:pPr>
    </w:p>
    <w:p>
      <w:pPr>
        <w:spacing w:after="0" w:line="370"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Eric J. Guerin, </w:t>
      </w:r>
      <w:r>
        <w:rPr>
          <w:rFonts w:ascii="Times New Roman" w:cs="Times New Roman" w:eastAsia="Times New Roman" w:hAnsi="Times New Roman"/>
          <w:sz w:val="18"/>
          <w:szCs w:val="18"/>
          <w:color w:val="auto"/>
        </w:rPr>
        <w:t>age 52, has been a director since 2022. He currently serves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Officer of RB Global (a publicly traded provider of insights, services and transaction solutions for commercial assets and vehicles), a role he has held since January 2024. Previously, Mr. Guerin served as Senior Vice President and Chief Financial Officer of Veritiv Corporation (a formerly publicly traded provider of packaging and hygiene products), from March 2023 to December 2023 and its Senior Vice President-Finance from January 2023 to March 2023. Prior to that, he served as Executive Vice President and Chief Financial Officer of CDK Global Inc. (a formerly publicly traded provider of integrated technology solutions to the automotive industry) from 2021 to 2022. From 2016 to 2021, he served as Division Vice President and sector Chief Financial Officer at Corning Glass Technologies, a division of Corning, Inc. Previously, he served in financial leadership roles with Flowserve Corporation, Novartis Corporation, Johnson &amp; Johnson Services Inc., and AstraZeneca PLC.</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Public Company Boards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w:t>
      </w:r>
    </w:p>
    <w:p>
      <w:pPr>
        <w:spacing w:after="0" w:line="162" w:lineRule="exact"/>
        <w:rPr>
          <w:sz w:val="20"/>
          <w:szCs w:val="20"/>
          <w:color w:val="auto"/>
        </w:rPr>
      </w:pPr>
    </w:p>
    <w:p>
      <w:pPr>
        <w:ind w:left="640" w:hanging="324"/>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Past 5 Years</w:t>
      </w:r>
    </w:p>
    <w:p>
      <w:pPr>
        <w:spacing w:after="0" w:line="162" w:lineRule="exact"/>
        <w:rPr>
          <w:sz w:val="20"/>
          <w:szCs w:val="20"/>
          <w:color w:val="auto"/>
        </w:rPr>
      </w:pPr>
    </w:p>
    <w:p>
      <w:pPr>
        <w:ind w:left="640" w:hanging="324"/>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Natus Medical Incorporated (until 2022)</w:t>
      </w:r>
    </w:p>
    <w:p>
      <w:pPr>
        <w:spacing w:after="0" w:line="1381" w:lineRule="exact"/>
        <w:rPr>
          <w:sz w:val="20"/>
          <w:szCs w:val="20"/>
          <w:color w:val="auto"/>
        </w:rPr>
      </w:pPr>
    </w:p>
    <w:p>
      <w:pPr>
        <w:sectPr>
          <w:pgSz w:w="11900" w:h="16838" w:orient="portrait"/>
          <w:cols w:equalWidth="0" w:num="2">
            <w:col w:w="6320" w:space="140"/>
            <w:col w:w="4780"/>
          </w:cols>
          <w:pgMar w:left="320" w:top="918" w:right="339" w:bottom="1440" w:gutter="0" w:footer="0" w:header="0"/>
          <w:type w:val="continuous"/>
        </w:sectPr>
      </w:pPr>
    </w:p>
    <w:p>
      <w:pPr>
        <w:spacing w:after="0" w:line="176" w:lineRule="exact"/>
        <w:rPr>
          <w:sz w:val="20"/>
          <w:szCs w:val="20"/>
          <w:color w:val="auto"/>
        </w:rPr>
      </w:pPr>
    </w:p>
    <w:p>
      <w:pPr>
        <w:spacing w:after="0" w:line="318" w:lineRule="auto"/>
        <w:rPr>
          <w:sz w:val="20"/>
          <w:szCs w:val="20"/>
          <w:color w:val="auto"/>
        </w:rPr>
      </w:pPr>
      <w:r>
        <w:rPr>
          <w:rFonts w:ascii="Times New Roman" w:cs="Times New Roman" w:eastAsia="Times New Roman" w:hAnsi="Times New Roman"/>
          <w:sz w:val="18"/>
          <w:szCs w:val="18"/>
          <w:b w:val="1"/>
          <w:bCs w:val="1"/>
          <w:color w:val="191919"/>
        </w:rPr>
        <w:t xml:space="preserve">Qualifications: </w:t>
      </w:r>
      <w:r>
        <w:rPr>
          <w:rFonts w:ascii="Times New Roman" w:cs="Times New Roman" w:eastAsia="Times New Roman" w:hAnsi="Times New Roman"/>
          <w:sz w:val="18"/>
          <w:szCs w:val="18"/>
          <w:color w:val="191919"/>
        </w:rPr>
        <w:t>We believe that Mr. Guerin’s qualifications to serve as a director include his financial and operational expertise, together with his extensive</w:t>
      </w:r>
      <w:r>
        <w:rPr>
          <w:rFonts w:ascii="Times New Roman" w:cs="Times New Roman" w:eastAsia="Times New Roman" w:hAnsi="Times New Roman"/>
          <w:sz w:val="18"/>
          <w:szCs w:val="18"/>
          <w:b w:val="1"/>
          <w:bCs w:val="1"/>
          <w:color w:val="191919"/>
        </w:rPr>
        <w:t xml:space="preserve"> </w:t>
      </w:r>
      <w:r>
        <w:rPr>
          <w:rFonts w:ascii="Times New Roman" w:cs="Times New Roman" w:eastAsia="Times New Roman" w:hAnsi="Times New Roman"/>
          <w:sz w:val="18"/>
          <w:szCs w:val="18"/>
          <w:color w:val="191919"/>
        </w:rPr>
        <w:t>engagements within Asia-Pacific markets.</w:t>
      </w:r>
    </w:p>
    <w:p>
      <w:pPr>
        <w:sectPr>
          <w:pgSz w:w="11900" w:h="16838" w:orient="portrait"/>
          <w:cols w:equalWidth="0" w:num="1">
            <w:col w:w="11240"/>
          </w:cols>
          <w:pgMar w:left="320" w:top="918" w:right="339" w:bottom="1440" w:gutter="0" w:footer="0" w:header="0"/>
          <w:type w:val="continuous"/>
        </w:sectPr>
      </w:pPr>
    </w:p>
    <w:p>
      <w:pPr>
        <w:spacing w:after="0" w:line="288"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Suzanne E. McBride</w:t>
      </w:r>
      <w:r>
        <w:rPr>
          <w:rFonts w:ascii="Times New Roman" w:cs="Times New Roman" w:eastAsia="Times New Roman" w:hAnsi="Times New Roman"/>
          <w:sz w:val="18"/>
          <w:szCs w:val="18"/>
          <w:color w:val="auto"/>
        </w:rPr>
        <w:t>, age 55, has been a director since 2022. Ms. McBride serves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Operations Officer for Iridium Communications Inc. (a publicly traded operator of a global satellite communications network). Prior to rejoining Iridium in February 2019, where she had previously served from 2007 to 2016 in various leadership roles, Ms. McBride served from June 2016 to January 2019 as Senior Vice President and Chief Operations Officer for OneWeb (a privately held company building a space-based global communications network that filed a voluntary petition for Chapter 11 bankruptcy protection on March 27, 2020). Earlier in her career, she held a series of increasingly senior positions in technology and operations with Motorola Solutions, Inc. (a publicly traded telecommunications company) and General Dynamics Corporation (a publicly traded aerospace and defense company).</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Public Company Boards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w:t>
      </w:r>
    </w:p>
    <w:p>
      <w:pPr>
        <w:spacing w:after="0" w:line="148" w:lineRule="exact"/>
        <w:rPr>
          <w:sz w:val="20"/>
          <w:szCs w:val="20"/>
          <w:color w:val="auto"/>
        </w:rPr>
      </w:pPr>
    </w:p>
    <w:p>
      <w:pPr>
        <w:ind w:left="640" w:hanging="324"/>
        <w:spacing w:after="0"/>
        <w:tabs>
          <w:tab w:leader="none" w:pos="6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Iridium Communications Inc.</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Past 5 Years</w:t>
      </w:r>
    </w:p>
    <w:p>
      <w:pPr>
        <w:spacing w:after="0" w:line="162" w:lineRule="exact"/>
        <w:rPr>
          <w:sz w:val="20"/>
          <w:szCs w:val="20"/>
          <w:color w:val="auto"/>
        </w:rPr>
      </w:pPr>
    </w:p>
    <w:p>
      <w:pPr>
        <w:ind w:left="640" w:hanging="324"/>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219" w:lineRule="exact"/>
        <w:rPr>
          <w:sz w:val="20"/>
          <w:szCs w:val="20"/>
          <w:color w:val="auto"/>
        </w:rPr>
      </w:pPr>
    </w:p>
    <w:p>
      <w:pPr>
        <w:sectPr>
          <w:pgSz w:w="11900" w:h="16838" w:orient="portrait"/>
          <w:cols w:equalWidth="0" w:num="2">
            <w:col w:w="6320" w:space="140"/>
            <w:col w:w="4780"/>
          </w:cols>
          <w:pgMar w:left="320" w:top="918" w:right="339" w:bottom="1440" w:gutter="0" w:footer="0" w:header="0"/>
          <w:type w:val="continuous"/>
        </w:sectPr>
      </w:pPr>
    </w:p>
    <w:p>
      <w:pPr>
        <w:spacing w:after="0" w:line="149" w:lineRule="exact"/>
        <w:rPr>
          <w:sz w:val="20"/>
          <w:szCs w:val="20"/>
          <w:color w:val="auto"/>
        </w:rPr>
      </w:pPr>
    </w:p>
    <w:p>
      <w:pPr>
        <w:ind w:right="20"/>
        <w:spacing w:after="0" w:line="318" w:lineRule="auto"/>
        <w:rPr>
          <w:sz w:val="20"/>
          <w:szCs w:val="20"/>
          <w:color w:val="auto"/>
        </w:rPr>
      </w:pPr>
      <w:r>
        <w:rPr>
          <w:rFonts w:ascii="Times New Roman" w:cs="Times New Roman" w:eastAsia="Times New Roman" w:hAnsi="Times New Roman"/>
          <w:sz w:val="18"/>
          <w:szCs w:val="18"/>
          <w:b w:val="1"/>
          <w:bCs w:val="1"/>
          <w:color w:val="191919"/>
        </w:rPr>
        <w:t xml:space="preserve">Qualifications: </w:t>
      </w:r>
      <w:r>
        <w:rPr>
          <w:rFonts w:ascii="Times New Roman" w:cs="Times New Roman" w:eastAsia="Times New Roman" w:hAnsi="Times New Roman"/>
          <w:sz w:val="18"/>
          <w:szCs w:val="18"/>
          <w:color w:val="191919"/>
        </w:rPr>
        <w:t>We believe that Ms. McBride’s qualifications to serve as a director include her extensive strategy and operations expertise developed</w:t>
      </w:r>
      <w:r>
        <w:rPr>
          <w:rFonts w:ascii="Times New Roman" w:cs="Times New Roman" w:eastAsia="Times New Roman" w:hAnsi="Times New Roman"/>
          <w:sz w:val="18"/>
          <w:szCs w:val="18"/>
          <w:b w:val="1"/>
          <w:bCs w:val="1"/>
          <w:color w:val="191919"/>
        </w:rPr>
        <w:t xml:space="preserve"> </w:t>
      </w:r>
      <w:r>
        <w:rPr>
          <w:rFonts w:ascii="Times New Roman" w:cs="Times New Roman" w:eastAsia="Times New Roman" w:hAnsi="Times New Roman"/>
          <w:sz w:val="18"/>
          <w:szCs w:val="18"/>
          <w:color w:val="191919"/>
        </w:rPr>
        <w:t>through twenty-five years of experience within the wireless technology industry.</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type w:val="continuous"/>
        </w:sectPr>
      </w:pPr>
    </w:p>
    <w:bookmarkStart w:id="5" w:name="page6"/>
    <w:bookmarkEnd w:id="5"/>
    <w:p>
      <w:pPr>
        <w:jc w:val="both"/>
        <w:ind w:lef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David P. McGlade</w:t>
      </w:r>
      <w:r>
        <w:rPr>
          <w:rFonts w:ascii="Times New Roman" w:cs="Times New Roman" w:eastAsia="Times New Roman" w:hAnsi="Times New Roman"/>
          <w:sz w:val="18"/>
          <w:szCs w:val="18"/>
          <w:color w:val="auto"/>
        </w:rPr>
        <w:t>, age 63, has been a director since 2005. He served as Chairman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Board of Intelsat S.A. (a formerly publicly traded worldwide provider of satellite communication services) from April 2013 to February 2022. Mr. McGlade served as Executive Chairman of Intelsat from April 2015 to March 2018, prior to which he served as Chairman and Chief Executive Officer. Mr. McGlade joined Intelsat in April 2005 and was the Deputy Chairman of Intelsat from August 2008 until April 2013. Previously, Mr. McGlade served as an Executive Director of mmO2 PLC and as the Chief Executive Officer of O2 UK (a subsidiary of mmO2), a position he held from October 2000 until March 2005.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Public Company Boards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w:t>
      </w:r>
    </w:p>
    <w:p>
      <w:pPr>
        <w:spacing w:after="0" w:line="148" w:lineRule="exact"/>
        <w:rPr>
          <w:sz w:val="20"/>
          <w:szCs w:val="20"/>
          <w:color w:val="auto"/>
        </w:rPr>
      </w:pPr>
    </w:p>
    <w:p>
      <w:pPr>
        <w:ind w:left="640" w:hanging="31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Past 5 Years</w:t>
      </w:r>
    </w:p>
    <w:p>
      <w:pPr>
        <w:spacing w:after="0" w:line="148" w:lineRule="exact"/>
        <w:rPr>
          <w:sz w:val="20"/>
          <w:szCs w:val="20"/>
          <w:color w:val="auto"/>
        </w:rPr>
      </w:pPr>
    </w:p>
    <w:p>
      <w:pPr>
        <w:ind w:left="640" w:hanging="31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Intelsat S.A. (until 2022)</w:t>
      </w:r>
    </w:p>
    <w:p>
      <w:pPr>
        <w:spacing w:after="0" w:line="760" w:lineRule="exact"/>
        <w:rPr>
          <w:sz w:val="20"/>
          <w:szCs w:val="20"/>
          <w:color w:val="auto"/>
        </w:rPr>
      </w:pPr>
    </w:p>
    <w:p>
      <w:pPr>
        <w:sectPr>
          <w:pgSz w:w="11900" w:h="16838" w:orient="portrait"/>
          <w:cols w:equalWidth="0" w:num="2">
            <w:col w:w="6300" w:space="140"/>
            <w:col w:w="4800"/>
          </w:cols>
          <w:pgMar w:left="320" w:top="1008" w:right="339" w:bottom="1440" w:gutter="0" w:footer="0" w:header="0"/>
        </w:sectPr>
      </w:pPr>
    </w:p>
    <w:p>
      <w:pPr>
        <w:spacing w:after="0" w:line="149" w:lineRule="exact"/>
        <w:rPr>
          <w:sz w:val="20"/>
          <w:szCs w:val="20"/>
          <w:color w:val="auto"/>
        </w:rPr>
      </w:pPr>
    </w:p>
    <w:p>
      <w:pPr>
        <w:spacing w:after="0" w:line="318" w:lineRule="auto"/>
        <w:rPr>
          <w:sz w:val="20"/>
          <w:szCs w:val="20"/>
          <w:color w:val="auto"/>
        </w:rPr>
      </w:pPr>
      <w:r>
        <w:rPr>
          <w:rFonts w:ascii="Times New Roman" w:cs="Times New Roman" w:eastAsia="Times New Roman" w:hAnsi="Times New Roman"/>
          <w:sz w:val="18"/>
          <w:szCs w:val="18"/>
          <w:b w:val="1"/>
          <w:bCs w:val="1"/>
          <w:color w:val="191919"/>
        </w:rPr>
        <w:t xml:space="preserve">Qualifications: </w:t>
      </w:r>
      <w:r>
        <w:rPr>
          <w:rFonts w:ascii="Times New Roman" w:cs="Times New Roman" w:eastAsia="Times New Roman" w:hAnsi="Times New Roman"/>
          <w:sz w:val="18"/>
          <w:szCs w:val="18"/>
          <w:color w:val="191919"/>
        </w:rPr>
        <w:t>We believe that Mr. McGlade’s qualifications to serve as a director include his significant operational, strategic, and financial acumen, as</w:t>
      </w:r>
      <w:r>
        <w:rPr>
          <w:rFonts w:ascii="Times New Roman" w:cs="Times New Roman" w:eastAsia="Times New Roman" w:hAnsi="Times New Roman"/>
          <w:sz w:val="18"/>
          <w:szCs w:val="18"/>
          <w:b w:val="1"/>
          <w:bCs w:val="1"/>
          <w:color w:val="191919"/>
        </w:rPr>
        <w:t xml:space="preserve"> </w:t>
      </w:r>
      <w:r>
        <w:rPr>
          <w:rFonts w:ascii="Times New Roman" w:cs="Times New Roman" w:eastAsia="Times New Roman" w:hAnsi="Times New Roman"/>
          <w:sz w:val="18"/>
          <w:szCs w:val="18"/>
          <w:color w:val="191919"/>
        </w:rPr>
        <w:t>well as his knowledge about global capital markets, developed over nearly four decades of experience in the telecommunications business.</w:t>
      </w:r>
    </w:p>
    <w:p>
      <w:pPr>
        <w:sectPr>
          <w:pgSz w:w="11900" w:h="16838" w:orient="portrait"/>
          <w:cols w:equalWidth="0" w:num="1">
            <w:col w:w="11240"/>
          </w:cols>
          <w:pgMar w:left="320" w:top="1008" w:right="339" w:bottom="1440" w:gutter="0" w:footer="0" w:header="0"/>
          <w:type w:val="continuous"/>
        </w:sectPr>
      </w:pPr>
    </w:p>
    <w:p>
      <w:pPr>
        <w:spacing w:after="0" w:line="261"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b w:val="1"/>
          <w:bCs w:val="1"/>
          <w:color w:val="auto"/>
        </w:rPr>
        <w:t>Robert A. Schriesheim</w:t>
      </w:r>
      <w:r>
        <w:rPr>
          <w:rFonts w:ascii="Times New Roman" w:cs="Times New Roman" w:eastAsia="Times New Roman" w:hAnsi="Times New Roman"/>
          <w:sz w:val="18"/>
          <w:szCs w:val="18"/>
          <w:color w:val="auto"/>
        </w:rPr>
        <w:t>, age 63, has been a director since 2006. He has been chairman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Truax Partners LLC (a consulting firm) since 2018 and has served as Adjunct Associate Professor of Finance at The University of Chicago Booth School of Business since September 2023. He served as Executive Vice President and Chief Financial Officer of Sears Holdings Corporation (a publicly traded nationwide retailer) from August 2011 to October 2016. From January 2010 to October 2010, Mr. Schriesheim was Chief Financial Officer of Hewitt Associates, Inc. (a global human resources consulting and outsourcing company that was acquired by Aon Corporation). From October 2006 until December 2009, he was the Executive Vice President and Chief Financial Officer of Lawson Software, Inc. (a publicly traded ERP software provider).</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Public Company Boards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w:t>
      </w:r>
    </w:p>
    <w:p>
      <w:pPr>
        <w:spacing w:after="0" w:line="162" w:lineRule="exact"/>
        <w:rPr>
          <w:sz w:val="20"/>
          <w:szCs w:val="20"/>
          <w:color w:val="auto"/>
        </w:rPr>
      </w:pPr>
    </w:p>
    <w:p>
      <w:pPr>
        <w:ind w:left="640" w:hanging="324"/>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Houlihan Lokey, Inc., Lead Independent Director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Past 5 Years</w:t>
      </w:r>
    </w:p>
    <w:p>
      <w:pPr>
        <w:spacing w:after="0" w:line="162" w:lineRule="exact"/>
        <w:rPr>
          <w:sz w:val="20"/>
          <w:szCs w:val="20"/>
          <w:color w:val="auto"/>
        </w:rPr>
      </w:pPr>
    </w:p>
    <w:p>
      <w:pPr>
        <w:ind w:left="640" w:hanging="324"/>
        <w:spacing w:after="0"/>
        <w:tabs>
          <w:tab w:leader="none" w:pos="6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Frontier Communications Corporation (until 2021)</w:t>
      </w:r>
    </w:p>
    <w:p>
      <w:pPr>
        <w:spacing w:after="0" w:line="38" w:lineRule="exact"/>
        <w:rPr>
          <w:rFonts w:ascii="Times New Roman" w:cs="Times New Roman" w:eastAsia="Times New Roman" w:hAnsi="Times New Roman"/>
          <w:sz w:val="17"/>
          <w:szCs w:val="17"/>
          <w:color w:val="auto"/>
        </w:rPr>
      </w:pPr>
    </w:p>
    <w:p>
      <w:pPr>
        <w:ind w:left="640" w:hanging="324"/>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NII Holdings, Inc. (until 2019)</w:t>
      </w:r>
    </w:p>
    <w:p>
      <w:pPr>
        <w:spacing w:after="0" w:line="742" w:lineRule="exact"/>
        <w:rPr>
          <w:sz w:val="20"/>
          <w:szCs w:val="20"/>
          <w:color w:val="auto"/>
        </w:rPr>
      </w:pPr>
    </w:p>
    <w:p>
      <w:pPr>
        <w:sectPr>
          <w:pgSz w:w="11900" w:h="16838" w:orient="portrait"/>
          <w:cols w:equalWidth="0" w:num="2">
            <w:col w:w="6320" w:space="140"/>
            <w:col w:w="4780"/>
          </w:cols>
          <w:pgMar w:left="320" w:top="1008" w:right="339" w:bottom="1440" w:gutter="0" w:footer="0" w:header="0"/>
          <w:type w:val="continuous"/>
        </w:sectPr>
      </w:pPr>
    </w:p>
    <w:p>
      <w:pPr>
        <w:spacing w:after="0" w:line="162"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8"/>
          <w:szCs w:val="18"/>
          <w:b w:val="1"/>
          <w:bCs w:val="1"/>
          <w:color w:val="191919"/>
        </w:rPr>
        <w:t xml:space="preserve">Qualifications: </w:t>
      </w:r>
      <w:r>
        <w:rPr>
          <w:rFonts w:ascii="Times New Roman" w:cs="Times New Roman" w:eastAsia="Times New Roman" w:hAnsi="Times New Roman"/>
          <w:sz w:val="18"/>
          <w:szCs w:val="18"/>
          <w:color w:val="191919"/>
        </w:rPr>
        <w:t>We believe that Mr. Schriesheim’s qualifications to serve as a director include his extensive knowledge of the capital markets and corporate</w:t>
      </w:r>
      <w:r>
        <w:rPr>
          <w:rFonts w:ascii="Times New Roman" w:cs="Times New Roman" w:eastAsia="Times New Roman" w:hAnsi="Times New Roman"/>
          <w:sz w:val="18"/>
          <w:szCs w:val="18"/>
          <w:b w:val="1"/>
          <w:bCs w:val="1"/>
          <w:color w:val="191919"/>
        </w:rPr>
        <w:t xml:space="preserve"> </w:t>
      </w:r>
      <w:r>
        <w:rPr>
          <w:rFonts w:ascii="Times New Roman" w:cs="Times New Roman" w:eastAsia="Times New Roman" w:hAnsi="Times New Roman"/>
          <w:sz w:val="18"/>
          <w:szCs w:val="18"/>
          <w:color w:val="191919"/>
        </w:rPr>
        <w:t>financial capital structures, his expertise evaluating and structuring merger and acquisition transactions within the technology sector, and his experience gained through leading companies through major strategic and financial corporate transformations.</w:t>
      </w:r>
    </w:p>
    <w:p>
      <w:pPr>
        <w:sectPr>
          <w:pgSz w:w="11900" w:h="16838" w:orient="portrait"/>
          <w:cols w:equalWidth="0" w:num="1">
            <w:col w:w="11240"/>
          </w:cols>
          <w:pgMar w:left="320" w:top="1008" w:right="339" w:bottom="1440" w:gutter="0" w:footer="0" w:header="0"/>
          <w:type w:val="continuous"/>
        </w:sectPr>
      </w:pPr>
    </w:p>
    <w:p>
      <w:pPr>
        <w:spacing w:after="0" w:line="299" w:lineRule="exact"/>
        <w:rPr>
          <w:sz w:val="20"/>
          <w:szCs w:val="20"/>
          <w:color w:val="auto"/>
        </w:rPr>
      </w:pPr>
    </w:p>
    <w:p>
      <w:pPr>
        <w:jc w:val="both"/>
        <w:ind w:left="20"/>
        <w:spacing w:after="0" w:line="280" w:lineRule="auto"/>
        <w:rPr>
          <w:sz w:val="20"/>
          <w:szCs w:val="20"/>
          <w:color w:val="auto"/>
        </w:rPr>
      </w:pPr>
      <w:r>
        <w:rPr>
          <w:rFonts w:ascii="Times New Roman" w:cs="Times New Roman" w:eastAsia="Times New Roman" w:hAnsi="Times New Roman"/>
          <w:sz w:val="18"/>
          <w:szCs w:val="18"/>
          <w:b w:val="1"/>
          <w:bCs w:val="1"/>
          <w:color w:val="auto"/>
        </w:rPr>
        <w:t>Maryann Turcke</w:t>
      </w:r>
      <w:r>
        <w:rPr>
          <w:rFonts w:ascii="Times New Roman" w:cs="Times New Roman" w:eastAsia="Times New Roman" w:hAnsi="Times New Roman"/>
          <w:sz w:val="18"/>
          <w:szCs w:val="18"/>
          <w:color w:val="auto"/>
        </w:rPr>
        <w:t>, age 58, has been a director since 2023. Most recently, she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senior advisor at Brookfield Asset Management from September 2020 to September 2022. Previously, Ms. Turcke served as Chief Operating Officer of the National Football League (NFL) from January 2018 to September 2020 and as a Senior Advisor for the NFL from September 2020 to May 2021. She joined the league as President of NFL Network, Digital Media, NFL Films and IT in April 2017. Prior to the NFL, Ms. Turcke served for more than a decade in various leadership roles within BCE Inc. (a publicly traded communications company formerly known as Bell Canada Enterprises), including serving from April 2015 to February 2017 as president of Bell Media, a division of BCE.</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Public Company Boards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w:t>
      </w:r>
    </w:p>
    <w:p>
      <w:pPr>
        <w:spacing w:after="0" w:line="162" w:lineRule="exact"/>
        <w:rPr>
          <w:sz w:val="20"/>
          <w:szCs w:val="20"/>
          <w:color w:val="auto"/>
        </w:rPr>
      </w:pPr>
    </w:p>
    <w:p>
      <w:pPr>
        <w:ind w:left="640" w:hanging="324"/>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Frontier Communications Parent, Inc.</w:t>
      </w:r>
    </w:p>
    <w:p>
      <w:pPr>
        <w:spacing w:after="0" w:line="36"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 Bank of Canada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Past 5 Years</w:t>
      </w:r>
    </w:p>
    <w:p>
      <w:pPr>
        <w:spacing w:after="0" w:line="148" w:lineRule="exact"/>
        <w:rPr>
          <w:sz w:val="20"/>
          <w:szCs w:val="20"/>
          <w:color w:val="auto"/>
        </w:rPr>
      </w:pPr>
    </w:p>
    <w:p>
      <w:pPr>
        <w:ind w:left="640" w:hanging="324"/>
        <w:spacing w:after="0"/>
        <w:tabs>
          <w:tab w:leader="none" w:pos="6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Northern Star Investment Corp. II (until 2023)</w:t>
      </w:r>
    </w:p>
    <w:p>
      <w:pPr>
        <w:spacing w:after="0" w:line="741" w:lineRule="exact"/>
        <w:rPr>
          <w:sz w:val="20"/>
          <w:szCs w:val="20"/>
          <w:color w:val="auto"/>
        </w:rPr>
      </w:pPr>
    </w:p>
    <w:p>
      <w:pPr>
        <w:sectPr>
          <w:pgSz w:w="11900" w:h="16838" w:orient="portrait"/>
          <w:cols w:equalWidth="0" w:num="2">
            <w:col w:w="6320" w:space="140"/>
            <w:col w:w="4780"/>
          </w:cols>
          <w:pgMar w:left="320" w:top="1008" w:right="33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6" w:name="page7"/>
    <w:bookmarkEnd w:id="6"/>
    <w:p>
      <w:pPr>
        <w:jc w:val="both"/>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Qualifications: </w:t>
      </w:r>
      <w:r>
        <w:rPr>
          <w:rFonts w:ascii="Times New Roman" w:cs="Times New Roman" w:eastAsia="Times New Roman" w:hAnsi="Times New Roman"/>
          <w:sz w:val="18"/>
          <w:szCs w:val="18"/>
          <w:color w:val="auto"/>
        </w:rPr>
        <w:t>We believe that Ms. Turcke’s qualifications to serve as a director include her significant operational, management and financial experience,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in the telecommunications industry.</w:t>
      </w:r>
    </w:p>
    <w:p>
      <w:pPr>
        <w:spacing w:after="0" w:line="198"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In addition to the information presented above regarding each director’s specific experience, qualifications, attributes, and skills that led our Board of Directors to conclude that he or she should serve as a director, we also believe that each of our directors has a reputation for integrity, honesty, and adherence to high ethical standards. They have each demonstrated business acumen, an ability to exercise sound judgment, and a commitment of service to Skyworks. Each of our directors will serve until the 2024 Annual Meeting of Stockholders and until their successors are elected and qualified or until their earlier resignation or removal.</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(other than the Chief Executive Officer)</w:t>
      </w:r>
    </w:p>
    <w:p>
      <w:pPr>
        <w:spacing w:after="0" w:line="293"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8"/>
          <w:szCs w:val="18"/>
          <w:b w:val="1"/>
          <w:bCs w:val="1"/>
          <w:i w:val="1"/>
          <w:iCs w:val="1"/>
          <w:color w:val="auto"/>
        </w:rPr>
        <w:t>Carlos S. Bori</w:t>
      </w:r>
      <w:r>
        <w:rPr>
          <w:rFonts w:ascii="Times New Roman" w:cs="Times New Roman" w:eastAsia="Times New Roman" w:hAnsi="Times New Roman"/>
          <w:sz w:val="18"/>
          <w:szCs w:val="18"/>
          <w:color w:val="auto"/>
        </w:rPr>
        <w:t>, age 53, joined the Company in July 2013 and has served as Senior Vice President, Sales and Marketing, since November 2017.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served as Vice President, Sales and Marketing, from May 2016 to November 2017 and as Vice President, Marketing, from July 2013 to May 2016. Previously, he spent more than 18 years with Beacon Electronic Associates (a North American independent representative of semiconductor manufacturers), serving as its President from 2004 to 2013.</w:t>
      </w:r>
    </w:p>
    <w:p>
      <w:pPr>
        <w:spacing w:after="0" w:line="211"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8"/>
          <w:szCs w:val="18"/>
          <w:b w:val="1"/>
          <w:bCs w:val="1"/>
          <w:i w:val="1"/>
          <w:iCs w:val="1"/>
          <w:color w:val="auto"/>
        </w:rPr>
        <w:t>Karilee A. Durham</w:t>
      </w:r>
      <w:r>
        <w:rPr>
          <w:rFonts w:ascii="Times New Roman" w:cs="Times New Roman" w:eastAsia="Times New Roman" w:hAnsi="Times New Roman"/>
          <w:sz w:val="18"/>
          <w:szCs w:val="18"/>
          <w:color w:val="auto"/>
        </w:rPr>
        <w:t>, age 55, joined the Company in April 2018 and is Senior Vice President, Human Resources. Previously, Ms. Durham served as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President, Human Resources and General Affairs for Goodman Global Group, Inc. (an HVAC manufacturing and distribution company) from September 2010 to April 2018. Earlier, she held multiple senior human resources positions with Dell Inc. (a computer retailer) from October 2007 to September 2010, prior to which she held human resources positions at Flextronics International Ltd., Solectron Corporation, and UT-Battelle LLC.</w:t>
      </w:r>
    </w:p>
    <w:p>
      <w:pPr>
        <w:spacing w:after="0" w:line="19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8"/>
          <w:szCs w:val="18"/>
          <w:b w:val="1"/>
          <w:bCs w:val="1"/>
          <w:i w:val="1"/>
          <w:iCs w:val="1"/>
          <w:color w:val="auto"/>
        </w:rPr>
        <w:t>Reza Kasnavi</w:t>
      </w:r>
      <w:r>
        <w:rPr>
          <w:rFonts w:ascii="Times New Roman" w:cs="Times New Roman" w:eastAsia="Times New Roman" w:hAnsi="Times New Roman"/>
          <w:sz w:val="18"/>
          <w:szCs w:val="18"/>
          <w:color w:val="auto"/>
        </w:rPr>
        <w:t>, age 50, joined the Company in 2010 and has served as Senior Vice President, Technology and Manufacturing, since November 2019.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served as Vice President and General Manager, Open Market Platforms, from November 2012 to September 2018 and as Vice President, Central Engineering and Quality, from September 2018 to November 2019. Prior to joining Skyworks, Dr. Kasnavi spent 10 years as an investor and executive with Tallwood Venture Capital (an investment firm focused on semiconductor-related technologies and markets), holding various leadership positions at several Tallwood portfolio companies including Sequoia Communications.</w:t>
      </w:r>
    </w:p>
    <w:p>
      <w:pPr>
        <w:spacing w:after="0" w:line="21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b w:val="1"/>
          <w:bCs w:val="1"/>
          <w:i w:val="1"/>
          <w:iCs w:val="1"/>
          <w:color w:val="auto"/>
        </w:rPr>
        <w:t>Kris Sennesael</w:t>
      </w:r>
      <w:r>
        <w:rPr>
          <w:rFonts w:ascii="Times New Roman" w:cs="Times New Roman" w:eastAsia="Times New Roman" w:hAnsi="Times New Roman"/>
          <w:sz w:val="18"/>
          <w:szCs w:val="18"/>
          <w:color w:val="auto"/>
        </w:rPr>
        <w:t>, age 55, joined the Company in August 2016 and is Senior Vice President and Chief Financial Officer. Previously, Mr. Sennesael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Financial Officer for Enphase Energy, Inc. (a semiconductor-based renewable energy solutions provider), from September 2012 to August 2016. Earlier, he served as Chief Financial Officer for Standard Microsystems Corporation (a global fabless semiconductor company) from January 2009 to August 2012, prior to which he held financial positions at ON Semiconductor Corp., AMI Semiconductor, Inc., and Alcatel Microelectronics. Mr. Sennesael currently serves on the board of directors of Maxeon Solar Technologies, Ltd. (a publicly traded manufacturer and provider of solar energy products).</w:t>
      </w:r>
    </w:p>
    <w:p>
      <w:pPr>
        <w:spacing w:after="0" w:line="215"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8"/>
          <w:szCs w:val="18"/>
          <w:b w:val="1"/>
          <w:bCs w:val="1"/>
          <w:i w:val="1"/>
          <w:iCs w:val="1"/>
          <w:color w:val="auto"/>
        </w:rPr>
        <w:t>Robert J. Terry</w:t>
      </w:r>
      <w:r>
        <w:rPr>
          <w:rFonts w:ascii="Times New Roman" w:cs="Times New Roman" w:eastAsia="Times New Roman" w:hAnsi="Times New Roman"/>
          <w:sz w:val="18"/>
          <w:szCs w:val="18"/>
          <w:color w:val="auto"/>
        </w:rPr>
        <w:t>, age 57, joined the Company in 2003 and has served as Senior Vice President, General Counsel and Secretary since November 2017.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served as Vice President, General Counsel and Secretary from November 2016 to November 2017 and as Vice President, Associate General Counsel and Assistant Secretary from June 2011 to November 2016. Before joining Skyworks, he served as General Counsel and Secretary for Day Software, Inc. (an enterprise content management software company), from July 2001 to February 2003. Prior to joining Day Software, Mr. Terry was in private practice, focusing on corporate and securities matters, mergers and acquisitions, and general business litigation.</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7" w:name="page8"/>
    <w:bookmarkEnd w:id="7"/>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56"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We have established an Audit Committee consisting of the following individuals, each of whom qualifies as independent within the meaning of the applicable Listing Rules of the Nasdaq Stock Market LLC (the “Nasdaq Rules”) and meets the criteria for independence set forth in Rule 10A-3(b)(1) under the Securities Exchange Act of 1934 (“Exchange Act”): David P. McGlade (Chairman), Eric Guerin, Christine King, and Robert A. Schriesheim. The Board of Directors has determined that each of Mr. McGlade (Chairman), Mr. Guerin, Ms. King, and Mr. Schriesheim meets the qualifications of an “audit committee financial expert” under SEC Rules and the qualifications of “financial sophistication” under the applicable Nasdaq Rules.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Code of Ethics</w:t>
      </w:r>
    </w:p>
    <w:p>
      <w:pPr>
        <w:spacing w:after="0" w:line="260"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We make available our code of business conduct and ethics free of charge through our website at </w:t>
      </w:r>
      <w:r>
        <w:rPr>
          <w:rFonts w:ascii="Times New Roman" w:cs="Times New Roman" w:eastAsia="Times New Roman" w:hAnsi="Times New Roman"/>
          <w:sz w:val="18"/>
          <w:szCs w:val="18"/>
          <w:i w:val="1"/>
          <w:iCs w:val="1"/>
          <w:color w:val="auto"/>
        </w:rPr>
        <w:t>www.skyworksinc.com</w:t>
      </w:r>
      <w:r>
        <w:rPr>
          <w:rFonts w:ascii="Times New Roman" w:cs="Times New Roman" w:eastAsia="Times New Roman" w:hAnsi="Times New Roman"/>
          <w:sz w:val="18"/>
          <w:szCs w:val="18"/>
          <w:color w:val="auto"/>
        </w:rPr>
        <w:t>. We intend to disclose any amendments to, or waivers from, our code of business conduct and ethics that are required to be publicly disclosed by posting any such amendment or waivers on our website pursuant to SEC requirements and Nasdaq Rules.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Compensation Discussion and Analysis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w:t>
      </w:r>
    </w:p>
    <w:p>
      <w:pPr>
        <w:spacing w:after="0" w:line="256" w:lineRule="exact"/>
        <w:rPr>
          <w:sz w:val="20"/>
          <w:szCs w:val="20"/>
          <w:color w:val="auto"/>
        </w:rPr>
      </w:pPr>
    </w:p>
    <w:p>
      <w:pPr>
        <w:jc w:val="both"/>
        <w:ind w:firstLine="389"/>
        <w:spacing w:after="0" w:line="302" w:lineRule="auto"/>
        <w:rPr>
          <w:sz w:val="20"/>
          <w:szCs w:val="20"/>
          <w:color w:val="auto"/>
        </w:rPr>
      </w:pPr>
      <w:r>
        <w:rPr>
          <w:rFonts w:ascii="Times New Roman" w:cs="Times New Roman" w:eastAsia="Times New Roman" w:hAnsi="Times New Roman"/>
          <w:sz w:val="18"/>
          <w:szCs w:val="18"/>
          <w:color w:val="auto"/>
        </w:rPr>
        <w:t>This Compensation Discussion and Analysis section discusses the compensation policies and programs for our Chief Executive Officer, our Chief Financial Officer, and our three next most highly paid executive officers during our fiscal year ended September 29, 2023 (“fiscal year 2023”), as determined under the rules of the SEC. We refer to this group of executive officers as our “Named Executive Officers.” For fiscal year 2023, our Named Executive Officers were:</w:t>
      </w:r>
    </w:p>
    <w:p>
      <w:pPr>
        <w:spacing w:after="0" w:line="173" w:lineRule="exact"/>
        <w:rPr>
          <w:sz w:val="20"/>
          <w:szCs w:val="20"/>
          <w:color w:val="auto"/>
        </w:rPr>
      </w:pPr>
    </w:p>
    <w:p>
      <w:pPr>
        <w:ind w:left="500" w:hanging="103"/>
        <w:spacing w:after="0"/>
        <w:tabs>
          <w:tab w:leader="none" w:pos="5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Liam K. Griffin, Chairman, Chief Executive Officer and President;</w:t>
      </w:r>
    </w:p>
    <w:p>
      <w:pPr>
        <w:spacing w:after="0" w:line="198" w:lineRule="exact"/>
        <w:rPr>
          <w:rFonts w:ascii="Times New Roman" w:cs="Times New Roman" w:eastAsia="Times New Roman" w:hAnsi="Times New Roman"/>
          <w:sz w:val="18"/>
          <w:szCs w:val="18"/>
          <w:b w:val="1"/>
          <w:bCs w:val="1"/>
          <w:color w:val="auto"/>
        </w:rPr>
      </w:pPr>
    </w:p>
    <w:p>
      <w:pPr>
        <w:ind w:left="500" w:hanging="103"/>
        <w:spacing w:after="0"/>
        <w:tabs>
          <w:tab w:leader="none" w:pos="5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Kris Sennesael, Senior Vice President and Chief Financial Officer;</w:t>
      </w:r>
    </w:p>
    <w:p>
      <w:pPr>
        <w:spacing w:after="0" w:line="184" w:lineRule="exact"/>
        <w:rPr>
          <w:rFonts w:ascii="Times New Roman" w:cs="Times New Roman" w:eastAsia="Times New Roman" w:hAnsi="Times New Roman"/>
          <w:sz w:val="18"/>
          <w:szCs w:val="18"/>
          <w:b w:val="1"/>
          <w:bCs w:val="1"/>
          <w:color w:val="auto"/>
        </w:rPr>
      </w:pPr>
    </w:p>
    <w:p>
      <w:pPr>
        <w:ind w:left="500" w:hanging="103"/>
        <w:spacing w:after="0"/>
        <w:tabs>
          <w:tab w:leader="none" w:pos="5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Reza Kasnavi, Senior Vice President, Technology and Manufacturing;</w:t>
      </w:r>
    </w:p>
    <w:p>
      <w:pPr>
        <w:spacing w:after="0" w:line="184" w:lineRule="exact"/>
        <w:rPr>
          <w:rFonts w:ascii="Times New Roman" w:cs="Times New Roman" w:eastAsia="Times New Roman" w:hAnsi="Times New Roman"/>
          <w:sz w:val="18"/>
          <w:szCs w:val="18"/>
          <w:b w:val="1"/>
          <w:bCs w:val="1"/>
          <w:color w:val="auto"/>
        </w:rPr>
      </w:pPr>
    </w:p>
    <w:p>
      <w:pPr>
        <w:ind w:left="500" w:hanging="103"/>
        <w:spacing w:after="0"/>
        <w:tabs>
          <w:tab w:leader="none" w:pos="5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Carlos S. Bori, Senior Vice President, Sales and Marketing; and</w:t>
      </w:r>
    </w:p>
    <w:p>
      <w:pPr>
        <w:spacing w:after="0" w:line="184" w:lineRule="exact"/>
        <w:rPr>
          <w:rFonts w:ascii="Times New Roman" w:cs="Times New Roman" w:eastAsia="Times New Roman" w:hAnsi="Times New Roman"/>
          <w:sz w:val="18"/>
          <w:szCs w:val="18"/>
          <w:b w:val="1"/>
          <w:bCs w:val="1"/>
          <w:color w:val="auto"/>
        </w:rPr>
      </w:pPr>
    </w:p>
    <w:p>
      <w:pPr>
        <w:ind w:left="500" w:hanging="103"/>
        <w:spacing w:after="0"/>
        <w:tabs>
          <w:tab w:leader="none" w:pos="5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Robert J. Terry, Senior Vice President, General Counsel and Secretary.</w:t>
      </w:r>
    </w:p>
    <w:p>
      <w:pPr>
        <w:spacing w:after="0" w:line="3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Engagement with Stockholders Regarding Executive Compensation</w:t>
      </w:r>
    </w:p>
    <w:p>
      <w:pPr>
        <w:spacing w:after="0" w:line="256" w:lineRule="exact"/>
        <w:rPr>
          <w:sz w:val="20"/>
          <w:szCs w:val="20"/>
          <w:color w:val="auto"/>
        </w:rPr>
      </w:pPr>
    </w:p>
    <w:p>
      <w:pPr>
        <w:jc w:val="both"/>
        <w:ind w:firstLine="389"/>
        <w:spacing w:after="0" w:line="294" w:lineRule="auto"/>
        <w:rPr>
          <w:sz w:val="20"/>
          <w:szCs w:val="20"/>
          <w:color w:val="auto"/>
        </w:rPr>
      </w:pPr>
      <w:r>
        <w:rPr>
          <w:rFonts w:ascii="Times New Roman" w:cs="Times New Roman" w:eastAsia="Times New Roman" w:hAnsi="Times New Roman"/>
          <w:sz w:val="18"/>
          <w:szCs w:val="18"/>
          <w:color w:val="auto"/>
        </w:rPr>
        <w:t>In evaluating and establishing our executive compensation policies and programs, our Compensation Committee values and actively considers the opinions expressed by our stockholders through the “say-on-pay” advisory vote at each annual stockholder meeting, as well as through our ongoing stockholder engagement efforts. At our 2023 Annual Meeting of Stockholders (the “2023 Annual Meeting”), approximately 79% of the votes cast approved our “say-on-pay” proposal, reflecting continued support for our compensation policies and determinations for our fiscal year ended September 30, 2022 (“fiscal year 2022”), including the updates the Compensation Committee had made for fiscal year 2022 in response to stockholder feedback. That said, we recognize that support for say-on-pay reflected a modest decline from 86% the previous year and the importance of continued, robust stockholder engagement and responsiveness to stockholder input on compensation matters.</w:t>
      </w:r>
    </w:p>
    <w:p>
      <w:pPr>
        <w:spacing w:after="0" w:line="196"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Following the 2023 Annual Meeting and through December 2023, we engaged in formal stockholder outreach, soliciting feedback from more than 20 institutional stockholders representing approximately 51% of the Company’s shares outstanding. Stockholders representing approximately 36% of the Company’s shares outstanding responded to the outreach, either with written feedback, a request to speak, or by declining the invitation. Generally, investors who declined a meeting noted that they did so because they did not have any concerns to discuss. We held engagement meetings with each of those stockholders who requested to meet. The Lead Independent Director and Chairman of our Compensation Committee, Ms. King, was actively involved in stockholder engagement.</w:t>
      </w:r>
    </w:p>
    <w:p>
      <w:pPr>
        <w:spacing w:after="0" w:line="178" w:lineRule="exact"/>
        <w:rPr>
          <w:sz w:val="20"/>
          <w:szCs w:val="20"/>
          <w:color w:val="auto"/>
        </w:rPr>
      </w:pPr>
    </w:p>
    <w:p>
      <w:pPr>
        <w:jc w:val="both"/>
        <w:ind w:firstLine="389"/>
        <w:spacing w:after="0" w:line="294" w:lineRule="auto"/>
        <w:rPr>
          <w:sz w:val="20"/>
          <w:szCs w:val="20"/>
          <w:color w:val="auto"/>
        </w:rPr>
      </w:pPr>
      <w:r>
        <w:rPr>
          <w:rFonts w:ascii="Times New Roman" w:cs="Times New Roman" w:eastAsia="Times New Roman" w:hAnsi="Times New Roman"/>
          <w:sz w:val="18"/>
          <w:szCs w:val="18"/>
          <w:color w:val="auto"/>
        </w:rPr>
        <w:t>During these conversations, institutional stockholders were interested in discussing a range of topics beyond executive compensation, including our corporate governance, our efforts to eliminate the supermajority vote provisions from our Restated Certificate of Incorporation, and our sustainability efforts, among others, with many expressing approval of the Company’s strategy, performance, and management. In addition, stockholders generally did not express concerns with the overall structure of our compensation program and broadly shared support for the Company’s demonstrated history of disclosure and stockholder responsiveness, including relating to compensation policies and plan designs. In some cases, investors asked for more information on the rationale behind our metrics and performance periods, including seeking to better understand our utilization of two semi-annual performance periods for our short-term incentive program and our emerging revenue growth metric in our long-term stock-based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9" w:name="page10"/>
    <w:bookmarkEnd w:id="9"/>
    <w:p>
      <w:pPr>
        <w:jc w:val="both"/>
        <w:spacing w:after="0" w:line="313" w:lineRule="auto"/>
        <w:rPr>
          <w:sz w:val="20"/>
          <w:szCs w:val="20"/>
          <w:color w:val="auto"/>
        </w:rPr>
      </w:pPr>
      <w:r>
        <w:rPr>
          <w:rFonts w:ascii="Times New Roman" w:cs="Times New Roman" w:eastAsia="Times New Roman" w:hAnsi="Times New Roman"/>
          <w:sz w:val="18"/>
          <w:szCs w:val="18"/>
          <w:color w:val="auto"/>
        </w:rPr>
        <w:t>compensation awards. Stockholders found our explanations helpful and shared that they had a better understanding of the Company’s design of its compensation plans following these discussions.</w:t>
      </w:r>
    </w:p>
    <w:p>
      <w:pPr>
        <w:spacing w:after="0" w:line="176" w:lineRule="exact"/>
        <w:rPr>
          <w:sz w:val="20"/>
          <w:szCs w:val="20"/>
          <w:color w:val="auto"/>
        </w:rPr>
      </w:pPr>
    </w:p>
    <w:p>
      <w:pPr>
        <w:jc w:val="both"/>
        <w:ind w:firstLine="389"/>
        <w:spacing w:after="0" w:line="294" w:lineRule="auto"/>
        <w:rPr>
          <w:sz w:val="20"/>
          <w:szCs w:val="20"/>
          <w:color w:val="auto"/>
        </w:rPr>
      </w:pPr>
      <w:r>
        <w:rPr>
          <w:rFonts w:ascii="Times New Roman" w:cs="Times New Roman" w:eastAsia="Times New Roman" w:hAnsi="Times New Roman"/>
          <w:sz w:val="18"/>
          <w:szCs w:val="18"/>
          <w:color w:val="auto"/>
        </w:rPr>
        <w:t>After considering this input from our stockholders, as well as evaluating best practices related to executive compensation by public companies generally, and our peer group specifically, our Compensation Committee determined that overall, the Company’s executive compensation policies and plan designs remained appropriate and in the best interests of the Company and its stockholders. To further support the alignment between the Company and its stockholders, for fiscal year 2023, the Compensation Committee modified the peer group, replacing two companies with larger market capitalizations that were acquired with two companies with comparable market capitalizations. In addition, the Compensation Committee returned the short-term incentive program for the fiscal year ending September 27, 2024 (“fiscal year 2024”) from two semi-annual performance periods to one annual performance period because the Compensation Committee believed that it could set appropriately rigorous performance goals for a one-year period.</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Approach for Determining Form and Amounts of Compensation</w:t>
      </w:r>
    </w:p>
    <w:p>
      <w:pPr>
        <w:spacing w:after="0" w:line="229" w:lineRule="exact"/>
        <w:rPr>
          <w:sz w:val="20"/>
          <w:szCs w:val="20"/>
          <w:color w:val="auto"/>
        </w:rPr>
      </w:pPr>
    </w:p>
    <w:p>
      <w:pPr>
        <w:jc w:val="both"/>
        <w:ind w:firstLine="389"/>
        <w:spacing w:after="0" w:line="294" w:lineRule="auto"/>
        <w:rPr>
          <w:sz w:val="20"/>
          <w:szCs w:val="20"/>
          <w:color w:val="auto"/>
        </w:rPr>
      </w:pPr>
      <w:r>
        <w:rPr>
          <w:rFonts w:ascii="Times New Roman" w:cs="Times New Roman" w:eastAsia="Times New Roman" w:hAnsi="Times New Roman"/>
          <w:sz w:val="18"/>
          <w:szCs w:val="18"/>
          <w:color w:val="auto"/>
        </w:rPr>
        <w:t>The Compensation Committee, which is composed solely of independent directors within the meaning of applicable Nasdaq Rules and non-employee directors within the meaning of Rule 16b-3 under the Exchange Act, is responsible for determining all components and amounts of compensation to be paid to our Named Executive Officers, as well as any other executive officers or employees who report directly to the Chief Executive Officer. The Compensation Committee sets compensation for the Named Executive Officers, including base salary, short-term incentives, and long-term stock-based incentives, at levels generally intended to be competitive with the compensation of comparable executives in semiconductor companies with which we compete for executive talent and to link the compensation of our Named Executive Officers to improvements in the Company’s financial performance and increases in stockholder value.</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u w:val="single" w:color="auto"/>
          <w:color w:val="auto"/>
        </w:rPr>
        <w:t>Compensation Program Objectives</w:t>
      </w:r>
    </w:p>
    <w:p>
      <w:pPr>
        <w:spacing w:after="0" w:line="227" w:lineRule="exact"/>
        <w:rPr>
          <w:sz w:val="20"/>
          <w:szCs w:val="20"/>
          <w:color w:val="auto"/>
        </w:rPr>
      </w:pPr>
    </w:p>
    <w:p>
      <w:pPr>
        <w:jc w:val="both"/>
        <w:ind w:firstLine="389"/>
        <w:spacing w:after="0" w:line="305" w:lineRule="auto"/>
        <w:rPr>
          <w:sz w:val="20"/>
          <w:szCs w:val="20"/>
          <w:color w:val="auto"/>
        </w:rPr>
      </w:pPr>
      <w:r>
        <w:rPr>
          <w:rFonts w:ascii="Times New Roman" w:cs="Times New Roman" w:eastAsia="Times New Roman" w:hAnsi="Times New Roman"/>
          <w:sz w:val="18"/>
          <w:szCs w:val="18"/>
          <w:color w:val="auto"/>
        </w:rPr>
        <w:t>The objectives of our executive compensation program are to attract, retain, and motivate highly qualified executives to operate our business, and to link the compensation of those executives to improvements in the Company’s financial performance and increases in stockholder value. Accordingly, the Compensation Committee’s goals in establishing our executive compensation program include:</w:t>
      </w:r>
    </w:p>
    <w:p>
      <w:pPr>
        <w:spacing w:after="0" w:line="61" w:lineRule="exact"/>
        <w:rPr>
          <w:sz w:val="20"/>
          <w:szCs w:val="20"/>
          <w:color w:val="auto"/>
        </w:rPr>
      </w:pPr>
    </w:p>
    <w:p>
      <w:pPr>
        <w:ind w:left="660" w:right="20" w:hanging="328"/>
        <w:spacing w:after="0" w:line="329"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our executive compensation program is competitive with a group of companies in the semiconductor industry with which we compete for executive talent;</w:t>
      </w:r>
    </w:p>
    <w:p>
      <w:pPr>
        <w:spacing w:after="0" w:line="80"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base salary that serves as the foundation of a compensation package that attracts and retains the executive talent needed to achieve our business objectives;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short-term variable compensation that motivates executives and rewards them for achieving Company financial performance targets;</w:t>
      </w:r>
    </w:p>
    <w:p>
      <w:pPr>
        <w:spacing w:after="0" w:line="184"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long-term stock-based compensation that aligns the interest of our executives with stockholders by rewarding them for long-term increases in stockholder value; and</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our executive compensation program is perceived as fundamentally fair to our employees.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Retention of Compensation Consultant</w:t>
      </w:r>
    </w:p>
    <w:p>
      <w:pPr>
        <w:spacing w:after="0" w:line="227" w:lineRule="exact"/>
        <w:rPr>
          <w:sz w:val="20"/>
          <w:szCs w:val="20"/>
          <w:color w:val="auto"/>
        </w:rPr>
      </w:pPr>
    </w:p>
    <w:p>
      <w:pPr>
        <w:jc w:val="both"/>
        <w:ind w:firstLine="389"/>
        <w:spacing w:after="0" w:line="305" w:lineRule="auto"/>
        <w:rPr>
          <w:sz w:val="20"/>
          <w:szCs w:val="20"/>
          <w:color w:val="auto"/>
        </w:rPr>
      </w:pPr>
      <w:r>
        <w:rPr>
          <w:rFonts w:ascii="Times New Roman" w:cs="Times New Roman" w:eastAsia="Times New Roman" w:hAnsi="Times New Roman"/>
          <w:sz w:val="18"/>
          <w:szCs w:val="18"/>
          <w:color w:val="auto"/>
        </w:rPr>
        <w:t>The Compensation Committee has engaged Aon Consulting (“Aon”) to assist in determining the components and amount of executive compensation. Aon reports directly to the Compensation Committee, through its chairman, and the Compensation Committee retains the right to terminate or replace the consultant at any time. The Compensation Committee has considered the relationships that Aon has with the Company, the members of the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0" w:name="page11"/>
    <w:bookmarkEnd w:id="10"/>
    <w:p>
      <w:pPr>
        <w:jc w:val="both"/>
        <w:spacing w:after="0" w:line="297" w:lineRule="auto"/>
        <w:rPr>
          <w:sz w:val="20"/>
          <w:szCs w:val="20"/>
          <w:color w:val="auto"/>
        </w:rPr>
      </w:pPr>
      <w:r>
        <w:rPr>
          <w:rFonts w:ascii="Times New Roman" w:cs="Times New Roman" w:eastAsia="Times New Roman" w:hAnsi="Times New Roman"/>
          <w:sz w:val="18"/>
          <w:szCs w:val="18"/>
          <w:color w:val="auto"/>
        </w:rPr>
        <w:t>Compensation Committee and our executive officers, as well as the policies that Aon has in place to maintain its independence and objectivity, and has determined that Aon’s work for the Compensation Committee has not raised any conflicts of interest. Company management also purchases published compensation and benefits surveys from Aon, and on occasion engages certain affiliates of Aon in various jurisdictions for services unrelated to executive compensation and benefits, engagements for which the Company’s management has not sought the Compensation Committee’s approval. The fees paid to Aon and its affiliates in fiscal year 2023 for these surveys and additional services did not exceed $120,000.</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Comparator Group Data</w:t>
      </w:r>
    </w:p>
    <w:p>
      <w:pPr>
        <w:spacing w:after="0" w:line="268" w:lineRule="exact"/>
        <w:rPr>
          <w:sz w:val="20"/>
          <w:szCs w:val="20"/>
          <w:color w:val="auto"/>
        </w:rPr>
      </w:pPr>
    </w:p>
    <w:p>
      <w:pPr>
        <w:jc w:val="both"/>
        <w:ind w:firstLine="389"/>
        <w:spacing w:after="0" w:line="294" w:lineRule="auto"/>
        <w:rPr>
          <w:sz w:val="20"/>
          <w:szCs w:val="20"/>
          <w:color w:val="auto"/>
        </w:rPr>
      </w:pPr>
      <w:r>
        <w:rPr>
          <w:rFonts w:ascii="Times New Roman" w:cs="Times New Roman" w:eastAsia="Times New Roman" w:hAnsi="Times New Roman"/>
          <w:sz w:val="18"/>
          <w:szCs w:val="18"/>
          <w:color w:val="auto"/>
        </w:rPr>
        <w:t>The Compensation Committee annually compares the components and amounts of compensation that we provide to our Chief Executive Officer and each of the other Named Executive Officers with “Comparator Group” data for each position and uses this comparison data to help inform its review and determination of base salaries, short-term incentives, and long-term stock-based compensation awards, as discussed in further detail below under “</w:t>
      </w:r>
      <w:r>
        <w:rPr>
          <w:rFonts w:ascii="Times New Roman" w:cs="Times New Roman" w:eastAsia="Times New Roman" w:hAnsi="Times New Roman"/>
          <w:sz w:val="18"/>
          <w:szCs w:val="18"/>
          <w:i w:val="1"/>
          <w:iCs w:val="1"/>
          <w:color w:val="auto"/>
        </w:rPr>
        <w:t>Components of Compensation</w:t>
      </w:r>
      <w:r>
        <w:rPr>
          <w:rFonts w:ascii="Times New Roman" w:cs="Times New Roman" w:eastAsia="Times New Roman" w:hAnsi="Times New Roman"/>
          <w:sz w:val="18"/>
          <w:szCs w:val="18"/>
          <w:color w:val="auto"/>
        </w:rPr>
        <w:t>.” For fiscal year 2023, the Compensation Committee approved Comparator Group data consisting of a 50/50 blend of (i) Aon survey data of semiconductor companies (where sufficient data was not available in the Aon semiconductor survey data for a given executive position, the Comparator Group data also included survey data regarding high-technology companies), and (ii) data from the group of 15 publicly traded semiconductor companies listed below.</w:t>
      </w:r>
    </w:p>
    <w:p>
      <w:pPr>
        <w:spacing w:after="0" w:line="210"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Each year the Compensation Committee engages Aon to assess the peer group. Using this information, the Compensation Committee seeks to create a peer group comprised of semiconductor companies. Consolidation within the semiconductor industry over time has resulted in fewer semiconductor companies that are of similar market capitalization and revenue as Skyworks. As a result, when considering companies to potentially include in the peer group, the Compensation Committee also considers companies in adjacent industries, such as the semiconductor manufacturing equipment industry, as well as companies with smaller or greater revenue or market capitalization than the Company, many of which are business competitors and companies with which we compete for executive talent.</w:t>
      </w:r>
    </w:p>
    <w:p>
      <w:pPr>
        <w:spacing w:after="0" w:line="228"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For the Company’s fiscal year 2023 compensation program, we made adjustments to our peer group from the prior fiscal year to improve comparability, in part in response to stockholder feedback. Specifically, we removed Maxim Integrated Products and Xilinx, both of which were acquired, and added Entegris and Monolithic Power Systems, both of which were comparable in size to the Company from a market capitalization standpoint and smaller than the Company in terms of revenue.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600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Peer Group for Fiscal Year 2023 Compensation (“FY23 Peer Group”)</w:t>
            </w:r>
          </w:p>
        </w:tc>
        <w:tc>
          <w:tcPr>
            <w:tcW w:w="2560" w:type="dxa"/>
            <w:vAlign w:val="bottom"/>
          </w:tcPr>
          <w:p>
            <w:pPr>
              <w:spacing w:after="0"/>
              <w:rPr>
                <w:sz w:val="20"/>
                <w:szCs w:val="20"/>
                <w:color w:val="auto"/>
              </w:rPr>
            </w:pPr>
          </w:p>
        </w:tc>
      </w:tr>
      <w:tr>
        <w:trPr>
          <w:trHeight w:val="230"/>
        </w:trPr>
        <w:tc>
          <w:tcPr>
            <w:tcW w:w="232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Advanced Micro Devices</w:t>
            </w:r>
          </w:p>
        </w:tc>
        <w:tc>
          <w:tcPr>
            <w:tcW w:w="2960" w:type="dxa"/>
            <w:vAlign w:val="bottom"/>
            <w:shd w:val="clear" w:color="auto" w:fill="D9D9D9"/>
          </w:tcPr>
          <w:p>
            <w:pPr>
              <w:ind w:left="680"/>
              <w:spacing w:after="0"/>
              <w:rPr>
                <w:sz w:val="20"/>
                <w:szCs w:val="20"/>
                <w:color w:val="auto"/>
              </w:rPr>
            </w:pPr>
            <w:r>
              <w:rPr>
                <w:rFonts w:ascii="Times New Roman" w:cs="Times New Roman" w:eastAsia="Times New Roman" w:hAnsi="Times New Roman"/>
                <w:sz w:val="18"/>
                <w:szCs w:val="18"/>
                <w:color w:val="auto"/>
              </w:rPr>
              <w:t>Lam Research</w:t>
            </w:r>
          </w:p>
        </w:tc>
        <w:tc>
          <w:tcPr>
            <w:tcW w:w="3040" w:type="dxa"/>
            <w:vAlign w:val="bottom"/>
            <w:shd w:val="clear" w:color="auto" w:fill="D9D9D9"/>
          </w:tcPr>
          <w:p>
            <w:pPr>
              <w:ind w:left="640"/>
              <w:spacing w:after="0"/>
              <w:rPr>
                <w:sz w:val="20"/>
                <w:szCs w:val="20"/>
                <w:color w:val="auto"/>
              </w:rPr>
            </w:pPr>
            <w:r>
              <w:rPr>
                <w:rFonts w:ascii="Times New Roman" w:cs="Times New Roman" w:eastAsia="Times New Roman" w:hAnsi="Times New Roman"/>
                <w:sz w:val="18"/>
                <w:szCs w:val="18"/>
                <w:color w:val="auto"/>
              </w:rPr>
              <w:t>Monolithic Power Systems</w:t>
            </w:r>
          </w:p>
        </w:tc>
        <w:tc>
          <w:tcPr>
            <w:tcW w:w="2560" w:type="dxa"/>
            <w:vAlign w:val="bottom"/>
            <w:shd w:val="clear" w:color="auto" w:fill="D9D9D9"/>
          </w:tcPr>
          <w:p>
            <w:pPr>
              <w:ind w:left="220"/>
              <w:spacing w:after="0"/>
              <w:rPr>
                <w:sz w:val="20"/>
                <w:szCs w:val="20"/>
                <w:color w:val="auto"/>
              </w:rPr>
            </w:pPr>
            <w:r>
              <w:rPr>
                <w:rFonts w:ascii="Times New Roman" w:cs="Times New Roman" w:eastAsia="Times New Roman" w:hAnsi="Times New Roman"/>
                <w:sz w:val="18"/>
                <w:szCs w:val="18"/>
                <w:color w:val="auto"/>
              </w:rPr>
              <w:t>QUALCOMM</w:t>
            </w: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Analog Devices</w:t>
            </w:r>
          </w:p>
        </w:tc>
        <w:tc>
          <w:tcPr>
            <w:tcW w:w="2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Marvell Technology</w:t>
            </w:r>
          </w:p>
        </w:tc>
        <w:tc>
          <w:tcPr>
            <w:tcW w:w="3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NXP Semiconductors</w:t>
            </w:r>
          </w:p>
        </w:tc>
        <w:tc>
          <w:tcPr>
            <w:tcW w:w="2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Texas Instruments</w:t>
            </w:r>
          </w:p>
        </w:tc>
      </w:tr>
      <w:tr>
        <w:trPr>
          <w:trHeight w:val="229"/>
        </w:trPr>
        <w:tc>
          <w:tcPr>
            <w:tcW w:w="232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Entegris</w:t>
            </w:r>
          </w:p>
        </w:tc>
        <w:tc>
          <w:tcPr>
            <w:tcW w:w="2960" w:type="dxa"/>
            <w:vAlign w:val="bottom"/>
            <w:shd w:val="clear" w:color="auto" w:fill="D9D9D9"/>
          </w:tcPr>
          <w:p>
            <w:pPr>
              <w:ind w:left="680"/>
              <w:spacing w:after="0"/>
              <w:rPr>
                <w:sz w:val="20"/>
                <w:szCs w:val="20"/>
                <w:color w:val="auto"/>
              </w:rPr>
            </w:pPr>
            <w:r>
              <w:rPr>
                <w:rFonts w:ascii="Times New Roman" w:cs="Times New Roman" w:eastAsia="Times New Roman" w:hAnsi="Times New Roman"/>
                <w:sz w:val="18"/>
                <w:szCs w:val="18"/>
                <w:color w:val="auto"/>
              </w:rPr>
              <w:t>Microchip Technology</w:t>
            </w:r>
          </w:p>
        </w:tc>
        <w:tc>
          <w:tcPr>
            <w:tcW w:w="3040" w:type="dxa"/>
            <w:vAlign w:val="bottom"/>
            <w:shd w:val="clear" w:color="auto" w:fill="D9D9D9"/>
          </w:tcPr>
          <w:p>
            <w:pPr>
              <w:ind w:left="640"/>
              <w:spacing w:after="0"/>
              <w:rPr>
                <w:sz w:val="20"/>
                <w:szCs w:val="20"/>
                <w:color w:val="auto"/>
              </w:rPr>
            </w:pPr>
            <w:r>
              <w:rPr>
                <w:rFonts w:ascii="Times New Roman" w:cs="Times New Roman" w:eastAsia="Times New Roman" w:hAnsi="Times New Roman"/>
                <w:sz w:val="18"/>
                <w:szCs w:val="18"/>
                <w:color w:val="auto"/>
              </w:rPr>
              <w:t>ON Semiconductor</w:t>
            </w:r>
          </w:p>
        </w:tc>
        <w:tc>
          <w:tcPr>
            <w:tcW w:w="2560" w:type="dxa"/>
            <w:vAlign w:val="bottom"/>
            <w:shd w:val="clear" w:color="auto" w:fill="D9D9D9"/>
          </w:tcPr>
          <w:p>
            <w:pPr>
              <w:ind w:left="220"/>
              <w:spacing w:after="0"/>
              <w:rPr>
                <w:sz w:val="20"/>
                <w:szCs w:val="20"/>
                <w:color w:val="auto"/>
              </w:rPr>
            </w:pPr>
            <w:r>
              <w:rPr>
                <w:rFonts w:ascii="Times New Roman" w:cs="Times New Roman" w:eastAsia="Times New Roman" w:hAnsi="Times New Roman"/>
                <w:sz w:val="18"/>
                <w:szCs w:val="18"/>
                <w:color w:val="auto"/>
              </w:rPr>
              <w:t>Western Digital</w:t>
            </w: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KLA Corporation</w:t>
            </w:r>
          </w:p>
        </w:tc>
        <w:tc>
          <w:tcPr>
            <w:tcW w:w="2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Micron Technology</w:t>
            </w:r>
          </w:p>
        </w:tc>
        <w:tc>
          <w:tcPr>
            <w:tcW w:w="3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Qorvo</w:t>
            </w:r>
          </w:p>
        </w:tc>
        <w:tc>
          <w:tcPr>
            <w:tcW w:w="2560" w:type="dxa"/>
            <w:vAlign w:val="bottom"/>
          </w:tcPr>
          <w:p>
            <w:pPr>
              <w:spacing w:after="0"/>
              <w:rPr>
                <w:sz w:val="20"/>
                <w:szCs w:val="20"/>
                <w:color w:val="auto"/>
              </w:rPr>
            </w:pPr>
          </w:p>
        </w:tc>
      </w:tr>
    </w:tbl>
    <w:p>
      <w:pPr>
        <w:spacing w:after="0" w:line="287"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The Compensation Committee generally seeks to make decisions regarding each Named Executive Officer’s compensation that are competitive within the Comparator Group, with consideration given to the executive’s role, responsibility, performance, and length of service. After reviewing the Comparator Group data and considering the input of Aon, the Compensation Committee established (and the full Board was advised of) the base salary, short-term incentive target, and stock-based compensation for each Named Executive Officer for fiscal year 2023. Aon advised the Compensation Committee that such components of executive compensation for fiscal year 2023 were competitive for chief executive officers and other executive officers at companies of similar size and complexity in the semiconductor industry.</w:t>
      </w:r>
    </w:p>
    <w:p>
      <w:pPr>
        <w:spacing w:after="0" w:line="178" w:lineRule="exact"/>
        <w:rPr>
          <w:sz w:val="20"/>
          <w:szCs w:val="20"/>
          <w:color w:val="auto"/>
        </w:rPr>
      </w:pPr>
    </w:p>
    <w:p>
      <w:pPr>
        <w:jc w:val="both"/>
        <w:ind w:firstLine="389"/>
        <w:spacing w:after="0" w:line="329" w:lineRule="auto"/>
        <w:rPr>
          <w:sz w:val="20"/>
          <w:szCs w:val="20"/>
          <w:color w:val="auto"/>
        </w:rPr>
      </w:pPr>
      <w:r>
        <w:rPr>
          <w:rFonts w:ascii="Times New Roman" w:cs="Times New Roman" w:eastAsia="Times New Roman" w:hAnsi="Times New Roman"/>
          <w:sz w:val="18"/>
          <w:szCs w:val="18"/>
          <w:color w:val="auto"/>
        </w:rPr>
        <w:t>In determining the compensation of our Chief Executive Officer for fiscal year 2023, the Compensation Committee focused on (i) competitive levels of compensation for chief executive officers who are leading 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1" w:name="page12"/>
    <w:bookmarkEnd w:id="11"/>
    <w:p>
      <w:pPr>
        <w:jc w:val="both"/>
        <w:spacing w:after="0" w:line="297" w:lineRule="auto"/>
        <w:rPr>
          <w:sz w:val="20"/>
          <w:szCs w:val="20"/>
          <w:color w:val="auto"/>
        </w:rPr>
      </w:pPr>
      <w:r>
        <w:rPr>
          <w:rFonts w:ascii="Times New Roman" w:cs="Times New Roman" w:eastAsia="Times New Roman" w:hAnsi="Times New Roman"/>
          <w:sz w:val="18"/>
          <w:szCs w:val="18"/>
          <w:color w:val="auto"/>
        </w:rPr>
        <w:t>company of similar size and complexity, (ii) the importance of retaining and incentivizing a chief executive officer with the strategic, financial, and leadership skills necessary to ensure our continued growth and success, (iii) our Chief Executive Officer’s role relative to the other Named Executive Officers, (iv) input from the full Board on our Chief Executive Officer’s performance, and (v) the length of our Chief Executive Officer’s service to the Company. Our Chief Executive Officer was not present during the voting or deliberations of the Compensation Committee concerning his compensation.</w:t>
      </w:r>
    </w:p>
    <w:p>
      <w:pPr>
        <w:spacing w:after="0" w:line="190"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The Compensation Committee considered the recommendations of the Chief Executive Officer regarding the compensation of the other Named Executive Officers and each of his other direct reports. These recommendations were based on an assessment of each individual’s responsibilities, experience, performance, and contribution to the Company’s performance, and also took into account internal factors such as scope of role and level in the organization, in addition to external factors such as the current environment for attracting and retaining executives.</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Components of Compensation</w:t>
      </w:r>
    </w:p>
    <w:p>
      <w:pPr>
        <w:spacing w:after="0" w:line="256" w:lineRule="exact"/>
        <w:rPr>
          <w:sz w:val="20"/>
          <w:szCs w:val="20"/>
          <w:color w:val="auto"/>
        </w:rPr>
      </w:pPr>
    </w:p>
    <w:p>
      <w:pPr>
        <w:jc w:val="both"/>
        <w:ind w:firstLine="389"/>
        <w:spacing w:after="0" w:line="302" w:lineRule="auto"/>
        <w:rPr>
          <w:sz w:val="20"/>
          <w:szCs w:val="20"/>
          <w:color w:val="auto"/>
        </w:rPr>
      </w:pPr>
      <w:r>
        <w:rPr>
          <w:rFonts w:ascii="Times New Roman" w:cs="Times New Roman" w:eastAsia="Times New Roman" w:hAnsi="Times New Roman"/>
          <w:sz w:val="18"/>
          <w:szCs w:val="18"/>
          <w:color w:val="191919"/>
        </w:rPr>
        <w:t>The key elements of compensation for our Named Executive Officers are base salary, short-term incentives, long-term stock-based incentives, and health and welfare benefits. For fiscal year 2023, the Compensation Committee sought to make decisions that would result in each Named Executive Officer’s target total direct compensation being competitive within the Comparator Group, with consideration given to the executive’s role, responsibility, performance, and length of service.</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u w:val="single" w:color="auto"/>
          <w:color w:val="auto"/>
        </w:rPr>
        <w:t>Base Salary</w:t>
      </w:r>
    </w:p>
    <w:p>
      <w:pPr>
        <w:spacing w:after="0" w:line="254"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The Compensation Committee annually determines a competitive base salary for each executive officer using the Comparator Group data and input provided by Aon. Base salaries are intended to attract and retain talented executives, recognize individual roles and responsibilities and provide stable income to executives. In order to provide flexibility in consideration of differences in an individual executive’s scope of responsibilities, length of service, and performance, the Compensation Committee did not target a specific percentile of the Comparator Group for executive officer salaries; however, the salaries of the executive officers were generally near the median of the Comparator Group.</w:t>
      </w:r>
    </w:p>
    <w:p>
      <w:pPr>
        <w:spacing w:after="0" w:line="191" w:lineRule="exact"/>
        <w:rPr>
          <w:sz w:val="20"/>
          <w:szCs w:val="20"/>
          <w:color w:val="auto"/>
        </w:rPr>
      </w:pPr>
    </w:p>
    <w:p>
      <w:pPr>
        <w:jc w:val="both"/>
        <w:ind w:right="20" w:firstLine="389"/>
        <w:spacing w:after="0" w:line="313" w:lineRule="auto"/>
        <w:rPr>
          <w:sz w:val="20"/>
          <w:szCs w:val="20"/>
          <w:color w:val="auto"/>
        </w:rPr>
      </w:pPr>
      <w:r>
        <w:rPr>
          <w:rFonts w:ascii="Times New Roman" w:cs="Times New Roman" w:eastAsia="Times New Roman" w:hAnsi="Times New Roman"/>
          <w:sz w:val="18"/>
          <w:szCs w:val="18"/>
          <w:color w:val="auto"/>
        </w:rPr>
        <w:t>The base salary increases for fiscal year 2023 for each Named Executive Officer, as reflected in the table below, were based on the market-based salary adjustments recommended by Aon as well as recommendations by the Chief Executive Officer (for Named Executive Officers other than himself).</w:t>
      </w:r>
    </w:p>
    <w:p>
      <w:pPr>
        <w:spacing w:after="0" w:line="221" w:lineRule="exact"/>
        <w:rPr>
          <w:sz w:val="20"/>
          <w:szCs w:val="20"/>
          <w:color w:val="auto"/>
        </w:rPr>
      </w:pPr>
    </w:p>
    <w:tbl>
      <w:tblPr>
        <w:tblLayout w:type="fixed"/>
        <w:tblInd w:w="1200" w:type="dxa"/>
        <w:tblCellMar>
          <w:top w:w="0" w:type="dxa"/>
          <w:left w:w="0" w:type="dxa"/>
          <w:bottom w:w="0" w:type="dxa"/>
          <w:right w:w="0" w:type="dxa"/>
        </w:tblCellMar>
      </w:tblPr>
      <w:tr>
        <w:trPr>
          <w:trHeight w:val="207"/>
        </w:trPr>
        <w:tc>
          <w:tcPr>
            <w:tcW w:w="1980" w:type="dxa"/>
            <w:vAlign w:val="bottom"/>
          </w:tcPr>
          <w:p>
            <w:pPr>
              <w:spacing w:after="0"/>
              <w:rPr>
                <w:sz w:val="18"/>
                <w:szCs w:val="18"/>
                <w:color w:val="auto"/>
              </w:rPr>
            </w:pPr>
          </w:p>
        </w:tc>
        <w:tc>
          <w:tcPr>
            <w:tcW w:w="220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FY2023</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FY2022</w:t>
            </w:r>
          </w:p>
        </w:tc>
        <w:tc>
          <w:tcPr>
            <w:tcW w:w="13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Increase</w:t>
            </w:r>
          </w:p>
        </w:tc>
      </w:tr>
      <w:tr>
        <w:trPr>
          <w:trHeight w:val="238"/>
        </w:trPr>
        <w:tc>
          <w:tcPr>
            <w:tcW w:w="1980" w:type="dxa"/>
            <w:vAlign w:val="bottom"/>
          </w:tcPr>
          <w:p>
            <w:pPr>
              <w:spacing w:after="0"/>
              <w:rPr>
                <w:sz w:val="20"/>
                <w:szCs w:val="20"/>
                <w:color w:val="auto"/>
              </w:rPr>
            </w:pPr>
          </w:p>
        </w:tc>
        <w:tc>
          <w:tcPr>
            <w:tcW w:w="22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Base Salary ($)</w:t>
            </w:r>
          </w:p>
        </w:tc>
        <w:tc>
          <w:tcPr>
            <w:tcW w:w="17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Base Salary ($)</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7"/>
        </w:trPr>
        <w:tc>
          <w:tcPr>
            <w:tcW w:w="19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0"/>
        </w:trPr>
        <w:tc>
          <w:tcPr>
            <w:tcW w:w="198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Liam K. Griffin</w:t>
            </w:r>
          </w:p>
        </w:tc>
        <w:tc>
          <w:tcPr>
            <w:tcW w:w="2200" w:type="dxa"/>
            <w:vAlign w:val="bottom"/>
            <w:shd w:val="clear" w:color="auto" w:fill="D9D9D9"/>
          </w:tcPr>
          <w:p>
            <w:pPr>
              <w:jc w:val="center"/>
              <w:ind w:left="470"/>
              <w:spacing w:after="0"/>
              <w:rPr>
                <w:sz w:val="20"/>
                <w:szCs w:val="20"/>
                <w:color w:val="auto"/>
              </w:rPr>
            </w:pPr>
            <w:r>
              <w:rPr>
                <w:rFonts w:ascii="Times New Roman" w:cs="Times New Roman" w:eastAsia="Times New Roman" w:hAnsi="Times New Roman"/>
                <w:sz w:val="18"/>
                <w:szCs w:val="18"/>
                <w:color w:val="auto"/>
                <w:w w:val="99"/>
              </w:rPr>
              <w:t>1,175,000</w:t>
            </w:r>
          </w:p>
        </w:tc>
        <w:tc>
          <w:tcPr>
            <w:tcW w:w="17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1,130,000</w:t>
            </w:r>
          </w:p>
        </w:tc>
        <w:tc>
          <w:tcPr>
            <w:tcW w:w="13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Kris Sennesael</w:t>
            </w:r>
          </w:p>
        </w:tc>
        <w:tc>
          <w:tcPr>
            <w:tcW w:w="22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606,000</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588,000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198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Reza Kasnavi</w:t>
            </w:r>
          </w:p>
        </w:tc>
        <w:tc>
          <w:tcPr>
            <w:tcW w:w="2200" w:type="dxa"/>
            <w:vAlign w:val="bottom"/>
            <w:shd w:val="clear" w:color="auto" w:fill="D9D9D9"/>
          </w:tcPr>
          <w:p>
            <w:pPr>
              <w:jc w:val="center"/>
              <w:ind w:left="490"/>
              <w:spacing w:after="0"/>
              <w:rPr>
                <w:sz w:val="20"/>
                <w:szCs w:val="20"/>
                <w:color w:val="auto"/>
              </w:rPr>
            </w:pPr>
            <w:r>
              <w:rPr>
                <w:rFonts w:ascii="Times New Roman" w:cs="Times New Roman" w:eastAsia="Times New Roman" w:hAnsi="Times New Roman"/>
                <w:sz w:val="18"/>
                <w:szCs w:val="18"/>
                <w:color w:val="auto"/>
                <w:w w:val="99"/>
              </w:rPr>
              <w:t>576,000</w:t>
            </w:r>
          </w:p>
        </w:tc>
        <w:tc>
          <w:tcPr>
            <w:tcW w:w="17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557,000</w:t>
            </w:r>
          </w:p>
        </w:tc>
        <w:tc>
          <w:tcPr>
            <w:tcW w:w="13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Carlos S. Bori</w:t>
            </w:r>
          </w:p>
        </w:tc>
        <w:tc>
          <w:tcPr>
            <w:tcW w:w="220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541,000</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520,000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198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Robert J. Terry</w:t>
            </w:r>
          </w:p>
        </w:tc>
        <w:tc>
          <w:tcPr>
            <w:tcW w:w="2200" w:type="dxa"/>
            <w:vAlign w:val="bottom"/>
            <w:shd w:val="clear" w:color="auto" w:fill="D9D9D9"/>
          </w:tcPr>
          <w:p>
            <w:pPr>
              <w:jc w:val="center"/>
              <w:ind w:left="490"/>
              <w:spacing w:after="0"/>
              <w:rPr>
                <w:sz w:val="20"/>
                <w:szCs w:val="20"/>
                <w:color w:val="auto"/>
              </w:rPr>
            </w:pPr>
            <w:r>
              <w:rPr>
                <w:rFonts w:ascii="Times New Roman" w:cs="Times New Roman" w:eastAsia="Times New Roman" w:hAnsi="Times New Roman"/>
                <w:sz w:val="18"/>
                <w:szCs w:val="18"/>
                <w:color w:val="auto"/>
                <w:w w:val="99"/>
              </w:rPr>
              <w:t>540,000</w:t>
            </w:r>
          </w:p>
        </w:tc>
        <w:tc>
          <w:tcPr>
            <w:tcW w:w="170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522,000</w:t>
            </w:r>
          </w:p>
        </w:tc>
        <w:tc>
          <w:tcPr>
            <w:tcW w:w="13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3.4%</w:t>
            </w:r>
          </w:p>
        </w:tc>
      </w:tr>
    </w:tbl>
    <w:p>
      <w:pPr>
        <w:spacing w:after="0" w:line="3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u w:val="single" w:color="auto"/>
          <w:color w:val="auto"/>
        </w:rPr>
        <w:t>Short-Term Incentives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54" w:lineRule="exact"/>
        <w:rPr>
          <w:sz w:val="20"/>
          <w:szCs w:val="20"/>
          <w:color w:val="auto"/>
        </w:rPr>
      </w:pPr>
    </w:p>
    <w:p>
      <w:pPr>
        <w:jc w:val="both"/>
        <w:ind w:firstLine="389"/>
        <w:spacing w:after="0" w:line="313" w:lineRule="auto"/>
        <w:rPr>
          <w:sz w:val="20"/>
          <w:szCs w:val="20"/>
          <w:color w:val="auto"/>
        </w:rPr>
      </w:pPr>
      <w:r>
        <w:rPr>
          <w:rFonts w:ascii="Times New Roman" w:cs="Times New Roman" w:eastAsia="Times New Roman" w:hAnsi="Times New Roman"/>
          <w:sz w:val="18"/>
          <w:szCs w:val="18"/>
          <w:color w:val="auto"/>
        </w:rPr>
        <w:t>Our short-term incentive compensation plan for executive officers is established annually by the Compensation Committee and is intended to motivate and reward executives by tying a significant portion of their total cash compensation to the Company’s achievement of pre-established performance goals that are generally one year or less in duration. The Compensation Committee believes that pre-established performance goals under the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2" w:name="page13"/>
    <w:bookmarkEnd w:id="12"/>
    <w:p>
      <w:pPr>
        <w:jc w:val="both"/>
        <w:spacing w:after="0" w:line="305" w:lineRule="auto"/>
        <w:rPr>
          <w:sz w:val="20"/>
          <w:szCs w:val="20"/>
          <w:color w:val="auto"/>
        </w:rPr>
      </w:pPr>
      <w:r>
        <w:rPr>
          <w:rFonts w:ascii="Times New Roman" w:cs="Times New Roman" w:eastAsia="Times New Roman" w:hAnsi="Times New Roman"/>
          <w:sz w:val="18"/>
          <w:szCs w:val="18"/>
          <w:color w:val="auto"/>
        </w:rPr>
        <w:t>Company’s short-term incentive compensation plan for executive officers should generally be measured over a one-year performance period. Beginning with the Company’s fiscal year ended October 2, 2020 (“fiscal year 2020”) and continuing through fiscal year 2023, the Compensation Committee established annual short-term compensation incentive plans with two six-month performance periods as a result of significant market uncertainties.</w:t>
      </w:r>
    </w:p>
    <w:p>
      <w:pPr>
        <w:spacing w:after="0" w:line="169" w:lineRule="exact"/>
        <w:rPr>
          <w:sz w:val="20"/>
          <w:szCs w:val="20"/>
          <w:color w:val="auto"/>
        </w:rPr>
      </w:pPr>
    </w:p>
    <w:p>
      <w:pPr>
        <w:jc w:val="both"/>
        <w:ind w:firstLine="389"/>
        <w:spacing w:after="0" w:line="294" w:lineRule="auto"/>
        <w:rPr>
          <w:sz w:val="20"/>
          <w:szCs w:val="20"/>
          <w:color w:val="auto"/>
        </w:rPr>
      </w:pPr>
      <w:r>
        <w:rPr>
          <w:rFonts w:ascii="Times New Roman" w:cs="Times New Roman" w:eastAsia="Times New Roman" w:hAnsi="Times New Roman"/>
          <w:sz w:val="18"/>
          <w:szCs w:val="18"/>
          <w:color w:val="auto"/>
        </w:rPr>
        <w:t>With respect to the Fiscal Year 2023 Executive Incentive Plan (the “Incentive Plan”) adopted by the Compensation Committee on December 15, 2022, the Compensation Committee determined that in light of continued uncertainties resulting from geopolitical concerns and global supply chain challenges affecting the Company and its customers, which made forecasting difficult, semi-annual performance periods would be appropriate for fiscal year 2023. For the Company’s upcoming fiscal year 2024, giving consideration to feedback from the Company’s stockholders, the Compensation Committee is returning to a one-year performance period for the short-term compensation incentive plan despite some continuing uncertain market conditions. Although significant macroeconomic challenges persist, the Compensation Committee’s belief is that it could set appropriately rigorous performance goals for a one-year period for fiscal year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Opportunities</w:t>
      </w:r>
    </w:p>
    <w:p>
      <w:pPr>
        <w:spacing w:after="0" w:line="254" w:lineRule="exact"/>
        <w:rPr>
          <w:sz w:val="20"/>
          <w:szCs w:val="20"/>
          <w:color w:val="auto"/>
        </w:rPr>
      </w:pPr>
    </w:p>
    <w:p>
      <w:pPr>
        <w:jc w:val="both"/>
        <w:ind w:firstLine="389"/>
        <w:spacing w:after="0" w:line="302" w:lineRule="auto"/>
        <w:rPr>
          <w:sz w:val="20"/>
          <w:szCs w:val="20"/>
          <w:color w:val="auto"/>
        </w:rPr>
      </w:pPr>
      <w:r>
        <w:rPr>
          <w:rFonts w:ascii="Times New Roman" w:cs="Times New Roman" w:eastAsia="Times New Roman" w:hAnsi="Times New Roman"/>
          <w:sz w:val="18"/>
          <w:szCs w:val="18"/>
          <w:color w:val="auto"/>
        </w:rPr>
        <w:t>For each executive officer, short-term incentive compensation at the “target” level is designed to be near the median short-term incentive compensation of the Comparator Group. After reviewing Comparator Group data, the Compensation Committee determined that the target incentive under the Incentive Plan, as a percentage of base salary, for each of the Named Executive Officers should not be changed, as compared to the target incentives under the prior year’s short-term incentive plan.</w:t>
      </w:r>
    </w:p>
    <w:p>
      <w:pPr>
        <w:spacing w:after="0" w:line="187" w:lineRule="exact"/>
        <w:rPr>
          <w:sz w:val="20"/>
          <w:szCs w:val="20"/>
          <w:color w:val="auto"/>
        </w:rPr>
      </w:pPr>
    </w:p>
    <w:p>
      <w:pPr>
        <w:jc w:val="both"/>
        <w:ind w:right="20" w:firstLine="389"/>
        <w:spacing w:after="0" w:line="313" w:lineRule="auto"/>
        <w:rPr>
          <w:sz w:val="20"/>
          <w:szCs w:val="20"/>
          <w:color w:val="auto"/>
        </w:rPr>
      </w:pPr>
      <w:r>
        <w:rPr>
          <w:rFonts w:ascii="Times New Roman" w:cs="Times New Roman" w:eastAsia="Times New Roman" w:hAnsi="Times New Roman"/>
          <w:sz w:val="18"/>
          <w:szCs w:val="18"/>
          <w:color w:val="auto"/>
        </w:rPr>
        <w:t>The following table shows the range of short-term incentive compensation that each Named Executive Officer could earn in fiscal year 2023 as a percentage of such executive officer’s annual base salary.</w:t>
      </w:r>
    </w:p>
    <w:p>
      <w:pPr>
        <w:spacing w:after="0" w:line="199" w:lineRule="exact"/>
        <w:rPr>
          <w:sz w:val="20"/>
          <w:szCs w:val="20"/>
          <w:color w:val="auto"/>
        </w:rPr>
      </w:pPr>
    </w:p>
    <w:tbl>
      <w:tblPr>
        <w:tblLayout w:type="fixed"/>
        <w:tblInd w:w="132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11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30"/>
        </w:trPr>
        <w:tc>
          <w:tcPr>
            <w:tcW w:w="2840" w:type="dxa"/>
            <w:vAlign w:val="bottom"/>
            <w:shd w:val="clear" w:color="auto" w:fill="D9D9D9"/>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44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80%</w:t>
            </w:r>
          </w:p>
        </w:tc>
        <w:tc>
          <w:tcPr>
            <w:tcW w:w="114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160%</w:t>
            </w:r>
          </w:p>
        </w:tc>
        <w:tc>
          <w:tcPr>
            <w:tcW w:w="144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320%</w:t>
            </w:r>
          </w:p>
        </w:tc>
      </w:tr>
      <w:tr>
        <w:trPr>
          <w:trHeight w:val="230"/>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r>
      <w:tr>
        <w:trPr>
          <w:trHeight w:val="230"/>
        </w:trPr>
        <w:tc>
          <w:tcPr>
            <w:tcW w:w="2840" w:type="dxa"/>
            <w:vAlign w:val="bottom"/>
            <w:shd w:val="clear" w:color="auto" w:fill="DBDBDB"/>
          </w:tcPr>
          <w:p>
            <w:pPr>
              <w:spacing w:after="0"/>
              <w:rPr>
                <w:sz w:val="20"/>
                <w:szCs w:val="20"/>
                <w:color w:val="auto"/>
              </w:rPr>
            </w:pPr>
            <w:r>
              <w:rPr>
                <w:rFonts w:ascii="Times New Roman" w:cs="Times New Roman" w:eastAsia="Times New Roman" w:hAnsi="Times New Roman"/>
                <w:sz w:val="18"/>
                <w:szCs w:val="18"/>
                <w:color w:val="auto"/>
              </w:rPr>
              <w:t>Other Executive Officers</w:t>
            </w:r>
          </w:p>
        </w:tc>
        <w:tc>
          <w:tcPr>
            <w:tcW w:w="144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14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c>
          <w:tcPr>
            <w:tcW w:w="144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160%</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Goals</w:t>
      </w:r>
    </w:p>
    <w:p>
      <w:pPr>
        <w:spacing w:after="0" w:line="268" w:lineRule="exact"/>
        <w:rPr>
          <w:sz w:val="20"/>
          <w:szCs w:val="20"/>
          <w:color w:val="auto"/>
        </w:rPr>
      </w:pPr>
    </w:p>
    <w:p>
      <w:pPr>
        <w:jc w:val="both"/>
        <w:ind w:firstLine="389"/>
        <w:spacing w:after="0" w:line="283" w:lineRule="auto"/>
        <w:rPr>
          <w:sz w:val="20"/>
          <w:szCs w:val="20"/>
          <w:color w:val="auto"/>
        </w:rPr>
      </w:pPr>
      <w:r>
        <w:rPr>
          <w:rFonts w:ascii="Times New Roman" w:cs="Times New Roman" w:eastAsia="Times New Roman" w:hAnsi="Times New Roman"/>
          <w:sz w:val="18"/>
          <w:szCs w:val="18"/>
          <w:color w:val="auto"/>
        </w:rPr>
        <w:t xml:space="preserve">In December 2022 and May 2023, the Compensation Committee established performance goals for the applicable </w:t>
      </w:r>
      <w:r>
        <w:rPr>
          <w:rFonts w:ascii="Times New Roman" w:cs="Times New Roman" w:eastAsia="Times New Roman" w:hAnsi="Times New Roman"/>
          <w:sz w:val="18"/>
          <w:szCs w:val="18"/>
          <w:color w:val="212529"/>
        </w:rPr>
        <w:t>semi-annual performance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with </w:t>
      </w:r>
      <w:r>
        <w:rPr>
          <w:rFonts w:ascii="Times New Roman" w:cs="Times New Roman" w:eastAsia="Times New Roman" w:hAnsi="Times New Roman"/>
          <w:sz w:val="18"/>
          <w:szCs w:val="18"/>
          <w:color w:val="000000"/>
        </w:rPr>
        <w:t>each executive eligible to earn up to half of his or her annual short-term incentive compensation with respect to each six-month period. Under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Incentive Plan, any unearned amounts with respect to the first performance period were to be forfeited and could not be earned later based on performance during the second performance period or full-year performance. Payments under the Incentive Plan were based on achieving revenue and non-GAAP operating income performance goals, each of which was weighted at 50% for each respective performance period. The non-GAAP operating income performance goal is based on the Company’s publicly disclosed non-GAAP operating income</w:t>
      </w:r>
      <w:r>
        <w:rPr>
          <w:rFonts w:ascii="Times New Roman" w:cs="Times New Roman" w:eastAsia="Times New Roman" w:hAnsi="Times New Roman"/>
          <w:sz w:val="23"/>
          <w:szCs w:val="23"/>
          <w:color w:val="000000"/>
          <w:vertAlign w:val="superscript"/>
        </w:rPr>
        <w:t>1</w:t>
      </w:r>
      <w:r>
        <w:rPr>
          <w:rFonts w:ascii="Times New Roman" w:cs="Times New Roman" w:eastAsia="Times New Roman" w:hAnsi="Times New Roman"/>
          <w:sz w:val="18"/>
          <w:szCs w:val="18"/>
          <w:color w:val="000000"/>
        </w:rPr>
        <w:t xml:space="preserve"> after accounting for any incentive award payments, including those to be made under the Incentive Plan.</w:t>
      </w:r>
    </w:p>
    <w:p>
      <w:pPr>
        <w:spacing w:after="0" w:line="195" w:lineRule="exact"/>
        <w:rPr>
          <w:sz w:val="20"/>
          <w:szCs w:val="20"/>
          <w:color w:val="auto"/>
        </w:rPr>
      </w:pPr>
    </w:p>
    <w:p>
      <w:pPr>
        <w:jc w:val="both"/>
        <w:ind w:firstLine="389"/>
        <w:spacing w:after="0" w:line="305" w:lineRule="auto"/>
        <w:rPr>
          <w:sz w:val="20"/>
          <w:szCs w:val="20"/>
          <w:color w:val="auto"/>
        </w:rPr>
      </w:pPr>
      <w:r>
        <w:rPr>
          <w:rFonts w:ascii="Times New Roman" w:cs="Times New Roman" w:eastAsia="Times New Roman" w:hAnsi="Times New Roman"/>
          <w:sz w:val="18"/>
          <w:szCs w:val="18"/>
          <w:color w:val="auto"/>
        </w:rPr>
        <w:t>The target level performance goals were established by the Compensation Committee under the Incentive Plan after reviewing the Company’s historical operating results, as well as the Company’s business outlook and expected future results relative to peers, and were designed to require significant effort and operational success on the part of our executives and the Company. The maximum level performance goals established by the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1714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7" w:lineRule="exact"/>
        <w:rPr>
          <w:sz w:val="20"/>
          <w:szCs w:val="20"/>
          <w:color w:val="auto"/>
        </w:rPr>
      </w:pPr>
    </w:p>
    <w:p>
      <w:pPr>
        <w:ind w:right="340" w:firstLine="8"/>
        <w:spacing w:after="0" w:line="262" w:lineRule="auto"/>
        <w:tabs>
          <w:tab w:leader="none" w:pos="103"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Non-GAAP operating income typically excludes from GAAP operating income the following: share-based compensation expense, acquisition-related expenses, amortization of acquisition-related intangibles, settlements, gains, losses, and impairments and restructuring-related charges.</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3" w:name="page14"/>
    <w:bookmarkEnd w:id="13"/>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Committee have historically been difficult to achieve and are designed to represent outstanding performance that the Compensation Committee believes should be rewarded.</w:t>
      </w:r>
    </w:p>
    <w:p>
      <w:pPr>
        <w:spacing w:after="0" w:line="176"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In May 2023, the Compensation Committee adopted performance goals for the second half of fiscal year 2023 based primarily on the Company’s outlook for the remainder of the fiscal year. Reflecting an unanticipated reduction in overall market demand and increased macroeconomic uncertainty, these performance goals were lower than the preliminary goals that were based on the Company’s original annual operating plan for fiscal year 2023. The performance goals adopted by the Compensation Committee for the second half of fiscal year 2023 were expected to, and did, present rigorous achievement hurdles, as reflected in the actual achievement by the Company (and described below).</w:t>
      </w:r>
    </w:p>
    <w:p>
      <w:pPr>
        <w:spacing w:after="0" w:line="1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performance goals established under the Incentive Plan for fiscal year 2023 were as follows:</w:t>
      </w:r>
    </w:p>
    <w:p>
      <w:pPr>
        <w:spacing w:after="0" w:line="289" w:lineRule="exact"/>
        <w:rPr>
          <w:sz w:val="20"/>
          <w:szCs w:val="20"/>
          <w:color w:val="auto"/>
        </w:rPr>
      </w:pPr>
    </w:p>
    <w:tbl>
      <w:tblPr>
        <w:tblLayout w:type="fixed"/>
        <w:tblInd w:w="740" w:type="dxa"/>
        <w:tblCellMar>
          <w:top w:w="0" w:type="dxa"/>
          <w:left w:w="0" w:type="dxa"/>
          <w:bottom w:w="0" w:type="dxa"/>
          <w:right w:w="0" w:type="dxa"/>
        </w:tblCellMar>
      </w:tblPr>
      <w:tr>
        <w:trPr>
          <w:trHeight w:val="238"/>
        </w:trPr>
        <w:tc>
          <w:tcPr>
            <w:tcW w:w="3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9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7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0" w:type="dxa"/>
            <w:vAlign w:val="bottom"/>
          </w:tcPr>
          <w:p>
            <w:pPr>
              <w:spacing w:after="0"/>
              <w:rPr>
                <w:sz w:val="1"/>
                <w:szCs w:val="1"/>
                <w:color w:val="auto"/>
              </w:rPr>
            </w:pPr>
          </w:p>
        </w:tc>
      </w:tr>
      <w:tr>
        <w:trPr>
          <w:trHeight w:val="223"/>
        </w:trPr>
        <w:tc>
          <w:tcPr>
            <w:tcW w:w="3320" w:type="dxa"/>
            <w:vAlign w:val="bottom"/>
            <w:vMerge w:val="continue"/>
          </w:tcPr>
          <w:p>
            <w:pPr>
              <w:spacing w:after="0"/>
              <w:rPr>
                <w:sz w:val="19"/>
                <w:szCs w:val="19"/>
                <w:color w:val="auto"/>
              </w:rPr>
            </w:pPr>
          </w:p>
        </w:tc>
        <w:tc>
          <w:tcPr>
            <w:tcW w:w="98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1st Half</w:t>
            </w:r>
          </w:p>
        </w:tc>
        <w:tc>
          <w:tcPr>
            <w:tcW w:w="162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2nd Half</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1st Half</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2nd Half</w:t>
            </w:r>
          </w:p>
        </w:tc>
        <w:tc>
          <w:tcPr>
            <w:tcW w:w="0" w:type="dxa"/>
            <w:vAlign w:val="bottom"/>
          </w:tcPr>
          <w:p>
            <w:pPr>
              <w:spacing w:after="0"/>
              <w:rPr>
                <w:sz w:val="1"/>
                <w:szCs w:val="1"/>
                <w:color w:val="auto"/>
              </w:rPr>
            </w:pPr>
          </w:p>
        </w:tc>
      </w:tr>
      <w:tr>
        <w:trPr>
          <w:trHeight w:val="230"/>
        </w:trPr>
        <w:tc>
          <w:tcPr>
            <w:tcW w:w="33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Threshold</w:t>
            </w:r>
          </w:p>
        </w:tc>
        <w:tc>
          <w:tcPr>
            <w:tcW w:w="980" w:type="dxa"/>
            <w:vAlign w:val="bottom"/>
            <w:shd w:val="clear" w:color="auto" w:fill="DBDBDB"/>
          </w:tcPr>
          <w:p>
            <w:pPr>
              <w:jc w:val="center"/>
              <w:ind w:left="290"/>
              <w:spacing w:after="0"/>
              <w:rPr>
                <w:sz w:val="20"/>
                <w:szCs w:val="20"/>
                <w:color w:val="auto"/>
              </w:rPr>
            </w:pPr>
            <w:r>
              <w:rPr>
                <w:rFonts w:ascii="Times New Roman" w:cs="Times New Roman" w:eastAsia="Times New Roman" w:hAnsi="Times New Roman"/>
                <w:sz w:val="18"/>
                <w:szCs w:val="18"/>
                <w:color w:val="auto"/>
                <w:w w:val="96"/>
              </w:rPr>
              <w:t>$2,225</w:t>
            </w:r>
          </w:p>
        </w:tc>
        <w:tc>
          <w:tcPr>
            <w:tcW w:w="1620" w:type="dxa"/>
            <w:vAlign w:val="bottom"/>
            <w:shd w:val="clear" w:color="auto" w:fill="DBDBDB"/>
          </w:tcPr>
          <w:p>
            <w:pPr>
              <w:jc w:val="center"/>
              <w:ind w:left="350"/>
              <w:spacing w:after="0"/>
              <w:rPr>
                <w:sz w:val="20"/>
                <w:szCs w:val="20"/>
                <w:color w:val="auto"/>
              </w:rPr>
            </w:pPr>
            <w:r>
              <w:rPr>
                <w:rFonts w:ascii="Times New Roman" w:cs="Times New Roman" w:eastAsia="Times New Roman" w:hAnsi="Times New Roman"/>
                <w:sz w:val="18"/>
                <w:szCs w:val="18"/>
                <w:color w:val="auto"/>
              </w:rPr>
              <w:t>$2,250</w:t>
            </w:r>
          </w:p>
        </w:tc>
        <w:tc>
          <w:tcPr>
            <w:tcW w:w="14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$768</w:t>
            </w:r>
          </w:p>
        </w:tc>
        <w:tc>
          <w:tcPr>
            <w:tcW w:w="13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$700</w:t>
            </w:r>
          </w:p>
        </w:tc>
        <w:tc>
          <w:tcPr>
            <w:tcW w:w="0" w:type="dxa"/>
            <w:vAlign w:val="bottom"/>
          </w:tcPr>
          <w:p>
            <w:pPr>
              <w:spacing w:after="0"/>
              <w:rPr>
                <w:sz w:val="1"/>
                <w:szCs w:val="1"/>
                <w:color w:val="auto"/>
              </w:rPr>
            </w:pPr>
          </w:p>
        </w:tc>
      </w:tr>
      <w:tr>
        <w:trPr>
          <w:trHeight w:val="229"/>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Target</w:t>
            </w:r>
          </w:p>
        </w:tc>
        <w:tc>
          <w:tcPr>
            <w:tcW w:w="9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6"/>
              </w:rPr>
              <w:t>$2,475</w:t>
            </w:r>
          </w:p>
        </w:tc>
        <w:tc>
          <w:tcPr>
            <w:tcW w:w="16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$2,500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$888</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$820</w:t>
            </w:r>
          </w:p>
        </w:tc>
        <w:tc>
          <w:tcPr>
            <w:tcW w:w="0" w:type="dxa"/>
            <w:vAlign w:val="bottom"/>
          </w:tcPr>
          <w:p>
            <w:pPr>
              <w:spacing w:after="0"/>
              <w:rPr>
                <w:sz w:val="1"/>
                <w:szCs w:val="1"/>
                <w:color w:val="auto"/>
              </w:rPr>
            </w:pPr>
          </w:p>
        </w:tc>
      </w:tr>
      <w:tr>
        <w:trPr>
          <w:trHeight w:val="229"/>
        </w:trPr>
        <w:tc>
          <w:tcPr>
            <w:tcW w:w="33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980" w:type="dxa"/>
            <w:vAlign w:val="bottom"/>
            <w:shd w:val="clear" w:color="auto" w:fill="DBDBDB"/>
          </w:tcPr>
          <w:p>
            <w:pPr>
              <w:jc w:val="center"/>
              <w:ind w:left="290"/>
              <w:spacing w:after="0"/>
              <w:rPr>
                <w:sz w:val="20"/>
                <w:szCs w:val="20"/>
                <w:color w:val="auto"/>
              </w:rPr>
            </w:pPr>
            <w:r>
              <w:rPr>
                <w:rFonts w:ascii="Times New Roman" w:cs="Times New Roman" w:eastAsia="Times New Roman" w:hAnsi="Times New Roman"/>
                <w:sz w:val="18"/>
                <w:szCs w:val="18"/>
                <w:color w:val="auto"/>
                <w:w w:val="96"/>
              </w:rPr>
              <w:t>$2,575</w:t>
            </w:r>
          </w:p>
        </w:tc>
        <w:tc>
          <w:tcPr>
            <w:tcW w:w="1620" w:type="dxa"/>
            <w:vAlign w:val="bottom"/>
            <w:shd w:val="clear" w:color="auto" w:fill="DBDBDB"/>
          </w:tcPr>
          <w:p>
            <w:pPr>
              <w:jc w:val="center"/>
              <w:ind w:left="350"/>
              <w:spacing w:after="0"/>
              <w:rPr>
                <w:sz w:val="20"/>
                <w:szCs w:val="20"/>
                <w:color w:val="auto"/>
              </w:rPr>
            </w:pPr>
            <w:r>
              <w:rPr>
                <w:rFonts w:ascii="Times New Roman" w:cs="Times New Roman" w:eastAsia="Times New Roman" w:hAnsi="Times New Roman"/>
                <w:sz w:val="18"/>
                <w:szCs w:val="18"/>
                <w:color w:val="auto"/>
              </w:rPr>
              <w:t>$2,750</w:t>
            </w:r>
          </w:p>
        </w:tc>
        <w:tc>
          <w:tcPr>
            <w:tcW w:w="14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$938</w:t>
            </w:r>
          </w:p>
        </w:tc>
        <w:tc>
          <w:tcPr>
            <w:tcW w:w="13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$940</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right="20" w:firstLine="389"/>
        <w:spacing w:after="0" w:line="313" w:lineRule="auto"/>
        <w:rPr>
          <w:sz w:val="20"/>
          <w:szCs w:val="20"/>
          <w:color w:val="auto"/>
        </w:rPr>
      </w:pPr>
      <w:r>
        <w:rPr>
          <w:rFonts w:ascii="Times New Roman" w:cs="Times New Roman" w:eastAsia="Times New Roman" w:hAnsi="Times New Roman"/>
          <w:sz w:val="18"/>
          <w:szCs w:val="18"/>
          <w:color w:val="auto"/>
        </w:rPr>
        <w:t>The Incentive Plan stipulated that payouts to executives following the end of the fiscal year, under either of the metrics, were conditioned upon the Company achieving full-year non-GAAP operating income of $1.1 billion.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Calculation of Incentive Plan Payments</w:t>
      </w:r>
    </w:p>
    <w:p>
      <w:pPr>
        <w:spacing w:after="0" w:line="254" w:lineRule="exact"/>
        <w:rPr>
          <w:sz w:val="20"/>
          <w:szCs w:val="20"/>
          <w:color w:val="auto"/>
        </w:rPr>
      </w:pPr>
    </w:p>
    <w:p>
      <w:pPr>
        <w:jc w:val="both"/>
        <w:ind w:firstLine="389"/>
        <w:spacing w:after="0" w:line="294" w:lineRule="auto"/>
        <w:rPr>
          <w:sz w:val="20"/>
          <w:szCs w:val="20"/>
          <w:color w:val="auto"/>
        </w:rPr>
      </w:pPr>
      <w:r>
        <w:rPr>
          <w:rFonts w:ascii="Times New Roman" w:cs="Times New Roman" w:eastAsia="Times New Roman" w:hAnsi="Times New Roman"/>
          <w:sz w:val="18"/>
          <w:szCs w:val="18"/>
          <w:color w:val="212529"/>
        </w:rPr>
        <w:t>Under the Incentive Plan, upon completion of the first six months of the fiscal year, the Compensation Committee determined the extent to which the Company’s performance goals for the first performance period were attained, reviewed the Chief Executive Officer’s recommended payouts under the Incentive Plan, and approved the awards to be made under the Incentive Plan with respect to the first performance period. Upon completion of the fiscal year, the Compensation Committee completed the same process with respect to the second performance period. Payments with respect to the first performance period were capped at 100% of the first half target level attributable to the applicable metric, with amounts over the target level held back and paid after the end of the fiscal year upon certification that the Company had achieved its minimum required level of non-GAAP operating income for the fiscal year.</w:t>
      </w:r>
    </w:p>
    <w:p>
      <w:pPr>
        <w:spacing w:after="0" w:line="196"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Achievement under the performance goals at the “threshold,” “target,” or “maximum” level corresponds to payment under the Incentive Plan at the “threshold,” “target,” or “maximum” percentage, as applicable, with such percentage multiplied by the executive’s base salary for the six-month period and then multiplied by the weighting assigned to that performance goal. The payout for achievement under the performance goals between either the “threshold” and “target” levels or the “target” and “maximum” levels would be based on linear interpolation between the two relevant amounts.</w:t>
      </w:r>
    </w:p>
    <w:p>
      <w:pPr>
        <w:spacing w:after="0" w:line="190"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Each executive’s payment under the Incentive Plan is calculated by evaluating achievement of each performance goal individually, determining the portion of the total eligible incentive payment earned with respect to each such performance goal, and totaling the resulting amounts. The Compensation Committee retained the discretion to make payments, upon consideration of recommendations by the Chief Executive Officer, even if the threshold performance goals were not met or if the nominal level of non-GAAP operating income was not met, or to make payments in excess of the maximum level if the Company’s performance exceeded the maximum performance goals. While the Compensation Committee believed it was appropriate to retain this discretion in order to make short-term incentive compensation awards in appropriate extraordinary circumstances, no such adjustments were actually made.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Fiscal Year Results</w:t>
      </w:r>
    </w:p>
    <w:p>
      <w:pPr>
        <w:spacing w:after="0" w:line="254" w:lineRule="exact"/>
        <w:rPr>
          <w:sz w:val="20"/>
          <w:szCs w:val="20"/>
          <w:color w:val="auto"/>
        </w:rPr>
      </w:pPr>
    </w:p>
    <w:p>
      <w:pPr>
        <w:jc w:val="both"/>
        <w:ind w:firstLine="389"/>
        <w:spacing w:after="0" w:line="302" w:lineRule="auto"/>
        <w:rPr>
          <w:sz w:val="20"/>
          <w:szCs w:val="20"/>
          <w:color w:val="auto"/>
        </w:rPr>
      </w:pPr>
      <w:r>
        <w:rPr>
          <w:rFonts w:ascii="Times New Roman" w:cs="Times New Roman" w:eastAsia="Times New Roman" w:hAnsi="Times New Roman"/>
          <w:sz w:val="18"/>
          <w:szCs w:val="18"/>
          <w:color w:val="auto"/>
        </w:rPr>
        <w:t>For the first half of fiscal year 2023, the Company’s revenue and non-GAAP operating income achieved were $2,482 million and $877 million, respectively, resulting in a short-term compensation award for each Named Executive Officer with respect to such performance period equal to 101% of his or her target payment level. A payment of the target amount was made to each Named Executive Officer in May 2023, with the remainder held back for potential payment following the completion of the fiscal year.</w:t>
      </w:r>
    </w:p>
    <w:p>
      <w:pPr>
        <w:spacing w:after="0" w:line="173"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For the second half of fiscal year 2023, the Company’s revenue and non-GAAP operating income achieved were $2,290 million and $725 million, respectively, resulting in a short-term compensation award for each Named Executive Officer with respect to such performance period equal to only 59% of the target payment level. In November 2023, upon certifying that the nominal level of non-GAAP operating income had been achieved for the fiscal year, the Compensation Committee approved payment of the short-term incentive achieved with respect to the second performance period as well as payment of the remaining portion of the short-term incentive achieved with respect to the first performance period, which had been held back. The Compensation Committee did not exercise discretion, either upward or downward, to executives’ payments under the Incentive Plan.</w:t>
      </w:r>
    </w:p>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shows the Company’s achievement under the Incentive Plan:</w:t>
      </w:r>
    </w:p>
    <w:p>
      <w:pPr>
        <w:spacing w:after="0" w:line="266"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60" w:type="dxa"/>
            <w:vAlign w:val="bottom"/>
          </w:tcPr>
          <w:p>
            <w:pPr>
              <w:spacing w:after="0"/>
              <w:rPr>
                <w:sz w:val="17"/>
                <w:szCs w:val="17"/>
                <w:color w:val="auto"/>
              </w:rPr>
            </w:pPr>
          </w:p>
        </w:tc>
        <w:tc>
          <w:tcPr>
            <w:tcW w:w="204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8"/>
              </w:rPr>
              <w:t>Non-GAAP</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3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Operating Income</w:t>
            </w:r>
          </w:p>
        </w:tc>
        <w:tc>
          <w:tcPr>
            <w:tcW w:w="0" w:type="dxa"/>
            <w:vAlign w:val="bottom"/>
          </w:tcPr>
          <w:p>
            <w:pPr>
              <w:spacing w:after="0"/>
              <w:rPr>
                <w:sz w:val="1"/>
                <w:szCs w:val="1"/>
                <w:color w:val="auto"/>
              </w:rPr>
            </w:pPr>
          </w:p>
        </w:tc>
      </w:tr>
      <w:tr>
        <w:trPr>
          <w:trHeight w:val="90"/>
        </w:trPr>
        <w:tc>
          <w:tcPr>
            <w:tcW w:w="3360" w:type="dxa"/>
            <w:vAlign w:val="bottom"/>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100" w:type="dxa"/>
            <w:vAlign w:val="bottom"/>
            <w:tcBorders>
              <w:bottom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1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1st Half</w:t>
            </w:r>
          </w:p>
        </w:tc>
        <w:tc>
          <w:tcPr>
            <w:tcW w:w="194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2nd Half</w:t>
            </w:r>
          </w:p>
        </w:tc>
        <w:tc>
          <w:tcPr>
            <w:tcW w:w="106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1st Half</w:t>
            </w:r>
          </w:p>
        </w:tc>
        <w:tc>
          <w:tcPr>
            <w:tcW w:w="204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2nd Half</w:t>
            </w:r>
          </w:p>
        </w:tc>
        <w:tc>
          <w:tcPr>
            <w:tcW w:w="0" w:type="dxa"/>
            <w:vAlign w:val="bottom"/>
          </w:tcPr>
          <w:p>
            <w:pPr>
              <w:spacing w:after="0"/>
              <w:rPr>
                <w:sz w:val="1"/>
                <w:szCs w:val="1"/>
                <w:color w:val="auto"/>
              </w:rPr>
            </w:pPr>
          </w:p>
        </w:tc>
      </w:tr>
      <w:tr>
        <w:trPr>
          <w:trHeight w:val="229"/>
        </w:trPr>
        <w:tc>
          <w:tcPr>
            <w:tcW w:w="33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Threshold</w:t>
            </w:r>
          </w:p>
        </w:tc>
        <w:tc>
          <w:tcPr>
            <w:tcW w:w="1140" w:type="dxa"/>
            <w:vAlign w:val="bottom"/>
            <w:shd w:val="clear" w:color="auto" w:fill="D9D9D9"/>
          </w:tcPr>
          <w:p>
            <w:pPr>
              <w:jc w:val="center"/>
              <w:ind w:left="330"/>
              <w:spacing w:after="0"/>
              <w:rPr>
                <w:sz w:val="20"/>
                <w:szCs w:val="20"/>
                <w:color w:val="auto"/>
              </w:rPr>
            </w:pPr>
            <w:r>
              <w:rPr>
                <w:rFonts w:ascii="Times New Roman" w:cs="Times New Roman" w:eastAsia="Times New Roman" w:hAnsi="Times New Roman"/>
                <w:sz w:val="18"/>
                <w:szCs w:val="18"/>
                <w:color w:val="auto"/>
                <w:w w:val="96"/>
              </w:rPr>
              <w:t>$2,225</w:t>
            </w:r>
          </w:p>
        </w:tc>
        <w:tc>
          <w:tcPr>
            <w:tcW w:w="1940" w:type="dxa"/>
            <w:vAlign w:val="bottom"/>
            <w:shd w:val="clear" w:color="auto" w:fill="D9D9D9"/>
          </w:tcPr>
          <w:p>
            <w:pPr>
              <w:jc w:val="center"/>
              <w:ind w:left="290"/>
              <w:spacing w:after="0"/>
              <w:rPr>
                <w:sz w:val="20"/>
                <w:szCs w:val="20"/>
                <w:color w:val="auto"/>
              </w:rPr>
            </w:pPr>
            <w:r>
              <w:rPr>
                <w:rFonts w:ascii="Times New Roman" w:cs="Times New Roman" w:eastAsia="Times New Roman" w:hAnsi="Times New Roman"/>
                <w:sz w:val="18"/>
                <w:szCs w:val="18"/>
                <w:color w:val="auto"/>
                <w:w w:val="96"/>
              </w:rPr>
              <w:t>$2,250</w:t>
            </w:r>
          </w:p>
        </w:tc>
        <w:tc>
          <w:tcPr>
            <w:tcW w:w="1060" w:type="dxa"/>
            <w:vAlign w:val="bottom"/>
            <w:shd w:val="clear" w:color="auto" w:fill="D9D9D9"/>
          </w:tcPr>
          <w:p>
            <w:pPr>
              <w:jc w:val="center"/>
              <w:ind w:left="330"/>
              <w:spacing w:after="0"/>
              <w:rPr>
                <w:sz w:val="20"/>
                <w:szCs w:val="20"/>
                <w:color w:val="auto"/>
              </w:rPr>
            </w:pPr>
            <w:r>
              <w:rPr>
                <w:rFonts w:ascii="Times New Roman" w:cs="Times New Roman" w:eastAsia="Times New Roman" w:hAnsi="Times New Roman"/>
                <w:sz w:val="18"/>
                <w:szCs w:val="18"/>
                <w:color w:val="auto"/>
                <w:w w:val="99"/>
              </w:rPr>
              <w:t>$768</w:t>
            </w:r>
          </w:p>
        </w:tc>
        <w:tc>
          <w:tcPr>
            <w:tcW w:w="2040" w:type="dxa"/>
            <w:vAlign w:val="bottom"/>
            <w:shd w:val="clear" w:color="auto" w:fill="D9D9D9"/>
          </w:tcPr>
          <w:p>
            <w:pPr>
              <w:jc w:val="center"/>
              <w:ind w:left="350"/>
              <w:spacing w:after="0"/>
              <w:rPr>
                <w:sz w:val="20"/>
                <w:szCs w:val="20"/>
                <w:color w:val="auto"/>
              </w:rPr>
            </w:pPr>
            <w:r>
              <w:rPr>
                <w:rFonts w:ascii="Times New Roman" w:cs="Times New Roman" w:eastAsia="Times New Roman" w:hAnsi="Times New Roman"/>
                <w:sz w:val="18"/>
                <w:szCs w:val="18"/>
                <w:color w:val="auto"/>
                <w:w w:val="99"/>
              </w:rPr>
              <w:t>$700</w:t>
            </w:r>
          </w:p>
        </w:tc>
        <w:tc>
          <w:tcPr>
            <w:tcW w:w="0" w:type="dxa"/>
            <w:vAlign w:val="bottom"/>
          </w:tcPr>
          <w:p>
            <w:pPr>
              <w:spacing w:after="0"/>
              <w:rPr>
                <w:sz w:val="1"/>
                <w:szCs w:val="1"/>
                <w:color w:val="auto"/>
              </w:rPr>
            </w:pPr>
          </w:p>
        </w:tc>
      </w:tr>
      <w:tr>
        <w:trPr>
          <w:trHeight w:val="230"/>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Target</w:t>
            </w:r>
          </w:p>
        </w:tc>
        <w:tc>
          <w:tcPr>
            <w:tcW w:w="114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6"/>
              </w:rPr>
              <w:t>$2,475</w:t>
            </w:r>
          </w:p>
        </w:tc>
        <w:tc>
          <w:tcPr>
            <w:tcW w:w="19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6"/>
              </w:rPr>
              <w:t>$2,500</w:t>
            </w:r>
          </w:p>
        </w:tc>
        <w:tc>
          <w:tcPr>
            <w:tcW w:w="10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$888</w:t>
            </w:r>
          </w:p>
        </w:tc>
        <w:tc>
          <w:tcPr>
            <w:tcW w:w="20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$820</w:t>
            </w:r>
          </w:p>
        </w:tc>
        <w:tc>
          <w:tcPr>
            <w:tcW w:w="0" w:type="dxa"/>
            <w:vAlign w:val="bottom"/>
          </w:tcPr>
          <w:p>
            <w:pPr>
              <w:spacing w:after="0"/>
              <w:rPr>
                <w:sz w:val="1"/>
                <w:szCs w:val="1"/>
                <w:color w:val="auto"/>
              </w:rPr>
            </w:pPr>
          </w:p>
        </w:tc>
      </w:tr>
      <w:tr>
        <w:trPr>
          <w:trHeight w:val="229"/>
        </w:trPr>
        <w:tc>
          <w:tcPr>
            <w:tcW w:w="336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1140" w:type="dxa"/>
            <w:vAlign w:val="bottom"/>
            <w:shd w:val="clear" w:color="auto" w:fill="D9D9D9"/>
          </w:tcPr>
          <w:p>
            <w:pPr>
              <w:jc w:val="center"/>
              <w:ind w:left="330"/>
              <w:spacing w:after="0"/>
              <w:rPr>
                <w:sz w:val="20"/>
                <w:szCs w:val="20"/>
                <w:color w:val="auto"/>
              </w:rPr>
            </w:pPr>
            <w:r>
              <w:rPr>
                <w:rFonts w:ascii="Times New Roman" w:cs="Times New Roman" w:eastAsia="Times New Roman" w:hAnsi="Times New Roman"/>
                <w:sz w:val="18"/>
                <w:szCs w:val="18"/>
                <w:color w:val="auto"/>
                <w:w w:val="96"/>
              </w:rPr>
              <w:t>$2,575</w:t>
            </w:r>
          </w:p>
        </w:tc>
        <w:tc>
          <w:tcPr>
            <w:tcW w:w="1940" w:type="dxa"/>
            <w:vAlign w:val="bottom"/>
            <w:shd w:val="clear" w:color="auto" w:fill="D9D9D9"/>
          </w:tcPr>
          <w:p>
            <w:pPr>
              <w:jc w:val="center"/>
              <w:ind w:left="290"/>
              <w:spacing w:after="0"/>
              <w:rPr>
                <w:sz w:val="20"/>
                <w:szCs w:val="20"/>
                <w:color w:val="auto"/>
              </w:rPr>
            </w:pPr>
            <w:r>
              <w:rPr>
                <w:rFonts w:ascii="Times New Roman" w:cs="Times New Roman" w:eastAsia="Times New Roman" w:hAnsi="Times New Roman"/>
                <w:sz w:val="18"/>
                <w:szCs w:val="18"/>
                <w:color w:val="auto"/>
                <w:w w:val="96"/>
              </w:rPr>
              <w:t>$2,750</w:t>
            </w:r>
          </w:p>
        </w:tc>
        <w:tc>
          <w:tcPr>
            <w:tcW w:w="1060" w:type="dxa"/>
            <w:vAlign w:val="bottom"/>
            <w:shd w:val="clear" w:color="auto" w:fill="D9D9D9"/>
          </w:tcPr>
          <w:p>
            <w:pPr>
              <w:jc w:val="center"/>
              <w:ind w:left="330"/>
              <w:spacing w:after="0"/>
              <w:rPr>
                <w:sz w:val="20"/>
                <w:szCs w:val="20"/>
                <w:color w:val="auto"/>
              </w:rPr>
            </w:pPr>
            <w:r>
              <w:rPr>
                <w:rFonts w:ascii="Times New Roman" w:cs="Times New Roman" w:eastAsia="Times New Roman" w:hAnsi="Times New Roman"/>
                <w:sz w:val="18"/>
                <w:szCs w:val="18"/>
                <w:color w:val="auto"/>
                <w:w w:val="99"/>
              </w:rPr>
              <w:t>$938</w:t>
            </w:r>
          </w:p>
        </w:tc>
        <w:tc>
          <w:tcPr>
            <w:tcW w:w="2040" w:type="dxa"/>
            <w:vAlign w:val="bottom"/>
            <w:shd w:val="clear" w:color="auto" w:fill="D9D9D9"/>
          </w:tcPr>
          <w:p>
            <w:pPr>
              <w:jc w:val="center"/>
              <w:ind w:left="350"/>
              <w:spacing w:after="0"/>
              <w:rPr>
                <w:sz w:val="20"/>
                <w:szCs w:val="20"/>
                <w:color w:val="auto"/>
              </w:rPr>
            </w:pPr>
            <w:r>
              <w:rPr>
                <w:rFonts w:ascii="Times New Roman" w:cs="Times New Roman" w:eastAsia="Times New Roman" w:hAnsi="Times New Roman"/>
                <w:sz w:val="18"/>
                <w:szCs w:val="18"/>
                <w:color w:val="auto"/>
                <w:w w:val="99"/>
              </w:rPr>
              <w:t>$940</w:t>
            </w:r>
          </w:p>
        </w:tc>
        <w:tc>
          <w:tcPr>
            <w:tcW w:w="0" w:type="dxa"/>
            <w:vAlign w:val="bottom"/>
          </w:tcPr>
          <w:p>
            <w:pPr>
              <w:spacing w:after="0"/>
              <w:rPr>
                <w:sz w:val="1"/>
                <w:szCs w:val="1"/>
                <w:color w:val="auto"/>
              </w:rPr>
            </w:pPr>
          </w:p>
        </w:tc>
      </w:tr>
      <w:tr>
        <w:trPr>
          <w:trHeight w:val="238"/>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Achieved</w:t>
            </w:r>
          </w:p>
        </w:tc>
        <w:tc>
          <w:tcPr>
            <w:tcW w:w="11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6"/>
              </w:rPr>
              <w:t>$2,482</w:t>
            </w:r>
          </w:p>
        </w:tc>
        <w:tc>
          <w:tcPr>
            <w:tcW w:w="194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6"/>
              </w:rPr>
              <w:t>$2,290</w:t>
            </w:r>
          </w:p>
        </w:tc>
        <w:tc>
          <w:tcPr>
            <w:tcW w:w="106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$877</w:t>
            </w:r>
          </w:p>
        </w:tc>
        <w:tc>
          <w:tcPr>
            <w:tcW w:w="204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$725</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u w:val="single" w:color="auto"/>
          <w:color w:val="auto"/>
        </w:rPr>
        <w:t>Long-Term Stock-Based Compensation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68" w:lineRule="exact"/>
        <w:rPr>
          <w:sz w:val="20"/>
          <w:szCs w:val="20"/>
          <w:color w:val="auto"/>
        </w:rPr>
      </w:pPr>
    </w:p>
    <w:p>
      <w:pPr>
        <w:jc w:val="both"/>
        <w:ind w:firstLine="389"/>
        <w:spacing w:after="0" w:line="294" w:lineRule="auto"/>
        <w:rPr>
          <w:sz w:val="20"/>
          <w:szCs w:val="20"/>
          <w:color w:val="auto"/>
        </w:rPr>
      </w:pPr>
      <w:r>
        <w:rPr>
          <w:rFonts w:ascii="Times New Roman" w:cs="Times New Roman" w:eastAsia="Times New Roman" w:hAnsi="Times New Roman"/>
          <w:sz w:val="18"/>
          <w:szCs w:val="18"/>
          <w:color w:val="auto"/>
        </w:rPr>
        <w:t>The Compensation Committee generally makes long-term stock-based compensation awards to executive officers on an annual basis. Long-term stock-based compensation awards are intended to align the interests of our executive officers with those of our stockholders and to reward our executive officers for increases in stockholder value over periods of time greater than one year. It is the Company’s practice to make stock-based compensation awards to executive officers in November of each year at a prescheduled Compensation Committee meeting. For fiscal year 2023, the Compensation Committee made an annual stock-based compensation award to each of the Named Executive Officers on November 8, 2022, at a regularly scheduled Compensation Committee meeting.</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2023 Stock-Based Compensation Awards</w:t>
      </w:r>
    </w:p>
    <w:p>
      <w:pPr>
        <w:spacing w:after="0" w:line="254" w:lineRule="exact"/>
        <w:rPr>
          <w:sz w:val="20"/>
          <w:szCs w:val="20"/>
          <w:color w:val="auto"/>
        </w:rPr>
      </w:pPr>
    </w:p>
    <w:p>
      <w:pPr>
        <w:jc w:val="both"/>
        <w:ind w:firstLine="389"/>
        <w:spacing w:after="0" w:line="295" w:lineRule="auto"/>
        <w:rPr>
          <w:sz w:val="20"/>
          <w:szCs w:val="20"/>
          <w:color w:val="auto"/>
        </w:rPr>
      </w:pPr>
      <w:r>
        <w:rPr>
          <w:rFonts w:ascii="Times New Roman" w:cs="Times New Roman" w:eastAsia="Times New Roman" w:hAnsi="Times New Roman"/>
          <w:sz w:val="18"/>
          <w:szCs w:val="18"/>
          <w:color w:val="auto"/>
        </w:rPr>
        <w:t>In making annual stock-based compensation awards to executive officers for fiscal year 2023, the Compensation Committee first reviewed the Comparator Group grant data by executive position. The Compensation Committee used that data to inform its determination of a target dollar value for the long-term stock-based award for each executive officer, as set forth in the table below, targeting awards for fiscal year 2023 that were competitive within the Comparator Group. Each executive officer was granted a performance share award (“PSA”) and a restricted stock unit (“RSU”) award equivalent to 60% and 40%, respectively, of the dollar value of the executive’s fiscal year 2023 stock-based award, calculating the number of shares subject to each award using the fair market value of the Company’s common stock on the date of such award and an assumption that the Company would achieve the “target” level of performance required to earn the PSA. The Compensation Committee’s rationale for awarding PSAs is to further align the executive’s interests with those of our stockholders by using equity awards that will vest only if the Company achieves pre-established performance goals, and we believe the Compensation</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5" w:name="page16"/>
    <w:bookmarkEnd w:id="15"/>
    <w:p>
      <w:pPr>
        <w:spacing w:after="0" w:line="313" w:lineRule="auto"/>
        <w:rPr>
          <w:sz w:val="20"/>
          <w:szCs w:val="20"/>
          <w:color w:val="auto"/>
        </w:rPr>
      </w:pPr>
      <w:r>
        <w:rPr>
          <w:rFonts w:ascii="Times New Roman" w:cs="Times New Roman" w:eastAsia="Times New Roman" w:hAnsi="Times New Roman"/>
          <w:sz w:val="18"/>
          <w:szCs w:val="18"/>
          <w:color w:val="auto"/>
        </w:rPr>
        <w:t>Committee’s decision to award a portion of the PSAs subject to metrics measured over a multi-year performance period more closely aligns the executive’s interests with those of our stockholders.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33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Value of FY23</w:t>
            </w:r>
          </w:p>
        </w:tc>
        <w:tc>
          <w:tcPr>
            <w:tcW w:w="32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Number of Shares Subject</w:t>
            </w:r>
          </w:p>
        </w:tc>
        <w:tc>
          <w:tcPr>
            <w:tcW w:w="25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r>
      <w:tr>
        <w:trPr>
          <w:trHeight w:val="265"/>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3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Stock-Based Award (1)</w:t>
            </w:r>
          </w:p>
        </w:tc>
        <w:tc>
          <w:tcPr>
            <w:tcW w:w="32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to PSAs, at Target (2)</w:t>
            </w:r>
          </w:p>
        </w:tc>
        <w:tc>
          <w:tcPr>
            <w:tcW w:w="25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Subject to RSUs (2)</w:t>
            </w:r>
          </w:p>
        </w:tc>
      </w:tr>
      <w:tr>
        <w:trPr>
          <w:trHeight w:val="230"/>
        </w:trPr>
        <w:tc>
          <w:tcPr>
            <w:tcW w:w="206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Liam K. Griffin</w:t>
            </w:r>
          </w:p>
        </w:tc>
        <w:tc>
          <w:tcPr>
            <w:tcW w:w="3340" w:type="dxa"/>
            <w:vAlign w:val="bottom"/>
            <w:shd w:val="clear" w:color="auto" w:fill="D9D9D9"/>
          </w:tcPr>
          <w:p>
            <w:pPr>
              <w:jc w:val="center"/>
              <w:ind w:left="110"/>
              <w:spacing w:after="0"/>
              <w:rPr>
                <w:sz w:val="20"/>
                <w:szCs w:val="20"/>
                <w:color w:val="auto"/>
              </w:rPr>
            </w:pPr>
            <w:r>
              <w:rPr>
                <w:rFonts w:ascii="Times New Roman" w:cs="Times New Roman" w:eastAsia="Times New Roman" w:hAnsi="Times New Roman"/>
                <w:sz w:val="18"/>
                <w:szCs w:val="18"/>
                <w:color w:val="auto"/>
                <w:w w:val="99"/>
              </w:rPr>
              <w:t>$13,000,000</w:t>
            </w:r>
          </w:p>
        </w:tc>
        <w:tc>
          <w:tcPr>
            <w:tcW w:w="3280" w:type="dxa"/>
            <w:vAlign w:val="bottom"/>
            <w:shd w:val="clear" w:color="auto" w:fill="D9D9D9"/>
          </w:tcPr>
          <w:p>
            <w:pPr>
              <w:jc w:val="center"/>
              <w:ind w:left="10"/>
              <w:spacing w:after="0"/>
              <w:rPr>
                <w:sz w:val="20"/>
                <w:szCs w:val="20"/>
                <w:color w:val="auto"/>
              </w:rPr>
            </w:pPr>
            <w:r>
              <w:rPr>
                <w:rFonts w:ascii="Times New Roman" w:cs="Times New Roman" w:eastAsia="Times New Roman" w:hAnsi="Times New Roman"/>
                <w:sz w:val="18"/>
                <w:szCs w:val="18"/>
                <w:color w:val="auto"/>
              </w:rPr>
              <w:t>87,976</w:t>
            </w:r>
          </w:p>
        </w:tc>
        <w:tc>
          <w:tcPr>
            <w:tcW w:w="2560" w:type="dxa"/>
            <w:vAlign w:val="bottom"/>
            <w:shd w:val="clear" w:color="auto" w:fill="D9D9D9"/>
          </w:tcPr>
          <w:p>
            <w:pPr>
              <w:jc w:val="center"/>
              <w:ind w:left="10"/>
              <w:spacing w:after="0"/>
              <w:rPr>
                <w:sz w:val="20"/>
                <w:szCs w:val="20"/>
                <w:color w:val="auto"/>
              </w:rPr>
            </w:pPr>
            <w:r>
              <w:rPr>
                <w:rFonts w:ascii="Times New Roman" w:cs="Times New Roman" w:eastAsia="Times New Roman" w:hAnsi="Times New Roman"/>
                <w:sz w:val="18"/>
                <w:szCs w:val="18"/>
                <w:color w:val="auto"/>
              </w:rPr>
              <w:t>58,651</w:t>
            </w:r>
          </w:p>
        </w:tc>
      </w:tr>
      <w:tr>
        <w:trPr>
          <w:trHeight w:val="229"/>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Kris Sennesael</w:t>
            </w:r>
          </w:p>
        </w:tc>
        <w:tc>
          <w:tcPr>
            <w:tcW w:w="33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$3,700,000</w:t>
            </w:r>
          </w:p>
        </w:tc>
        <w:tc>
          <w:tcPr>
            <w:tcW w:w="32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25,039</w:t>
            </w:r>
          </w:p>
        </w:tc>
        <w:tc>
          <w:tcPr>
            <w:tcW w:w="25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16,692</w:t>
            </w:r>
          </w:p>
        </w:tc>
      </w:tr>
      <w:tr>
        <w:trPr>
          <w:trHeight w:val="229"/>
        </w:trPr>
        <w:tc>
          <w:tcPr>
            <w:tcW w:w="206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Reza Kasnavi</w:t>
            </w:r>
          </w:p>
        </w:tc>
        <w:tc>
          <w:tcPr>
            <w:tcW w:w="3340" w:type="dxa"/>
            <w:vAlign w:val="bottom"/>
            <w:shd w:val="clear" w:color="auto" w:fill="D9D9D9"/>
          </w:tcPr>
          <w:p>
            <w:pPr>
              <w:jc w:val="center"/>
              <w:ind w:left="90"/>
              <w:spacing w:after="0"/>
              <w:rPr>
                <w:sz w:val="20"/>
                <w:szCs w:val="20"/>
                <w:color w:val="auto"/>
              </w:rPr>
            </w:pPr>
            <w:r>
              <w:rPr>
                <w:rFonts w:ascii="Times New Roman" w:cs="Times New Roman" w:eastAsia="Times New Roman" w:hAnsi="Times New Roman"/>
                <w:sz w:val="18"/>
                <w:szCs w:val="18"/>
                <w:color w:val="auto"/>
                <w:w w:val="98"/>
              </w:rPr>
              <w:t>$3,910,000</w:t>
            </w:r>
          </w:p>
        </w:tc>
        <w:tc>
          <w:tcPr>
            <w:tcW w:w="3280" w:type="dxa"/>
            <w:vAlign w:val="bottom"/>
            <w:shd w:val="clear" w:color="auto" w:fill="D9D9D9"/>
          </w:tcPr>
          <w:p>
            <w:pPr>
              <w:jc w:val="center"/>
              <w:ind w:left="10"/>
              <w:spacing w:after="0"/>
              <w:rPr>
                <w:sz w:val="20"/>
                <w:szCs w:val="20"/>
                <w:color w:val="auto"/>
              </w:rPr>
            </w:pPr>
            <w:r>
              <w:rPr>
                <w:rFonts w:ascii="Times New Roman" w:cs="Times New Roman" w:eastAsia="Times New Roman" w:hAnsi="Times New Roman"/>
                <w:sz w:val="18"/>
                <w:szCs w:val="18"/>
                <w:color w:val="auto"/>
              </w:rPr>
              <w:t>26,460</w:t>
            </w:r>
          </w:p>
        </w:tc>
        <w:tc>
          <w:tcPr>
            <w:tcW w:w="2560" w:type="dxa"/>
            <w:vAlign w:val="bottom"/>
            <w:shd w:val="clear" w:color="auto" w:fill="D9D9D9"/>
          </w:tcPr>
          <w:p>
            <w:pPr>
              <w:jc w:val="center"/>
              <w:ind w:left="10"/>
              <w:spacing w:after="0"/>
              <w:rPr>
                <w:sz w:val="20"/>
                <w:szCs w:val="20"/>
                <w:color w:val="auto"/>
              </w:rPr>
            </w:pPr>
            <w:r>
              <w:rPr>
                <w:rFonts w:ascii="Times New Roman" w:cs="Times New Roman" w:eastAsia="Times New Roman" w:hAnsi="Times New Roman"/>
                <w:sz w:val="18"/>
                <w:szCs w:val="18"/>
                <w:color w:val="auto"/>
              </w:rPr>
              <w:t>17,640</w:t>
            </w:r>
          </w:p>
        </w:tc>
      </w:tr>
      <w:tr>
        <w:trPr>
          <w:trHeight w:val="23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Carlos S. Bori</w:t>
            </w:r>
          </w:p>
        </w:tc>
        <w:tc>
          <w:tcPr>
            <w:tcW w:w="33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$3,910,000</w:t>
            </w:r>
          </w:p>
        </w:tc>
        <w:tc>
          <w:tcPr>
            <w:tcW w:w="32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26,460</w:t>
            </w:r>
          </w:p>
        </w:tc>
        <w:tc>
          <w:tcPr>
            <w:tcW w:w="25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17,640</w:t>
            </w:r>
          </w:p>
        </w:tc>
      </w:tr>
      <w:tr>
        <w:trPr>
          <w:trHeight w:val="229"/>
        </w:trPr>
        <w:tc>
          <w:tcPr>
            <w:tcW w:w="206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Robert J. Terry</w:t>
            </w:r>
          </w:p>
        </w:tc>
        <w:tc>
          <w:tcPr>
            <w:tcW w:w="3340" w:type="dxa"/>
            <w:vAlign w:val="bottom"/>
            <w:shd w:val="clear" w:color="auto" w:fill="D9D9D9"/>
          </w:tcPr>
          <w:p>
            <w:pPr>
              <w:jc w:val="center"/>
              <w:ind w:left="90"/>
              <w:spacing w:after="0"/>
              <w:rPr>
                <w:sz w:val="20"/>
                <w:szCs w:val="20"/>
                <w:color w:val="auto"/>
              </w:rPr>
            </w:pPr>
            <w:r>
              <w:rPr>
                <w:rFonts w:ascii="Times New Roman" w:cs="Times New Roman" w:eastAsia="Times New Roman" w:hAnsi="Times New Roman"/>
                <w:sz w:val="18"/>
                <w:szCs w:val="18"/>
                <w:color w:val="auto"/>
                <w:w w:val="98"/>
              </w:rPr>
              <w:t>$3,220,000</w:t>
            </w:r>
          </w:p>
        </w:tc>
        <w:tc>
          <w:tcPr>
            <w:tcW w:w="3280" w:type="dxa"/>
            <w:vAlign w:val="bottom"/>
            <w:shd w:val="clear" w:color="auto" w:fill="D9D9D9"/>
          </w:tcPr>
          <w:p>
            <w:pPr>
              <w:jc w:val="center"/>
              <w:ind w:left="10"/>
              <w:spacing w:after="0"/>
              <w:rPr>
                <w:sz w:val="20"/>
                <w:szCs w:val="20"/>
                <w:color w:val="auto"/>
              </w:rPr>
            </w:pPr>
            <w:r>
              <w:rPr>
                <w:rFonts w:ascii="Times New Roman" w:cs="Times New Roman" w:eastAsia="Times New Roman" w:hAnsi="Times New Roman"/>
                <w:sz w:val="18"/>
                <w:szCs w:val="18"/>
                <w:color w:val="auto"/>
              </w:rPr>
              <w:t>21,791</w:t>
            </w:r>
          </w:p>
        </w:tc>
        <w:tc>
          <w:tcPr>
            <w:tcW w:w="2560" w:type="dxa"/>
            <w:vAlign w:val="bottom"/>
            <w:shd w:val="clear" w:color="auto" w:fill="D9D9D9"/>
          </w:tcPr>
          <w:p>
            <w:pPr>
              <w:jc w:val="center"/>
              <w:ind w:left="10"/>
              <w:spacing w:after="0"/>
              <w:rPr>
                <w:sz w:val="20"/>
                <w:szCs w:val="20"/>
                <w:color w:val="auto"/>
              </w:rPr>
            </w:pPr>
            <w:r>
              <w:rPr>
                <w:rFonts w:ascii="Times New Roman" w:cs="Times New Roman" w:eastAsia="Times New Roman" w:hAnsi="Times New Roman"/>
                <w:sz w:val="18"/>
                <w:szCs w:val="18"/>
                <w:color w:val="auto"/>
              </w:rPr>
              <w:t>14,527</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50" w:lineRule="exact"/>
        <w:rPr>
          <w:sz w:val="20"/>
          <w:szCs w:val="20"/>
          <w:color w:val="auto"/>
        </w:rPr>
      </w:pPr>
    </w:p>
    <w:p>
      <w:pPr>
        <w:jc w:val="both"/>
        <w:ind w:left="260" w:hanging="252"/>
        <w:spacing w:after="0" w:line="286" w:lineRule="auto"/>
        <w:tabs>
          <w:tab w:leader="none" w:pos="27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values of these stock-based awards as disclosed further below in the “Summary Compensation Table” and the “Grants of Plan-Based Awards Table” differ from the values stated above due to the grant date fair value of the PSAs being computed using a Monte Carlo simulation to value the portion of the award related to total shareholder return (“TSR”) percentile ranking, in accordance with the provisions of ASC 718.</w:t>
      </w:r>
    </w:p>
    <w:p>
      <w:pPr>
        <w:spacing w:after="0" w:line="2" w:lineRule="exact"/>
        <w:rPr>
          <w:rFonts w:ascii="Times New Roman" w:cs="Times New Roman" w:eastAsia="Times New Roman" w:hAnsi="Times New Roman"/>
          <w:sz w:val="18"/>
          <w:szCs w:val="18"/>
          <w:color w:val="auto"/>
        </w:rPr>
      </w:pPr>
    </w:p>
    <w:p>
      <w:pPr>
        <w:ind w:left="260" w:right="20" w:hanging="252"/>
        <w:spacing w:after="0" w:line="329" w:lineRule="auto"/>
        <w:tabs>
          <w:tab w:leader="none" w:pos="2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dollar value of the award, divided by $88.66 per share, which was the closing price of the Company’s common stock on the Nasdaq Global Select Market on November 8, 2022.</w:t>
      </w:r>
    </w:p>
    <w:p>
      <w:pPr>
        <w:spacing w:after="0" w:line="162"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After setting award levels by position and evaluating our business needs for the attraction and retention of executives and employees as well as internal and external circumstances impacting the Company and its employees, the Compensation Committee also reviewed the Comparator Group data to set the aggregate number of shares of the Company’s common stock that would be made available for annual equity awards to eligible non-executive employees of the Company, as a percentage of the total number of the outstanding shares of the Company’s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FY23 PSAs</w:t>
      </w:r>
    </w:p>
    <w:p>
      <w:pPr>
        <w:spacing w:after="0" w:line="254" w:lineRule="exact"/>
        <w:rPr>
          <w:sz w:val="20"/>
          <w:szCs w:val="20"/>
          <w:color w:val="auto"/>
        </w:rPr>
      </w:pPr>
    </w:p>
    <w:p>
      <w:pPr>
        <w:jc w:val="both"/>
        <w:ind w:firstLine="389"/>
        <w:spacing w:after="0" w:line="329" w:lineRule="auto"/>
        <w:rPr>
          <w:sz w:val="20"/>
          <w:szCs w:val="20"/>
          <w:color w:val="auto"/>
        </w:rPr>
      </w:pPr>
      <w:r>
        <w:rPr>
          <w:rFonts w:ascii="Times New Roman" w:cs="Times New Roman" w:eastAsia="Times New Roman" w:hAnsi="Times New Roman"/>
          <w:sz w:val="18"/>
          <w:szCs w:val="18"/>
          <w:color w:val="auto"/>
        </w:rPr>
        <w:t>The PSAs granted on November 8, 2022 (the “FY23 PSAs”) have both “performance” and “continued employment” conditions that must be met in order for the executive to receive shares underlying the award.</w:t>
      </w:r>
    </w:p>
    <w:p>
      <w:pPr>
        <w:spacing w:after="0" w:line="148" w:lineRule="exact"/>
        <w:rPr>
          <w:sz w:val="20"/>
          <w:szCs w:val="20"/>
          <w:color w:val="auto"/>
        </w:rPr>
      </w:pPr>
    </w:p>
    <w:p>
      <w:pPr>
        <w:jc w:val="both"/>
        <w:ind w:firstLine="389"/>
        <w:spacing w:after="0" w:line="329" w:lineRule="auto"/>
        <w:rPr>
          <w:sz w:val="20"/>
          <w:szCs w:val="20"/>
          <w:color w:val="auto"/>
        </w:rPr>
      </w:pPr>
      <w:r>
        <w:rPr>
          <w:rFonts w:ascii="Times New Roman" w:cs="Times New Roman" w:eastAsia="Times New Roman" w:hAnsi="Times New Roman"/>
          <w:sz w:val="18"/>
          <w:szCs w:val="18"/>
          <w:color w:val="auto"/>
        </w:rPr>
        <w:t>The “performance” condition of the FY23 PSAs compares the Company’s performance under three distinct metrics during the applicable performance period against a range of pre-established targets, as follows:</w:t>
      </w:r>
    </w:p>
    <w:p>
      <w:pPr>
        <w:spacing w:after="0" w:line="45"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40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 of Aggregate Target</w:t>
            </w: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 Period</w:t>
            </w:r>
          </w:p>
        </w:tc>
        <w:tc>
          <w:tcPr>
            <w:tcW w:w="170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Vesting</w:t>
            </w: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 Shares</w:t>
            </w:r>
          </w:p>
        </w:tc>
        <w:tc>
          <w:tcPr>
            <w:tcW w:w="1960" w:type="dxa"/>
            <w:vAlign w:val="bottom"/>
            <w:vMerge w:val="continue"/>
          </w:tcPr>
          <w:p>
            <w:pPr>
              <w:spacing w:after="0"/>
              <w:rPr>
                <w:sz w:val="20"/>
                <w:szCs w:val="20"/>
                <w:color w:val="auto"/>
              </w:rPr>
            </w:pP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060" w:type="dxa"/>
            <w:vAlign w:val="bottom"/>
            <w:shd w:val="clear" w:color="auto" w:fill="DBDBDB"/>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Target Level Shares with Respect to Emerging</w:t>
            </w:r>
          </w:p>
        </w:tc>
        <w:tc>
          <w:tcPr>
            <w:tcW w:w="262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960" w:type="dxa"/>
            <w:vAlign w:val="bottom"/>
            <w:shd w:val="clear" w:color="auto" w:fill="DBDBDB"/>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Fiscal Year</w:t>
            </w:r>
          </w:p>
        </w:tc>
        <w:tc>
          <w:tcPr>
            <w:tcW w:w="1700" w:type="dxa"/>
            <w:vAlign w:val="bottom"/>
            <w:shd w:val="clear" w:color="auto" w:fill="DBDBDB"/>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100% at the End of</w:t>
            </w:r>
          </w:p>
        </w:tc>
        <w:tc>
          <w:tcPr>
            <w:tcW w:w="0" w:type="dxa"/>
            <w:vAlign w:val="bottom"/>
          </w:tcPr>
          <w:p>
            <w:pPr>
              <w:spacing w:after="0"/>
              <w:rPr>
                <w:sz w:val="1"/>
                <w:szCs w:val="1"/>
                <w:color w:val="auto"/>
              </w:rPr>
            </w:pPr>
          </w:p>
        </w:tc>
      </w:tr>
      <w:tr>
        <w:trPr>
          <w:trHeight w:val="140"/>
        </w:trPr>
        <w:tc>
          <w:tcPr>
            <w:tcW w:w="406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Revenue Growth Metric (1)</w:t>
            </w:r>
          </w:p>
        </w:tc>
        <w:tc>
          <w:tcPr>
            <w:tcW w:w="2620" w:type="dxa"/>
            <w:vAlign w:val="bottom"/>
            <w:vMerge w:val="continue"/>
            <w:shd w:val="clear" w:color="auto" w:fill="DBDBDB"/>
          </w:tcPr>
          <w:p>
            <w:pPr>
              <w:spacing w:after="0"/>
              <w:rPr>
                <w:sz w:val="12"/>
                <w:szCs w:val="12"/>
                <w:color w:val="auto"/>
              </w:rPr>
            </w:pPr>
          </w:p>
        </w:tc>
        <w:tc>
          <w:tcPr>
            <w:tcW w:w="1960" w:type="dxa"/>
            <w:vAlign w:val="bottom"/>
            <w:vMerge w:val="restart"/>
            <w:shd w:val="clear" w:color="auto" w:fill="DBDBDB"/>
          </w:tcPr>
          <w:p>
            <w:pPr>
              <w:jc w:val="right"/>
              <w:ind w:right="710"/>
              <w:spacing w:after="0"/>
              <w:rPr>
                <w:sz w:val="20"/>
                <w:szCs w:val="20"/>
                <w:color w:val="auto"/>
              </w:rPr>
            </w:pPr>
            <w:r>
              <w:rPr>
                <w:rFonts w:ascii="Times New Roman" w:cs="Times New Roman" w:eastAsia="Times New Roman" w:hAnsi="Times New Roman"/>
                <w:sz w:val="18"/>
                <w:szCs w:val="18"/>
                <w:color w:val="auto"/>
              </w:rPr>
              <w:t>2023</w:t>
            </w:r>
          </w:p>
        </w:tc>
        <w:tc>
          <w:tcPr>
            <w:tcW w:w="170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6"/>
              </w:rPr>
              <w:t>Year Two</w:t>
            </w:r>
          </w:p>
        </w:tc>
        <w:tc>
          <w:tcPr>
            <w:tcW w:w="0" w:type="dxa"/>
            <w:vAlign w:val="bottom"/>
          </w:tcPr>
          <w:p>
            <w:pPr>
              <w:spacing w:after="0"/>
              <w:rPr>
                <w:sz w:val="1"/>
                <w:szCs w:val="1"/>
                <w:color w:val="auto"/>
              </w:rPr>
            </w:pPr>
          </w:p>
        </w:tc>
      </w:tr>
      <w:tr>
        <w:trPr>
          <w:trHeight w:val="94"/>
        </w:trPr>
        <w:tc>
          <w:tcPr>
            <w:tcW w:w="4060" w:type="dxa"/>
            <w:vAlign w:val="bottom"/>
            <w:vMerge w:val="continue"/>
            <w:shd w:val="clear" w:color="auto" w:fill="DBDBDB"/>
          </w:tcPr>
          <w:p>
            <w:pPr>
              <w:spacing w:after="0"/>
              <w:rPr>
                <w:sz w:val="8"/>
                <w:szCs w:val="8"/>
                <w:color w:val="auto"/>
              </w:rPr>
            </w:pPr>
          </w:p>
        </w:tc>
        <w:tc>
          <w:tcPr>
            <w:tcW w:w="2620" w:type="dxa"/>
            <w:vAlign w:val="bottom"/>
            <w:shd w:val="clear" w:color="auto" w:fill="DBDBDB"/>
          </w:tcPr>
          <w:p>
            <w:pPr>
              <w:spacing w:after="0"/>
              <w:rPr>
                <w:sz w:val="8"/>
                <w:szCs w:val="8"/>
                <w:color w:val="auto"/>
              </w:rPr>
            </w:pPr>
          </w:p>
        </w:tc>
        <w:tc>
          <w:tcPr>
            <w:tcW w:w="1960" w:type="dxa"/>
            <w:vAlign w:val="bottom"/>
            <w:vMerge w:val="continue"/>
            <w:shd w:val="clear" w:color="auto" w:fill="DBDBDB"/>
          </w:tcPr>
          <w:p>
            <w:pPr>
              <w:spacing w:after="0"/>
              <w:rPr>
                <w:sz w:val="8"/>
                <w:szCs w:val="8"/>
                <w:color w:val="auto"/>
              </w:rPr>
            </w:pPr>
          </w:p>
        </w:tc>
        <w:tc>
          <w:tcPr>
            <w:tcW w:w="170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40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Target Level Shares with Respect to EBITDA Margin</w:t>
            </w:r>
          </w:p>
        </w:tc>
        <w:tc>
          <w:tcPr>
            <w:tcW w:w="2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9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Fiscal Years</w:t>
            </w:r>
          </w:p>
        </w:tc>
        <w:tc>
          <w:tcPr>
            <w:tcW w:w="17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100% at the End of</w:t>
            </w:r>
          </w:p>
        </w:tc>
        <w:tc>
          <w:tcPr>
            <w:tcW w:w="0" w:type="dxa"/>
            <w:vAlign w:val="bottom"/>
          </w:tcPr>
          <w:p>
            <w:pPr>
              <w:spacing w:after="0"/>
              <w:rPr>
                <w:sz w:val="1"/>
                <w:szCs w:val="1"/>
                <w:color w:val="auto"/>
              </w:rPr>
            </w:pPr>
          </w:p>
        </w:tc>
      </w:tr>
      <w:tr>
        <w:trPr>
          <w:trHeight w:val="140"/>
        </w:trPr>
        <w:tc>
          <w:tcPr>
            <w:tcW w:w="4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Percentile Ranking Metric (2)</w:t>
            </w:r>
          </w:p>
        </w:tc>
        <w:tc>
          <w:tcPr>
            <w:tcW w:w="2620" w:type="dxa"/>
            <w:vAlign w:val="bottom"/>
            <w:vMerge w:val="continue"/>
          </w:tcPr>
          <w:p>
            <w:pPr>
              <w:spacing w:after="0"/>
              <w:rPr>
                <w:sz w:val="12"/>
                <w:szCs w:val="12"/>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2023–2024</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Year Two</w:t>
            </w:r>
          </w:p>
        </w:tc>
        <w:tc>
          <w:tcPr>
            <w:tcW w:w="0" w:type="dxa"/>
            <w:vAlign w:val="bottom"/>
          </w:tcPr>
          <w:p>
            <w:pPr>
              <w:spacing w:after="0"/>
              <w:rPr>
                <w:sz w:val="1"/>
                <w:szCs w:val="1"/>
                <w:color w:val="auto"/>
              </w:rPr>
            </w:pPr>
          </w:p>
        </w:tc>
      </w:tr>
      <w:tr>
        <w:trPr>
          <w:trHeight w:val="94"/>
        </w:trPr>
        <w:tc>
          <w:tcPr>
            <w:tcW w:w="4060" w:type="dxa"/>
            <w:vAlign w:val="bottom"/>
            <w:vMerge w:val="continue"/>
          </w:tcPr>
          <w:p>
            <w:pPr>
              <w:spacing w:after="0"/>
              <w:rPr>
                <w:sz w:val="8"/>
                <w:szCs w:val="8"/>
                <w:color w:val="auto"/>
              </w:rPr>
            </w:pPr>
          </w:p>
        </w:tc>
        <w:tc>
          <w:tcPr>
            <w:tcW w:w="2620" w:type="dxa"/>
            <w:vAlign w:val="bottom"/>
          </w:tcPr>
          <w:p>
            <w:pPr>
              <w:spacing w:after="0"/>
              <w:rPr>
                <w:sz w:val="8"/>
                <w:szCs w:val="8"/>
                <w:color w:val="auto"/>
              </w:rPr>
            </w:pPr>
          </w:p>
        </w:tc>
        <w:tc>
          <w:tcPr>
            <w:tcW w:w="196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4060" w:type="dxa"/>
            <w:vAlign w:val="bottom"/>
            <w:shd w:val="clear" w:color="auto" w:fill="DBDBDB"/>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Target Level Shares with Respect to TSR Percentile</w:t>
            </w:r>
          </w:p>
        </w:tc>
        <w:tc>
          <w:tcPr>
            <w:tcW w:w="262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96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Fiscal Years 2023–2025</w:t>
            </w:r>
          </w:p>
        </w:tc>
        <w:tc>
          <w:tcPr>
            <w:tcW w:w="1700" w:type="dxa"/>
            <w:vAlign w:val="bottom"/>
            <w:shd w:val="clear" w:color="auto" w:fill="DBDBDB"/>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100% at the End of</w:t>
            </w:r>
          </w:p>
        </w:tc>
        <w:tc>
          <w:tcPr>
            <w:tcW w:w="0" w:type="dxa"/>
            <w:vAlign w:val="bottom"/>
          </w:tcPr>
          <w:p>
            <w:pPr>
              <w:spacing w:after="0"/>
              <w:rPr>
                <w:sz w:val="1"/>
                <w:szCs w:val="1"/>
                <w:color w:val="auto"/>
              </w:rPr>
            </w:pPr>
          </w:p>
        </w:tc>
      </w:tr>
      <w:tr>
        <w:trPr>
          <w:trHeight w:val="140"/>
        </w:trPr>
        <w:tc>
          <w:tcPr>
            <w:tcW w:w="406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Ranking Metric (3)</w:t>
            </w:r>
          </w:p>
        </w:tc>
        <w:tc>
          <w:tcPr>
            <w:tcW w:w="2620" w:type="dxa"/>
            <w:vAlign w:val="bottom"/>
            <w:vMerge w:val="continue"/>
            <w:shd w:val="clear" w:color="auto" w:fill="DBDBDB"/>
          </w:tcPr>
          <w:p>
            <w:pPr>
              <w:spacing w:after="0"/>
              <w:rPr>
                <w:sz w:val="12"/>
                <w:szCs w:val="12"/>
                <w:color w:val="auto"/>
              </w:rPr>
            </w:pPr>
          </w:p>
        </w:tc>
        <w:tc>
          <w:tcPr>
            <w:tcW w:w="1960" w:type="dxa"/>
            <w:vAlign w:val="bottom"/>
            <w:vMerge w:val="continue"/>
            <w:shd w:val="clear" w:color="auto" w:fill="DBDBDB"/>
          </w:tcPr>
          <w:p>
            <w:pPr>
              <w:spacing w:after="0"/>
              <w:rPr>
                <w:sz w:val="12"/>
                <w:szCs w:val="12"/>
                <w:color w:val="auto"/>
              </w:rPr>
            </w:pPr>
          </w:p>
        </w:tc>
        <w:tc>
          <w:tcPr>
            <w:tcW w:w="1700" w:type="dxa"/>
            <w:vAlign w:val="bottom"/>
            <w:vMerge w:val="restart"/>
            <w:shd w:val="clear" w:color="auto" w:fill="DBDBDB"/>
          </w:tcPr>
          <w:p>
            <w:pPr>
              <w:jc w:val="center"/>
              <w:ind w:right="10"/>
              <w:spacing w:after="0"/>
              <w:rPr>
                <w:sz w:val="20"/>
                <w:szCs w:val="20"/>
                <w:color w:val="auto"/>
              </w:rPr>
            </w:pPr>
            <w:r>
              <w:rPr>
                <w:rFonts w:ascii="Times New Roman" w:cs="Times New Roman" w:eastAsia="Times New Roman" w:hAnsi="Times New Roman"/>
                <w:sz w:val="18"/>
                <w:szCs w:val="18"/>
                <w:color w:val="auto"/>
                <w:w w:val="98"/>
              </w:rPr>
              <w:t>Year Three</w:t>
            </w:r>
          </w:p>
        </w:tc>
        <w:tc>
          <w:tcPr>
            <w:tcW w:w="0" w:type="dxa"/>
            <w:vAlign w:val="bottom"/>
          </w:tcPr>
          <w:p>
            <w:pPr>
              <w:spacing w:after="0"/>
              <w:rPr>
                <w:sz w:val="1"/>
                <w:szCs w:val="1"/>
                <w:color w:val="auto"/>
              </w:rPr>
            </w:pPr>
          </w:p>
        </w:tc>
      </w:tr>
      <w:tr>
        <w:trPr>
          <w:trHeight w:val="95"/>
        </w:trPr>
        <w:tc>
          <w:tcPr>
            <w:tcW w:w="4060" w:type="dxa"/>
            <w:vAlign w:val="bottom"/>
            <w:vMerge w:val="continue"/>
            <w:shd w:val="clear" w:color="auto" w:fill="DBDBDB"/>
          </w:tcPr>
          <w:p>
            <w:pPr>
              <w:spacing w:after="0"/>
              <w:rPr>
                <w:sz w:val="8"/>
                <w:szCs w:val="8"/>
                <w:color w:val="auto"/>
              </w:rPr>
            </w:pPr>
          </w:p>
        </w:tc>
        <w:tc>
          <w:tcPr>
            <w:tcW w:w="2620" w:type="dxa"/>
            <w:vAlign w:val="bottom"/>
            <w:shd w:val="clear" w:color="auto" w:fill="DBDBDB"/>
          </w:tcPr>
          <w:p>
            <w:pPr>
              <w:spacing w:after="0"/>
              <w:rPr>
                <w:sz w:val="8"/>
                <w:szCs w:val="8"/>
                <w:color w:val="auto"/>
              </w:rPr>
            </w:pPr>
          </w:p>
        </w:tc>
        <w:tc>
          <w:tcPr>
            <w:tcW w:w="1960" w:type="dxa"/>
            <w:vAlign w:val="bottom"/>
            <w:shd w:val="clear" w:color="auto" w:fill="DBDBDB"/>
          </w:tcPr>
          <w:p>
            <w:pPr>
              <w:spacing w:after="0"/>
              <w:rPr>
                <w:sz w:val="8"/>
                <w:szCs w:val="8"/>
                <w:color w:val="auto"/>
              </w:rPr>
            </w:pPr>
          </w:p>
        </w:tc>
        <w:tc>
          <w:tcPr>
            <w:tcW w:w="170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36" w:lineRule="exact"/>
        <w:rPr>
          <w:sz w:val="20"/>
          <w:szCs w:val="20"/>
          <w:color w:val="auto"/>
        </w:rPr>
      </w:pPr>
    </w:p>
    <w:p>
      <w:pPr>
        <w:ind w:left="260" w:right="20" w:hanging="252"/>
        <w:spacing w:after="0" w:line="297" w:lineRule="auto"/>
        <w:tabs>
          <w:tab w:leader="none" w:pos="30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emerging revenue growth metric measures the Company’s year-over-year revenue growth in certain key product categories, each of which represents an identified longer-term growth market for the Company.</w:t>
      </w:r>
    </w:p>
    <w:p>
      <w:pPr>
        <w:jc w:val="both"/>
        <w:ind w:left="260" w:hanging="252"/>
        <w:spacing w:after="0" w:line="289" w:lineRule="auto"/>
        <w:tabs>
          <w:tab w:leader="none" w:pos="27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EBITDA margin percentile ranking metric measures the Company’s EBITDA margin achieved relative to the companies in our FY23 Peer Group during a two-year performance period comprising the Company’s fiscal years 2023 and 2024. For purposes of the EBITDA margin percentile ranking</w:t>
      </w:r>
    </w:p>
    <w:p>
      <w:pPr>
        <w:spacing w:after="0" w:line="1" w:lineRule="exact"/>
        <w:rPr>
          <w:rFonts w:ascii="Times New Roman" w:cs="Times New Roman" w:eastAsia="Times New Roman" w:hAnsi="Times New Roman"/>
          <w:sz w:val="18"/>
          <w:szCs w:val="18"/>
          <w:color w:val="auto"/>
        </w:rPr>
      </w:pPr>
    </w:p>
    <w:p>
      <w:pPr>
        <w:jc w:val="both"/>
        <w:ind w:left="2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metric, EBITDA margin is calculated by dividing EBITDA by revenue for the applicable period, where EBITDA is defined as non-GAAP operating income, plus depreciation and amortization, for the applicable period. With respect to the Company and each FY23 Peer Group company, EBITDA and</w:t>
      </w:r>
    </w:p>
    <w:p>
      <w:pPr>
        <w:spacing w:after="0" w:line="1" w:lineRule="exact"/>
        <w:rPr>
          <w:rFonts w:ascii="Times New Roman" w:cs="Times New Roman" w:eastAsia="Times New Roman" w:hAnsi="Times New Roman"/>
          <w:sz w:val="18"/>
          <w:szCs w:val="18"/>
          <w:color w:val="auto"/>
        </w:rPr>
      </w:pPr>
    </w:p>
    <w:p>
      <w:pPr>
        <w:ind w:left="2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are calculated based on publicly reported financial information for the applicable period (which for the FY23 Peer Group companies consists of the eight-quarter</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6" w:name="page17"/>
    <w:bookmarkEnd w:id="16"/>
    <w:p>
      <w:pPr>
        <w:jc w:val="both"/>
        <w:ind w:left="260"/>
        <w:spacing w:after="0" w:line="263" w:lineRule="auto"/>
        <w:rPr>
          <w:sz w:val="20"/>
          <w:szCs w:val="20"/>
          <w:color w:val="auto"/>
        </w:rPr>
      </w:pPr>
      <w:r>
        <w:rPr>
          <w:rFonts w:ascii="Times New Roman" w:cs="Times New Roman" w:eastAsia="Times New Roman" w:hAnsi="Times New Roman"/>
          <w:sz w:val="18"/>
          <w:szCs w:val="18"/>
          <w:color w:val="auto"/>
        </w:rPr>
        <w:t>period that ends closest to, but not later than, October 1, 2024).</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When calculating the Company’s EBITDA margin, the impact of any acquisition or disposition occurring within the performance period is excluded if the revenue attributable to such acquisition or disposition exceeds $50 million during such period.</w:t>
      </w:r>
    </w:p>
    <w:p>
      <w:pPr>
        <w:spacing w:after="0" w:line="2" w:lineRule="exact"/>
        <w:rPr>
          <w:sz w:val="20"/>
          <w:szCs w:val="20"/>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TSR percentile ranking metric measures the Company’s percentile ranking achieved with respect to its peer group. The peer group for purposes of</w:t>
      </w:r>
    </w:p>
    <w:p>
      <w:pPr>
        <w:spacing w:after="0" w:line="49" w:lineRule="exact"/>
        <w:rPr>
          <w:rFonts w:ascii="Times New Roman" w:cs="Times New Roman" w:eastAsia="Times New Roman" w:hAnsi="Times New Roman"/>
          <w:sz w:val="18"/>
          <w:szCs w:val="18"/>
          <w:color w:val="auto"/>
        </w:rPr>
      </w:pPr>
    </w:p>
    <w:p>
      <w:pPr>
        <w:jc w:val="both"/>
        <w:ind w:left="2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TSR percentile ranking metric includes each of the companies in the S&amp;P 500 Index during the performance period but excludes any such company that during the three-year performance period is acquired by or merged with (or enters into an agreement to be acquired by or merged with) another</w:t>
      </w:r>
    </w:p>
    <w:p>
      <w:pPr>
        <w:spacing w:after="0" w:line="1" w:lineRule="exact"/>
        <w:rPr>
          <w:rFonts w:ascii="Times New Roman" w:cs="Times New Roman" w:eastAsia="Times New Roman" w:hAnsi="Times New Roman"/>
          <w:sz w:val="18"/>
          <w:szCs w:val="18"/>
          <w:color w:val="auto"/>
        </w:rPr>
      </w:pPr>
    </w:p>
    <w:p>
      <w:pPr>
        <w:jc w:val="both"/>
        <w:ind w:left="2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entity. For purposes of the PSA award, TSR for the Company and for each company in the peer group is calculated using a starting price and ending price, which consist of the average of the closing prices for each trading day during the sixty (60) consecutive calendar days ending on, and including,</w:t>
      </w:r>
    </w:p>
    <w:p>
      <w:pPr>
        <w:spacing w:after="0" w:line="1" w:lineRule="exact"/>
        <w:rPr>
          <w:rFonts w:ascii="Times New Roman" w:cs="Times New Roman" w:eastAsia="Times New Roman" w:hAnsi="Times New Roman"/>
          <w:sz w:val="18"/>
          <w:szCs w:val="18"/>
          <w:color w:val="auto"/>
        </w:rPr>
      </w:pPr>
    </w:p>
    <w:p>
      <w:pPr>
        <w:ind w:left="2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trading day before the measurement period begins and the last trading day of the measurement period, respectively, assuming dividend reinvestment and adjusting for stock splits, as applicable.</w:t>
      </w:r>
    </w:p>
    <w:p>
      <w:pPr>
        <w:spacing w:after="0" w:line="176" w:lineRule="exact"/>
        <w:rPr>
          <w:sz w:val="20"/>
          <w:szCs w:val="20"/>
          <w:color w:val="auto"/>
        </w:rPr>
      </w:pPr>
    </w:p>
    <w:p>
      <w:pPr>
        <w:jc w:val="both"/>
        <w:ind w:firstLine="389"/>
        <w:spacing w:after="0" w:line="293" w:lineRule="auto"/>
        <w:rPr>
          <w:sz w:val="20"/>
          <w:szCs w:val="20"/>
          <w:color w:val="auto"/>
        </w:rPr>
      </w:pPr>
      <w:r>
        <w:rPr>
          <w:rFonts w:ascii="Times New Roman" w:cs="Times New Roman" w:eastAsia="Times New Roman" w:hAnsi="Times New Roman"/>
          <w:sz w:val="18"/>
          <w:szCs w:val="18"/>
          <w:color w:val="auto"/>
        </w:rPr>
        <w:t>The semiconductor industry generally and, in particular, many of the markets into which the Company sells its connectivity products, are characterized by constant and rapid technological change, continuous product evolution, and short product life cycles, including annual product refreshes in some cases. Recognizing that a significant driver of long-term growth is our ability to identify and execute on emerging revenue growth opportunities, the Compensation Committee believes that retaining emerging revenue growth as a key metric with a one-year performance period is appropriate. Moreover, utilizing only performance periods longer than one year (e.g. multi-year periods) could limit the Committee’s ability to focus management on the most compelling growth opportunities each year. Accordingly, for the FY23 PSAs, the Compensation Committee retained emerging revenue growth as a one-year metric (representing 25% of the target value of the PSAs) to incentivize our management team on specific emerging product lines that have higher growth potential and are intended to drive long-term value creation. In light of stockholder feedback following the 2021 Annual Meeting of Stockholders, the Compensation Committee determined that shares earned pursuant to the emerging revenue growth metric would not vest until the two-year anniversary of the grant date.</w:t>
      </w:r>
    </w:p>
    <w:p>
      <w:pPr>
        <w:spacing w:after="0" w:line="187" w:lineRule="exact"/>
        <w:rPr>
          <w:sz w:val="20"/>
          <w:szCs w:val="20"/>
          <w:color w:val="auto"/>
        </w:rPr>
      </w:pPr>
    </w:p>
    <w:p>
      <w:pPr>
        <w:jc w:val="both"/>
        <w:ind w:firstLine="389"/>
        <w:spacing w:after="0" w:line="310" w:lineRule="auto"/>
        <w:rPr>
          <w:sz w:val="20"/>
          <w:szCs w:val="20"/>
          <w:color w:val="auto"/>
        </w:rPr>
      </w:pPr>
      <w:r>
        <w:rPr>
          <w:rFonts w:ascii="Times New Roman" w:cs="Times New Roman" w:eastAsia="Times New Roman" w:hAnsi="Times New Roman"/>
          <w:sz w:val="18"/>
          <w:szCs w:val="18"/>
          <w:color w:val="auto"/>
        </w:rPr>
        <w:t>For 25% of the target value under the FY23 PSAs, the Compensation Committee retained a two-year EBITDA margin percentile ranking metric that measures performance relative to the FY23 Peer Group. To incentivize above-median performance, the Compensation Committee set the target percentile for the EBITDA margin percentile ranking metric at the 55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of our FY23 Peer Group.</w:t>
      </w:r>
    </w:p>
    <w:p>
      <w:pPr>
        <w:spacing w:after="0" w:line="96" w:lineRule="exact"/>
        <w:rPr>
          <w:sz w:val="20"/>
          <w:szCs w:val="20"/>
          <w:color w:val="auto"/>
        </w:rPr>
      </w:pPr>
    </w:p>
    <w:p>
      <w:pPr>
        <w:jc w:val="both"/>
        <w:ind w:firstLine="389"/>
        <w:spacing w:after="0" w:line="313" w:lineRule="auto"/>
        <w:rPr>
          <w:sz w:val="20"/>
          <w:szCs w:val="20"/>
          <w:color w:val="auto"/>
        </w:rPr>
      </w:pPr>
      <w:r>
        <w:rPr>
          <w:rFonts w:ascii="Times New Roman" w:cs="Times New Roman" w:eastAsia="Times New Roman" w:hAnsi="Times New Roman"/>
          <w:sz w:val="18"/>
          <w:szCs w:val="18"/>
          <w:color w:val="auto"/>
        </w:rPr>
        <w:t>As in prior years, the remaining half of the target value under the FY23 PSAs was based on a three-year TSR percentile ranking, which the Compensation Committee believed provides an appropriate balance to the one-year and two-year measurement periods.</w:t>
      </w:r>
    </w:p>
    <w:p>
      <w:pPr>
        <w:spacing w:after="0" w:line="176" w:lineRule="exact"/>
        <w:rPr>
          <w:sz w:val="20"/>
          <w:szCs w:val="20"/>
          <w:color w:val="auto"/>
        </w:rPr>
      </w:pPr>
    </w:p>
    <w:p>
      <w:pPr>
        <w:ind w:right="160" w:firstLine="389"/>
        <w:spacing w:after="0" w:line="313" w:lineRule="auto"/>
        <w:rPr>
          <w:sz w:val="20"/>
          <w:szCs w:val="20"/>
          <w:color w:val="auto"/>
        </w:rPr>
      </w:pPr>
      <w:r>
        <w:rPr>
          <w:rFonts w:ascii="Times New Roman" w:cs="Times New Roman" w:eastAsia="Times New Roman" w:hAnsi="Times New Roman"/>
          <w:sz w:val="18"/>
          <w:szCs w:val="18"/>
          <w:color w:val="auto"/>
        </w:rPr>
        <w:t>The specific pre-established performance goals under the emerging revenue growth, EBITDA margin percentile ranking and TSR percentile ranking metrics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Company Metric</w:t>
            </w:r>
          </w:p>
        </w:tc>
        <w:tc>
          <w:tcPr>
            <w:tcW w:w="228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12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5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Maximum</w:t>
            </w:r>
          </w:p>
        </w:tc>
      </w:tr>
      <w:tr>
        <w:trPr>
          <w:trHeight w:val="230"/>
        </w:trPr>
        <w:tc>
          <w:tcPr>
            <w:tcW w:w="6180" w:type="dxa"/>
            <w:vAlign w:val="bottom"/>
            <w:shd w:val="clear" w:color="auto" w:fill="DBDBDB"/>
          </w:tcPr>
          <w:p>
            <w:pPr>
              <w:jc w:val="center"/>
              <w:ind w:left="710"/>
              <w:spacing w:after="0"/>
              <w:rPr>
                <w:sz w:val="20"/>
                <w:szCs w:val="20"/>
                <w:color w:val="auto"/>
              </w:rPr>
            </w:pPr>
            <w:r>
              <w:rPr>
                <w:rFonts w:ascii="Times New Roman" w:cs="Times New Roman" w:eastAsia="Times New Roman" w:hAnsi="Times New Roman"/>
                <w:sz w:val="18"/>
                <w:szCs w:val="18"/>
                <w:color w:val="auto"/>
                <w:w w:val="99"/>
              </w:rPr>
              <w:t>1-year Emerging Revenue Growth (%)</w:t>
            </w:r>
          </w:p>
        </w:tc>
        <w:tc>
          <w:tcPr>
            <w:tcW w:w="2280" w:type="dxa"/>
            <w:vAlign w:val="bottom"/>
            <w:shd w:val="clear" w:color="auto" w:fill="DBDBDB"/>
          </w:tcPr>
          <w:p>
            <w:pPr>
              <w:jc w:val="center"/>
              <w:ind w:left="610"/>
              <w:spacing w:after="0"/>
              <w:rPr>
                <w:sz w:val="20"/>
                <w:szCs w:val="20"/>
                <w:color w:val="auto"/>
              </w:rPr>
            </w:pPr>
            <w:r>
              <w:rPr>
                <w:rFonts w:ascii="Times New Roman" w:cs="Times New Roman" w:eastAsia="Times New Roman" w:hAnsi="Times New Roman"/>
                <w:sz w:val="18"/>
                <w:szCs w:val="18"/>
                <w:color w:val="auto"/>
              </w:rPr>
              <w:t>2.5%</w:t>
            </w:r>
          </w:p>
        </w:tc>
        <w:tc>
          <w:tcPr>
            <w:tcW w:w="12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5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61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2-year EBITDA Margin Percentile Ranking</w:t>
            </w:r>
          </w:p>
        </w:tc>
        <w:tc>
          <w:tcPr>
            <w:tcW w:w="22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25th</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55th</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75th</w:t>
            </w:r>
          </w:p>
        </w:tc>
      </w:tr>
      <w:tr>
        <w:trPr>
          <w:trHeight w:val="230"/>
        </w:trPr>
        <w:tc>
          <w:tcPr>
            <w:tcW w:w="6180" w:type="dxa"/>
            <w:vAlign w:val="bottom"/>
            <w:shd w:val="clear" w:color="auto" w:fill="DBDBDB"/>
          </w:tcPr>
          <w:p>
            <w:pPr>
              <w:jc w:val="center"/>
              <w:ind w:left="710"/>
              <w:spacing w:after="0"/>
              <w:rPr>
                <w:sz w:val="20"/>
                <w:szCs w:val="20"/>
                <w:color w:val="auto"/>
              </w:rPr>
            </w:pPr>
            <w:r>
              <w:rPr>
                <w:rFonts w:ascii="Times New Roman" w:cs="Times New Roman" w:eastAsia="Times New Roman" w:hAnsi="Times New Roman"/>
                <w:sz w:val="18"/>
                <w:szCs w:val="18"/>
                <w:color w:val="auto"/>
              </w:rPr>
              <w:t>3-year TSR Percentile Ranking</w:t>
            </w:r>
          </w:p>
        </w:tc>
        <w:tc>
          <w:tcPr>
            <w:tcW w:w="2280" w:type="dxa"/>
            <w:vAlign w:val="bottom"/>
            <w:shd w:val="clear" w:color="auto" w:fill="DBDBDB"/>
          </w:tcPr>
          <w:p>
            <w:pPr>
              <w:jc w:val="center"/>
              <w:ind w:left="630"/>
              <w:spacing w:after="0"/>
              <w:rPr>
                <w:sz w:val="20"/>
                <w:szCs w:val="20"/>
                <w:color w:val="auto"/>
              </w:rPr>
            </w:pPr>
            <w:r>
              <w:rPr>
                <w:rFonts w:ascii="Times New Roman" w:cs="Times New Roman" w:eastAsia="Times New Roman" w:hAnsi="Times New Roman"/>
                <w:sz w:val="18"/>
                <w:szCs w:val="18"/>
                <w:color w:val="auto"/>
                <w:w w:val="99"/>
              </w:rPr>
              <w:t>25th</w:t>
            </w:r>
          </w:p>
        </w:tc>
        <w:tc>
          <w:tcPr>
            <w:tcW w:w="12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55th</w:t>
            </w:r>
          </w:p>
        </w:tc>
        <w:tc>
          <w:tcPr>
            <w:tcW w:w="15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90th</w:t>
            </w:r>
          </w:p>
        </w:tc>
      </w:tr>
    </w:tbl>
    <w:p>
      <w:pPr>
        <w:spacing w:after="0" w:line="306" w:lineRule="exact"/>
        <w:rPr>
          <w:sz w:val="20"/>
          <w:szCs w:val="20"/>
          <w:color w:val="auto"/>
        </w:rPr>
      </w:pPr>
    </w:p>
    <w:p>
      <w:pPr>
        <w:jc w:val="both"/>
        <w:ind w:firstLine="389"/>
        <w:spacing w:after="0" w:line="313" w:lineRule="auto"/>
        <w:rPr>
          <w:sz w:val="20"/>
          <w:szCs w:val="20"/>
          <w:color w:val="auto"/>
        </w:rPr>
      </w:pPr>
      <w:r>
        <w:rPr>
          <w:rFonts w:ascii="Times New Roman" w:cs="Times New Roman" w:eastAsia="Times New Roman" w:hAnsi="Times New Roman"/>
          <w:sz w:val="18"/>
          <w:szCs w:val="18"/>
          <w:color w:val="auto"/>
        </w:rPr>
        <w:t>As with the Incentive Plan, the pre-established targets under the FY23 PSAs were established by the Compensation Committee after reviewing the Company’s historical operating results and growth rates as well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1714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3" w:lineRule="exact"/>
        <w:rPr>
          <w:sz w:val="20"/>
          <w:szCs w:val="20"/>
          <w:color w:val="auto"/>
        </w:rPr>
      </w:pPr>
    </w:p>
    <w:p>
      <w:pPr>
        <w:ind w:right="180" w:firstLine="8"/>
        <w:spacing w:after="0" w:line="254" w:lineRule="auto"/>
        <w:tabs>
          <w:tab w:leader="none" w:pos="103"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When calculating the EBITDA margin percentile ranking, the performance of a company in the FY23 Peer Group will be included if during the performance period such company in the FY23 Peer Group publicly reports quarterly financial results for at least six consecutive quarters out of the eight applicable quarters.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7" w:name="page18"/>
    <w:bookmarkEnd w:id="17"/>
    <w:p>
      <w:pPr>
        <w:spacing w:after="0" w:line="313" w:lineRule="auto"/>
        <w:rPr>
          <w:sz w:val="20"/>
          <w:szCs w:val="20"/>
          <w:color w:val="auto"/>
        </w:rPr>
      </w:pPr>
      <w:r>
        <w:rPr>
          <w:rFonts w:ascii="Times New Roman" w:cs="Times New Roman" w:eastAsia="Times New Roman" w:hAnsi="Times New Roman"/>
          <w:sz w:val="18"/>
          <w:szCs w:val="18"/>
          <w:color w:val="auto"/>
        </w:rPr>
        <w:t>Company’s expected future results relative to peers and were designed to require significant effort and operational success on the part of our executives and the Company:</w:t>
      </w:r>
    </w:p>
    <w:p>
      <w:pPr>
        <w:spacing w:after="0" w:line="176" w:lineRule="exact"/>
        <w:rPr>
          <w:sz w:val="20"/>
          <w:szCs w:val="20"/>
          <w:color w:val="auto"/>
        </w:rPr>
      </w:pPr>
    </w:p>
    <w:p>
      <w:pPr>
        <w:jc w:val="both"/>
        <w:ind w:left="660" w:hanging="328"/>
        <w:spacing w:after="0" w:line="289"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Revenue Growth Metric: The target level was set at 5%, representing above-market annual growth, the maximum level was set at 7.5%, which the Compensation Committee believed represented outstanding performance that would be difficult to achieve, and the threshold level was</w:t>
      </w:r>
    </w:p>
    <w:p>
      <w:pPr>
        <w:spacing w:after="0" w:line="1" w:lineRule="exact"/>
        <w:rPr>
          <w:rFonts w:ascii="Times New Roman" w:cs="Times New Roman" w:eastAsia="Times New Roman" w:hAnsi="Times New Roman"/>
          <w:sz w:val="18"/>
          <w:szCs w:val="18"/>
          <w:color w:val="auto"/>
        </w:rPr>
      </w:pPr>
    </w:p>
    <w:p>
      <w:pPr>
        <w:jc w:val="both"/>
        <w:ind w:left="6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at 2.5% as a result of continued market uncertainties. The threshold, target and maximum levels vary year to year as a result of the composition of what, as part of the Company’s product portfolio, comprises emerging revenue. For fiscal year 2023, emerging revenue growth was based on</w:t>
      </w:r>
    </w:p>
    <w:p>
      <w:pPr>
        <w:spacing w:after="0" w:line="1" w:lineRule="exact"/>
        <w:rPr>
          <w:rFonts w:ascii="Times New Roman" w:cs="Times New Roman" w:eastAsia="Times New Roman" w:hAnsi="Times New Roman"/>
          <w:sz w:val="18"/>
          <w:szCs w:val="18"/>
          <w:color w:val="auto"/>
        </w:rPr>
      </w:pPr>
    </w:p>
    <w:p>
      <w:pPr>
        <w:jc w:val="both"/>
        <w:ind w:left="6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growth in the following key product categories: automotive, 5G BAW-enabled device (i.e., a 5G product containing at least one bulk acoustic wave filter) and next-generation connectivity products (i.e., WiFi 6/6E/7), as well as products sold by Mixed Signal Solutions, the Infrastructure and Automotive business that the Company acquired from Silicon Laboratories, Inc. in July 2021 (“MSS”).</w:t>
      </w:r>
    </w:p>
    <w:p>
      <w:pPr>
        <w:spacing w:after="0" w:line="169" w:lineRule="exact"/>
        <w:rPr>
          <w:rFonts w:ascii="Times New Roman" w:cs="Times New Roman" w:eastAsia="Times New Roman" w:hAnsi="Times New Roman"/>
          <w:sz w:val="18"/>
          <w:szCs w:val="18"/>
          <w:color w:val="auto"/>
        </w:rPr>
      </w:pPr>
    </w:p>
    <w:p>
      <w:pPr>
        <w:ind w:left="660" w:hanging="328"/>
        <w:spacing w:after="0" w:line="319"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Margin Percentile Ranking Metric: Consistent with the prior year’s award, the Compensation Committee set the target percentile at the 55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of the FY23 Peer Group in order to further incentivize above-median performance.</w:t>
      </w:r>
    </w:p>
    <w:p>
      <w:pPr>
        <w:spacing w:after="0" w:line="88" w:lineRule="exact"/>
        <w:rPr>
          <w:rFonts w:ascii="Times New Roman" w:cs="Times New Roman" w:eastAsia="Times New Roman" w:hAnsi="Times New Roman"/>
          <w:sz w:val="18"/>
          <w:szCs w:val="18"/>
          <w:color w:val="auto"/>
        </w:rPr>
      </w:pPr>
    </w:p>
    <w:p>
      <w:pPr>
        <w:ind w:left="660" w:hanging="328"/>
        <w:spacing w:after="0" w:line="26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TSR Percentile Ranking Metric: Consistent with the prior year’s award, the Compensation Committee set the target percentile at the 55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of the applicable peer group in order to further incentivize above-median performance.</w:t>
      </w:r>
    </w:p>
    <w:p>
      <w:pPr>
        <w:spacing w:after="0" w:line="214" w:lineRule="exact"/>
        <w:rPr>
          <w:sz w:val="20"/>
          <w:szCs w:val="20"/>
          <w:color w:val="auto"/>
        </w:rPr>
      </w:pPr>
    </w:p>
    <w:p>
      <w:pPr>
        <w:ind w:firstLine="389"/>
        <w:spacing w:after="0" w:line="313" w:lineRule="auto"/>
        <w:rPr>
          <w:sz w:val="20"/>
          <w:szCs w:val="20"/>
          <w:color w:val="auto"/>
        </w:rPr>
      </w:pPr>
      <w:r>
        <w:rPr>
          <w:rFonts w:ascii="Times New Roman" w:cs="Times New Roman" w:eastAsia="Times New Roman" w:hAnsi="Times New Roman"/>
          <w:sz w:val="18"/>
          <w:szCs w:val="18"/>
          <w:color w:val="auto"/>
        </w:rPr>
        <w:t>The number of shares issuable under the FY23 PSAs corresponds to the level of achievement of the performance goals, as follows (subject to linear interpolation for amounts between “threshold” and “target” or “target” and “maximum”):</w:t>
      </w:r>
    </w:p>
    <w:p>
      <w:pPr>
        <w:spacing w:after="0" w:line="199" w:lineRule="exact"/>
        <w:rPr>
          <w:sz w:val="20"/>
          <w:szCs w:val="20"/>
          <w:color w:val="auto"/>
        </w:rPr>
      </w:pPr>
    </w:p>
    <w:tbl>
      <w:tblPr>
        <w:tblLayout w:type="fixed"/>
        <w:tblInd w:w="400" w:type="dxa"/>
        <w:tblCellMar>
          <w:top w:w="0" w:type="dxa"/>
          <w:left w:w="0" w:type="dxa"/>
          <w:bottom w:w="0" w:type="dxa"/>
          <w:right w:w="0" w:type="dxa"/>
        </w:tblCellMar>
      </w:tblPr>
      <w:tr>
        <w:trPr>
          <w:trHeight w:val="229"/>
        </w:trPr>
        <w:tc>
          <w:tcPr>
            <w:tcW w:w="5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Performance Achieved</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60" w:type="dxa"/>
            <w:vAlign w:val="bottom"/>
          </w:tcPr>
          <w:p>
            <w:pPr>
              <w:spacing w:after="0"/>
              <w:rPr>
                <w:sz w:val="20"/>
                <w:szCs w:val="20"/>
                <w:color w:val="auto"/>
              </w:rPr>
            </w:pPr>
          </w:p>
        </w:tc>
        <w:tc>
          <w:tcPr>
            <w:tcW w:w="102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1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0" w:type="dxa"/>
            <w:vAlign w:val="bottom"/>
          </w:tcPr>
          <w:p>
            <w:pPr>
              <w:spacing w:after="0"/>
              <w:rPr>
                <w:sz w:val="1"/>
                <w:szCs w:val="1"/>
                <w:color w:val="auto"/>
              </w:rPr>
            </w:pPr>
          </w:p>
        </w:tc>
      </w:tr>
      <w:tr>
        <w:trPr>
          <w:trHeight w:val="175"/>
        </w:trPr>
        <w:tc>
          <w:tcPr>
            <w:tcW w:w="5860" w:type="dxa"/>
            <w:vAlign w:val="bottom"/>
            <w:shd w:val="clear" w:color="auto" w:fill="DBDBDB"/>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 of Target Level Shares Earned with Respect to Emerging Revenue Growth</w:t>
            </w:r>
          </w:p>
        </w:tc>
        <w:tc>
          <w:tcPr>
            <w:tcW w:w="1020" w:type="dxa"/>
            <w:vAlign w:val="bottom"/>
            <w:vMerge w:val="restart"/>
            <w:shd w:val="clear" w:color="auto" w:fill="DBDBDB"/>
          </w:tcPr>
          <w:p>
            <w:pPr>
              <w:jc w:val="center"/>
              <w:ind w:left="110"/>
              <w:spacing w:after="0"/>
              <w:rPr>
                <w:sz w:val="20"/>
                <w:szCs w:val="20"/>
                <w:color w:val="auto"/>
              </w:rPr>
            </w:pPr>
            <w:r>
              <w:rPr>
                <w:rFonts w:ascii="Times New Roman" w:cs="Times New Roman" w:eastAsia="Times New Roman" w:hAnsi="Times New Roman"/>
                <w:sz w:val="18"/>
                <w:szCs w:val="18"/>
                <w:color w:val="auto"/>
              </w:rPr>
              <w:t>50%</w:t>
            </w:r>
          </w:p>
        </w:tc>
        <w:tc>
          <w:tcPr>
            <w:tcW w:w="180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140" w:type="dxa"/>
            <w:vAlign w:val="bottom"/>
            <w:vMerge w:val="restart"/>
            <w:shd w:val="clear" w:color="auto" w:fill="DBDBDB"/>
          </w:tcPr>
          <w:p>
            <w:pPr>
              <w:jc w:val="center"/>
              <w:ind w:right="230"/>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149"/>
        </w:trPr>
        <w:tc>
          <w:tcPr>
            <w:tcW w:w="5860" w:type="dxa"/>
            <w:vAlign w:val="bottom"/>
            <w:vMerge w:val="restart"/>
            <w:shd w:val="clear" w:color="auto" w:fill="DBDBDB"/>
          </w:tcPr>
          <w:p>
            <w:pPr>
              <w:jc w:val="center"/>
              <w:ind w:right="50"/>
              <w:spacing w:after="0"/>
              <w:rPr>
                <w:sz w:val="20"/>
                <w:szCs w:val="20"/>
                <w:color w:val="auto"/>
              </w:rPr>
            </w:pPr>
            <w:r>
              <w:rPr>
                <w:rFonts w:ascii="Times New Roman" w:cs="Times New Roman" w:eastAsia="Times New Roman" w:hAnsi="Times New Roman"/>
                <w:sz w:val="18"/>
                <w:szCs w:val="18"/>
                <w:color w:val="auto"/>
                <w:w w:val="99"/>
              </w:rPr>
              <w:t>Metric</w:t>
            </w:r>
          </w:p>
        </w:tc>
        <w:tc>
          <w:tcPr>
            <w:tcW w:w="1020" w:type="dxa"/>
            <w:vAlign w:val="bottom"/>
            <w:vMerge w:val="continue"/>
            <w:shd w:val="clear" w:color="auto" w:fill="DBDBDB"/>
          </w:tcPr>
          <w:p>
            <w:pPr>
              <w:spacing w:after="0"/>
              <w:rPr>
                <w:sz w:val="12"/>
                <w:szCs w:val="12"/>
                <w:color w:val="auto"/>
              </w:rPr>
            </w:pPr>
          </w:p>
        </w:tc>
        <w:tc>
          <w:tcPr>
            <w:tcW w:w="1800" w:type="dxa"/>
            <w:vAlign w:val="bottom"/>
            <w:vMerge w:val="continue"/>
            <w:shd w:val="clear" w:color="auto" w:fill="DBDBDB"/>
          </w:tcPr>
          <w:p>
            <w:pPr>
              <w:spacing w:after="0"/>
              <w:rPr>
                <w:sz w:val="12"/>
                <w:szCs w:val="12"/>
                <w:color w:val="auto"/>
              </w:rPr>
            </w:pPr>
          </w:p>
        </w:tc>
        <w:tc>
          <w:tcPr>
            <w:tcW w:w="1140" w:type="dxa"/>
            <w:vAlign w:val="bottom"/>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5860" w:type="dxa"/>
            <w:vAlign w:val="bottom"/>
            <w:vMerge w:val="continue"/>
            <w:shd w:val="clear" w:color="auto" w:fill="DBDBDB"/>
          </w:tcPr>
          <w:p>
            <w:pPr>
              <w:spacing w:after="0"/>
              <w:rPr>
                <w:sz w:val="8"/>
                <w:szCs w:val="8"/>
                <w:color w:val="auto"/>
              </w:rPr>
            </w:pPr>
          </w:p>
        </w:tc>
        <w:tc>
          <w:tcPr>
            <w:tcW w:w="1020" w:type="dxa"/>
            <w:vAlign w:val="bottom"/>
            <w:shd w:val="clear" w:color="auto" w:fill="DBDBDB"/>
          </w:tcPr>
          <w:p>
            <w:pPr>
              <w:spacing w:after="0"/>
              <w:rPr>
                <w:sz w:val="8"/>
                <w:szCs w:val="8"/>
                <w:color w:val="auto"/>
              </w:rPr>
            </w:pPr>
          </w:p>
        </w:tc>
        <w:tc>
          <w:tcPr>
            <w:tcW w:w="1800" w:type="dxa"/>
            <w:vAlign w:val="bottom"/>
            <w:shd w:val="clear" w:color="auto" w:fill="DBDBDB"/>
          </w:tcPr>
          <w:p>
            <w:pPr>
              <w:spacing w:after="0"/>
              <w:rPr>
                <w:sz w:val="8"/>
                <w:szCs w:val="8"/>
                <w:color w:val="auto"/>
              </w:rPr>
            </w:pPr>
          </w:p>
        </w:tc>
        <w:tc>
          <w:tcPr>
            <w:tcW w:w="114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586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 of Target Level Shares Earned with Respect to EBITDA Margin Percentile</w:t>
            </w:r>
          </w:p>
        </w:tc>
        <w:tc>
          <w:tcPr>
            <w:tcW w:w="102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rPr>
              <w:t>50%</w:t>
            </w: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1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148"/>
        </w:trPr>
        <w:tc>
          <w:tcPr>
            <w:tcW w:w="586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Ranking Metric</w:t>
            </w:r>
          </w:p>
        </w:tc>
        <w:tc>
          <w:tcPr>
            <w:tcW w:w="1020" w:type="dxa"/>
            <w:vAlign w:val="bottom"/>
            <w:vMerge w:val="continue"/>
          </w:tcPr>
          <w:p>
            <w:pPr>
              <w:spacing w:after="0"/>
              <w:rPr>
                <w:sz w:val="12"/>
                <w:szCs w:val="12"/>
                <w:color w:val="auto"/>
              </w:rPr>
            </w:pPr>
          </w:p>
        </w:tc>
        <w:tc>
          <w:tcPr>
            <w:tcW w:w="18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586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860" w:type="dxa"/>
            <w:vAlign w:val="bottom"/>
            <w:shd w:val="clear" w:color="auto" w:fill="DBDBDB"/>
          </w:tcPr>
          <w:p>
            <w:pPr>
              <w:jc w:val="center"/>
              <w:ind w:right="30"/>
              <w:spacing w:after="0" w:line="180" w:lineRule="exact"/>
              <w:rPr>
                <w:sz w:val="20"/>
                <w:szCs w:val="20"/>
                <w:color w:val="auto"/>
              </w:rPr>
            </w:pPr>
            <w:r>
              <w:rPr>
                <w:rFonts w:ascii="Times New Roman" w:cs="Times New Roman" w:eastAsia="Times New Roman" w:hAnsi="Times New Roman"/>
                <w:sz w:val="18"/>
                <w:szCs w:val="18"/>
                <w:color w:val="auto"/>
                <w:w w:val="99"/>
              </w:rPr>
              <w:t>% of Target Level Shares Earned with Respect to TSR Percentile Ranking</w:t>
            </w:r>
          </w:p>
        </w:tc>
        <w:tc>
          <w:tcPr>
            <w:tcW w:w="1020" w:type="dxa"/>
            <w:vAlign w:val="bottom"/>
            <w:vMerge w:val="restart"/>
            <w:shd w:val="clear" w:color="auto" w:fill="DBDBDB"/>
          </w:tcPr>
          <w:p>
            <w:pPr>
              <w:jc w:val="center"/>
              <w:ind w:left="110"/>
              <w:spacing w:after="0"/>
              <w:rPr>
                <w:sz w:val="20"/>
                <w:szCs w:val="20"/>
                <w:color w:val="auto"/>
              </w:rPr>
            </w:pPr>
            <w:r>
              <w:rPr>
                <w:rFonts w:ascii="Times New Roman" w:cs="Times New Roman" w:eastAsia="Times New Roman" w:hAnsi="Times New Roman"/>
                <w:sz w:val="18"/>
                <w:szCs w:val="18"/>
                <w:color w:val="auto"/>
              </w:rPr>
              <w:t>50%</w:t>
            </w:r>
          </w:p>
        </w:tc>
        <w:tc>
          <w:tcPr>
            <w:tcW w:w="180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140" w:type="dxa"/>
            <w:vAlign w:val="bottom"/>
            <w:vMerge w:val="restart"/>
            <w:shd w:val="clear" w:color="auto" w:fill="DBDBDB"/>
          </w:tcPr>
          <w:p>
            <w:pPr>
              <w:jc w:val="center"/>
              <w:ind w:right="230"/>
              <w:spacing w:after="0"/>
              <w:rPr>
                <w:sz w:val="20"/>
                <w:szCs w:val="20"/>
                <w:color w:val="auto"/>
              </w:rPr>
            </w:pPr>
            <w:r>
              <w:rPr>
                <w:rFonts w:ascii="Times New Roman" w:cs="Times New Roman" w:eastAsia="Times New Roman" w:hAnsi="Times New Roman"/>
                <w:sz w:val="18"/>
                <w:szCs w:val="18"/>
                <w:color w:val="auto"/>
                <w:w w:val="99"/>
              </w:rPr>
              <w:t>300%</w:t>
            </w:r>
          </w:p>
        </w:tc>
        <w:tc>
          <w:tcPr>
            <w:tcW w:w="0" w:type="dxa"/>
            <w:vAlign w:val="bottom"/>
          </w:tcPr>
          <w:p>
            <w:pPr>
              <w:spacing w:after="0"/>
              <w:rPr>
                <w:sz w:val="1"/>
                <w:szCs w:val="1"/>
                <w:color w:val="auto"/>
              </w:rPr>
            </w:pPr>
          </w:p>
        </w:tc>
      </w:tr>
      <w:tr>
        <w:trPr>
          <w:trHeight w:val="149"/>
        </w:trPr>
        <w:tc>
          <w:tcPr>
            <w:tcW w:w="5860" w:type="dxa"/>
            <w:vAlign w:val="bottom"/>
            <w:vMerge w:val="restart"/>
            <w:shd w:val="clear" w:color="auto" w:fill="DBDBDB"/>
          </w:tcPr>
          <w:p>
            <w:pPr>
              <w:jc w:val="center"/>
              <w:ind w:right="50"/>
              <w:spacing w:after="0"/>
              <w:rPr>
                <w:sz w:val="20"/>
                <w:szCs w:val="20"/>
                <w:color w:val="auto"/>
              </w:rPr>
            </w:pPr>
            <w:r>
              <w:rPr>
                <w:rFonts w:ascii="Times New Roman" w:cs="Times New Roman" w:eastAsia="Times New Roman" w:hAnsi="Times New Roman"/>
                <w:sz w:val="18"/>
                <w:szCs w:val="18"/>
                <w:color w:val="auto"/>
                <w:w w:val="99"/>
              </w:rPr>
              <w:t>Metric</w:t>
            </w:r>
          </w:p>
        </w:tc>
        <w:tc>
          <w:tcPr>
            <w:tcW w:w="1020" w:type="dxa"/>
            <w:vAlign w:val="bottom"/>
            <w:vMerge w:val="continue"/>
            <w:shd w:val="clear" w:color="auto" w:fill="DBDBDB"/>
          </w:tcPr>
          <w:p>
            <w:pPr>
              <w:spacing w:after="0"/>
              <w:rPr>
                <w:sz w:val="12"/>
                <w:szCs w:val="12"/>
                <w:color w:val="auto"/>
              </w:rPr>
            </w:pPr>
          </w:p>
        </w:tc>
        <w:tc>
          <w:tcPr>
            <w:tcW w:w="1800" w:type="dxa"/>
            <w:vAlign w:val="bottom"/>
            <w:vMerge w:val="continue"/>
            <w:shd w:val="clear" w:color="auto" w:fill="DBDBDB"/>
          </w:tcPr>
          <w:p>
            <w:pPr>
              <w:spacing w:after="0"/>
              <w:rPr>
                <w:sz w:val="12"/>
                <w:szCs w:val="12"/>
                <w:color w:val="auto"/>
              </w:rPr>
            </w:pPr>
          </w:p>
        </w:tc>
        <w:tc>
          <w:tcPr>
            <w:tcW w:w="1140" w:type="dxa"/>
            <w:vAlign w:val="bottom"/>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5860" w:type="dxa"/>
            <w:vAlign w:val="bottom"/>
            <w:vMerge w:val="continue"/>
            <w:shd w:val="clear" w:color="auto" w:fill="DBDBDB"/>
          </w:tcPr>
          <w:p>
            <w:pPr>
              <w:spacing w:after="0"/>
              <w:rPr>
                <w:sz w:val="8"/>
                <w:szCs w:val="8"/>
                <w:color w:val="auto"/>
              </w:rPr>
            </w:pPr>
          </w:p>
        </w:tc>
        <w:tc>
          <w:tcPr>
            <w:tcW w:w="1020" w:type="dxa"/>
            <w:vAlign w:val="bottom"/>
            <w:shd w:val="clear" w:color="auto" w:fill="DBDBDB"/>
          </w:tcPr>
          <w:p>
            <w:pPr>
              <w:spacing w:after="0"/>
              <w:rPr>
                <w:sz w:val="8"/>
                <w:szCs w:val="8"/>
                <w:color w:val="auto"/>
              </w:rPr>
            </w:pPr>
          </w:p>
        </w:tc>
        <w:tc>
          <w:tcPr>
            <w:tcW w:w="1800" w:type="dxa"/>
            <w:vAlign w:val="bottom"/>
            <w:shd w:val="clear" w:color="auto" w:fill="DBDBDB"/>
          </w:tcPr>
          <w:p>
            <w:pPr>
              <w:spacing w:after="0"/>
              <w:rPr>
                <w:sz w:val="8"/>
                <w:szCs w:val="8"/>
                <w:color w:val="auto"/>
              </w:rPr>
            </w:pPr>
          </w:p>
        </w:tc>
        <w:tc>
          <w:tcPr>
            <w:tcW w:w="114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firstLine="389"/>
        <w:spacing w:after="0" w:line="329" w:lineRule="auto"/>
        <w:rPr>
          <w:sz w:val="20"/>
          <w:szCs w:val="20"/>
          <w:color w:val="auto"/>
        </w:rPr>
      </w:pPr>
      <w:r>
        <w:rPr>
          <w:rFonts w:ascii="Times New Roman" w:cs="Times New Roman" w:eastAsia="Times New Roman" w:hAnsi="Times New Roman"/>
          <w:sz w:val="18"/>
          <w:szCs w:val="18"/>
          <w:color w:val="auto"/>
        </w:rPr>
        <w:t>The “continued employment” condition of the FY23 PSAs provides that, to the extent that the performance goals are met, the shares earned under such metrics would vest as follows (provided, in each case, that the executive remains employed by the Company through each such vesting date):</w:t>
      </w:r>
    </w:p>
    <w:p>
      <w:pPr>
        <w:spacing w:after="0" w:line="17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Anniversary of Grant Date (1)</w:t>
      </w:r>
    </w:p>
    <w:p>
      <w:pPr>
        <w:spacing w:after="0" w:line="31" w:lineRule="exact"/>
        <w:rPr>
          <w:sz w:val="20"/>
          <w:szCs w:val="20"/>
          <w:color w:val="auto"/>
        </w:rPr>
      </w:pPr>
    </w:p>
    <w:p>
      <w:pPr>
        <w:ind w:left="6120"/>
        <w:spacing w:after="0"/>
        <w:tabs>
          <w:tab w:leader="none" w:pos="7540" w:val="left"/>
        </w:tabs>
        <w:rPr>
          <w:sz w:val="20"/>
          <w:szCs w:val="20"/>
          <w:color w:val="auto"/>
        </w:rPr>
      </w:pPr>
      <w:r>
        <w:rPr>
          <w:rFonts w:ascii="Times New Roman" w:cs="Times New Roman" w:eastAsia="Times New Roman" w:hAnsi="Times New Roman"/>
          <w:sz w:val="18"/>
          <w:szCs w:val="18"/>
          <w:b w:val="1"/>
          <w:bCs w:val="1"/>
          <w:color w:val="auto"/>
        </w:rPr>
        <w:t>Two Year</w:t>
      </w:r>
      <w:r>
        <w:rPr>
          <w:sz w:val="20"/>
          <w:szCs w:val="20"/>
          <w:color w:val="auto"/>
        </w:rPr>
        <w:tab/>
      </w:r>
      <w:r>
        <w:rPr>
          <w:rFonts w:ascii="Times New Roman" w:cs="Times New Roman" w:eastAsia="Times New Roman" w:hAnsi="Times New Roman"/>
          <w:sz w:val="17"/>
          <w:szCs w:val="17"/>
          <w:b w:val="1"/>
          <w:bCs w:val="1"/>
          <w:color w:val="auto"/>
        </w:rPr>
        <w:t>Three Year</w:t>
      </w: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4940" w:type="dxa"/>
            <w:vAlign w:val="bottom"/>
            <w:shd w:val="clear" w:color="auto" w:fill="DBDBDB"/>
          </w:tcPr>
          <w:p>
            <w:pPr>
              <w:jc w:val="center"/>
              <w:ind w:right="190"/>
              <w:spacing w:after="0"/>
              <w:rPr>
                <w:sz w:val="20"/>
                <w:szCs w:val="20"/>
                <w:color w:val="auto"/>
              </w:rPr>
            </w:pPr>
            <w:r>
              <w:rPr>
                <w:rFonts w:ascii="Times New Roman" w:cs="Times New Roman" w:eastAsia="Times New Roman" w:hAnsi="Times New Roman"/>
                <w:sz w:val="18"/>
                <w:szCs w:val="18"/>
                <w:color w:val="auto"/>
              </w:rPr>
              <w:t>% of Shares Earned with Respect to Emerging Revenue Growth</w:t>
            </w:r>
          </w:p>
        </w:tc>
        <w:tc>
          <w:tcPr>
            <w:tcW w:w="2760" w:type="dxa"/>
            <w:vAlign w:val="bottom"/>
            <w:vMerge w:val="restart"/>
            <w:shd w:val="clear" w:color="auto" w:fill="DBDBDB"/>
          </w:tcPr>
          <w:p>
            <w:pPr>
              <w:jc w:val="right"/>
              <w:ind w:right="195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40"/>
        </w:trPr>
        <w:tc>
          <w:tcPr>
            <w:tcW w:w="1040" w:type="dxa"/>
            <w:vAlign w:val="bottom"/>
          </w:tcPr>
          <w:p>
            <w:pPr>
              <w:spacing w:after="0"/>
              <w:rPr>
                <w:sz w:val="12"/>
                <w:szCs w:val="12"/>
                <w:color w:val="auto"/>
              </w:rPr>
            </w:pPr>
          </w:p>
        </w:tc>
        <w:tc>
          <w:tcPr>
            <w:tcW w:w="4940" w:type="dxa"/>
            <w:vAlign w:val="bottom"/>
            <w:vMerge w:val="restart"/>
            <w:shd w:val="clear" w:color="auto" w:fill="DBDBDB"/>
          </w:tcPr>
          <w:p>
            <w:pPr>
              <w:jc w:val="center"/>
              <w:ind w:right="210"/>
              <w:spacing w:after="0"/>
              <w:rPr>
                <w:sz w:val="20"/>
                <w:szCs w:val="20"/>
                <w:color w:val="auto"/>
              </w:rPr>
            </w:pPr>
            <w:r>
              <w:rPr>
                <w:rFonts w:ascii="Times New Roman" w:cs="Times New Roman" w:eastAsia="Times New Roman" w:hAnsi="Times New Roman"/>
                <w:sz w:val="18"/>
                <w:szCs w:val="18"/>
                <w:color w:val="auto"/>
                <w:w w:val="99"/>
              </w:rPr>
              <w:t>Metric</w:t>
            </w:r>
          </w:p>
        </w:tc>
        <w:tc>
          <w:tcPr>
            <w:tcW w:w="2760" w:type="dxa"/>
            <w:vAlign w:val="bottom"/>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040" w:type="dxa"/>
            <w:vAlign w:val="bottom"/>
          </w:tcPr>
          <w:p>
            <w:pPr>
              <w:spacing w:after="0"/>
              <w:rPr>
                <w:sz w:val="8"/>
                <w:szCs w:val="8"/>
                <w:color w:val="auto"/>
              </w:rPr>
            </w:pPr>
          </w:p>
        </w:tc>
        <w:tc>
          <w:tcPr>
            <w:tcW w:w="4940" w:type="dxa"/>
            <w:vAlign w:val="bottom"/>
            <w:vMerge w:val="continue"/>
            <w:shd w:val="clear" w:color="auto" w:fill="DBDBDB"/>
          </w:tcPr>
          <w:p>
            <w:pPr>
              <w:spacing w:after="0"/>
              <w:rPr>
                <w:sz w:val="8"/>
                <w:szCs w:val="8"/>
                <w:color w:val="auto"/>
              </w:rPr>
            </w:pPr>
          </w:p>
        </w:tc>
        <w:tc>
          <w:tcPr>
            <w:tcW w:w="276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040" w:type="dxa"/>
            <w:vAlign w:val="bottom"/>
          </w:tcPr>
          <w:p>
            <w:pPr>
              <w:spacing w:after="0"/>
              <w:rPr>
                <w:sz w:val="16"/>
                <w:szCs w:val="16"/>
                <w:color w:val="auto"/>
              </w:rPr>
            </w:pPr>
          </w:p>
        </w:tc>
        <w:tc>
          <w:tcPr>
            <w:tcW w:w="4940" w:type="dxa"/>
            <w:vAlign w:val="bottom"/>
          </w:tcPr>
          <w:p>
            <w:pPr>
              <w:jc w:val="center"/>
              <w:ind w:right="190"/>
              <w:spacing w:after="0" w:line="184" w:lineRule="exact"/>
              <w:rPr>
                <w:sz w:val="20"/>
                <w:szCs w:val="20"/>
                <w:color w:val="auto"/>
              </w:rPr>
            </w:pPr>
            <w:r>
              <w:rPr>
                <w:rFonts w:ascii="Times New Roman" w:cs="Times New Roman" w:eastAsia="Times New Roman" w:hAnsi="Times New Roman"/>
                <w:sz w:val="18"/>
                <w:szCs w:val="18"/>
                <w:color w:val="auto"/>
                <w:w w:val="99"/>
              </w:rPr>
              <w:t>% of Shares Earned with Respect to EBITDA Margin</w:t>
            </w:r>
          </w:p>
        </w:tc>
        <w:tc>
          <w:tcPr>
            <w:tcW w:w="2760" w:type="dxa"/>
            <w:vAlign w:val="bottom"/>
            <w:vMerge w:val="restart"/>
          </w:tcPr>
          <w:p>
            <w:pPr>
              <w:jc w:val="right"/>
              <w:ind w:right="195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40"/>
        </w:trPr>
        <w:tc>
          <w:tcPr>
            <w:tcW w:w="1040" w:type="dxa"/>
            <w:vAlign w:val="bottom"/>
          </w:tcPr>
          <w:p>
            <w:pPr>
              <w:spacing w:after="0"/>
              <w:rPr>
                <w:sz w:val="12"/>
                <w:szCs w:val="12"/>
                <w:color w:val="auto"/>
              </w:rPr>
            </w:pPr>
          </w:p>
        </w:tc>
        <w:tc>
          <w:tcPr>
            <w:tcW w:w="49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w w:val="99"/>
              </w:rPr>
              <w:t>Percentile Ranking Metric</w:t>
            </w:r>
          </w:p>
        </w:tc>
        <w:tc>
          <w:tcPr>
            <w:tcW w:w="2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040" w:type="dxa"/>
            <w:vAlign w:val="bottom"/>
          </w:tcPr>
          <w:p>
            <w:pPr>
              <w:spacing w:after="0"/>
              <w:rPr>
                <w:sz w:val="8"/>
                <w:szCs w:val="8"/>
                <w:color w:val="auto"/>
              </w:rPr>
            </w:pPr>
          </w:p>
        </w:tc>
        <w:tc>
          <w:tcPr>
            <w:tcW w:w="494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040" w:type="dxa"/>
            <w:vAlign w:val="bottom"/>
          </w:tcPr>
          <w:p>
            <w:pPr>
              <w:spacing w:after="0"/>
              <w:rPr>
                <w:sz w:val="16"/>
                <w:szCs w:val="16"/>
                <w:color w:val="auto"/>
              </w:rPr>
            </w:pPr>
          </w:p>
        </w:tc>
        <w:tc>
          <w:tcPr>
            <w:tcW w:w="4940" w:type="dxa"/>
            <w:vAlign w:val="bottom"/>
            <w:shd w:val="clear" w:color="auto" w:fill="DBDBDB"/>
          </w:tcPr>
          <w:p>
            <w:pPr>
              <w:jc w:val="center"/>
              <w:ind w:right="190"/>
              <w:spacing w:after="0" w:line="184" w:lineRule="exact"/>
              <w:rPr>
                <w:sz w:val="20"/>
                <w:szCs w:val="20"/>
                <w:color w:val="auto"/>
              </w:rPr>
            </w:pPr>
            <w:r>
              <w:rPr>
                <w:rFonts w:ascii="Times New Roman" w:cs="Times New Roman" w:eastAsia="Times New Roman" w:hAnsi="Times New Roman"/>
                <w:sz w:val="18"/>
                <w:szCs w:val="18"/>
                <w:color w:val="auto"/>
                <w:w w:val="99"/>
              </w:rPr>
              <w:t>% of Shares Earned with Respect to TSR Percentile Ranking</w:t>
            </w:r>
          </w:p>
        </w:tc>
        <w:tc>
          <w:tcPr>
            <w:tcW w:w="2760" w:type="dxa"/>
            <w:vAlign w:val="bottom"/>
            <w:vMerge w:val="restart"/>
            <w:shd w:val="clear" w:color="auto" w:fill="DBDBDB"/>
          </w:tcPr>
          <w:p>
            <w:pPr>
              <w:jc w:val="right"/>
              <w:ind w:right="43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40"/>
        </w:trPr>
        <w:tc>
          <w:tcPr>
            <w:tcW w:w="1040" w:type="dxa"/>
            <w:vAlign w:val="bottom"/>
          </w:tcPr>
          <w:p>
            <w:pPr>
              <w:spacing w:after="0"/>
              <w:rPr>
                <w:sz w:val="12"/>
                <w:szCs w:val="12"/>
                <w:color w:val="auto"/>
              </w:rPr>
            </w:pPr>
          </w:p>
        </w:tc>
        <w:tc>
          <w:tcPr>
            <w:tcW w:w="4940" w:type="dxa"/>
            <w:vAlign w:val="bottom"/>
            <w:vMerge w:val="restart"/>
            <w:shd w:val="clear" w:color="auto" w:fill="DBDBDB"/>
          </w:tcPr>
          <w:p>
            <w:pPr>
              <w:jc w:val="center"/>
              <w:ind w:right="210"/>
              <w:spacing w:after="0"/>
              <w:rPr>
                <w:sz w:val="20"/>
                <w:szCs w:val="20"/>
                <w:color w:val="auto"/>
              </w:rPr>
            </w:pPr>
            <w:r>
              <w:rPr>
                <w:rFonts w:ascii="Times New Roman" w:cs="Times New Roman" w:eastAsia="Times New Roman" w:hAnsi="Times New Roman"/>
                <w:sz w:val="18"/>
                <w:szCs w:val="18"/>
                <w:color w:val="auto"/>
                <w:w w:val="99"/>
              </w:rPr>
              <w:t>Metric</w:t>
            </w:r>
          </w:p>
        </w:tc>
        <w:tc>
          <w:tcPr>
            <w:tcW w:w="2760" w:type="dxa"/>
            <w:vAlign w:val="bottom"/>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040" w:type="dxa"/>
            <w:vAlign w:val="bottom"/>
          </w:tcPr>
          <w:p>
            <w:pPr>
              <w:spacing w:after="0"/>
              <w:rPr>
                <w:sz w:val="8"/>
                <w:szCs w:val="8"/>
                <w:color w:val="auto"/>
              </w:rPr>
            </w:pPr>
          </w:p>
        </w:tc>
        <w:tc>
          <w:tcPr>
            <w:tcW w:w="4940" w:type="dxa"/>
            <w:vAlign w:val="bottom"/>
            <w:vMerge w:val="continue"/>
            <w:shd w:val="clear" w:color="auto" w:fill="DBDBDB"/>
          </w:tcPr>
          <w:p>
            <w:pPr>
              <w:spacing w:after="0"/>
              <w:rPr>
                <w:sz w:val="8"/>
                <w:szCs w:val="8"/>
                <w:color w:val="auto"/>
              </w:rPr>
            </w:pPr>
          </w:p>
        </w:tc>
        <w:tc>
          <w:tcPr>
            <w:tcW w:w="276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5980" w:type="dxa"/>
            <w:vAlign w:val="bottom"/>
            <w:gridSpan w:val="2"/>
          </w:tcPr>
          <w:p>
            <w:pPr>
              <w:jc w:val="right"/>
              <w:ind w:right="3730"/>
              <w:spacing w:after="0"/>
              <w:rPr>
                <w:sz w:val="20"/>
                <w:szCs w:val="20"/>
                <w:color w:val="auto"/>
              </w:rPr>
            </w:pPr>
            <w:r>
              <w:rPr>
                <w:rFonts w:ascii="Times New Roman" w:cs="Times New Roman" w:eastAsia="Times New Roman" w:hAnsi="Times New Roman"/>
                <w:sz w:val="18"/>
                <w:szCs w:val="18"/>
                <w:color w:val="auto"/>
                <w:w w:val="99"/>
              </w:rPr>
              <w:t>________________________</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60" w:hanging="252"/>
        <w:spacing w:after="0" w:line="329" w:lineRule="auto"/>
        <w:tabs>
          <w:tab w:leader="none" w:pos="43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by reason of death or permanent disability, the holder of an FY23 PSA (or the holder’s estate) would receive any earned but unissued shares that would have been issuable thereunder during the remaining term of the award.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8" w:name="page19"/>
    <w:bookmarkEnd w:id="18"/>
    <w:p>
      <w:pPr>
        <w:jc w:val="both"/>
        <w:ind w:firstLine="389"/>
        <w:spacing w:after="0" w:line="305" w:lineRule="auto"/>
        <w:rPr>
          <w:sz w:val="20"/>
          <w:szCs w:val="20"/>
          <w:color w:val="auto"/>
        </w:rPr>
      </w:pPr>
      <w:r>
        <w:rPr>
          <w:rFonts w:ascii="Times New Roman" w:cs="Times New Roman" w:eastAsia="Times New Roman" w:hAnsi="Times New Roman"/>
          <w:sz w:val="18"/>
          <w:szCs w:val="18"/>
          <w:color w:val="auto"/>
        </w:rPr>
        <w:t>During fiscal year 2022, the base period against which fiscal year 2023 emerging revenue performance was measured, the Company achieved revenue in the specified key product categories of $1,936 million. The base period emerging revenue included revenue from the automotive, 5G BAW-enabled device and next-generation connectivity product categories, as well as revenue generated by MSS.</w:t>
      </w:r>
    </w:p>
    <w:p>
      <w:pPr>
        <w:spacing w:after="0" w:line="169" w:lineRule="exact"/>
        <w:rPr>
          <w:sz w:val="20"/>
          <w:szCs w:val="20"/>
          <w:color w:val="auto"/>
        </w:rPr>
      </w:pPr>
    </w:p>
    <w:p>
      <w:pPr>
        <w:jc w:val="both"/>
        <w:ind w:firstLine="389"/>
        <w:spacing w:after="0" w:line="302" w:lineRule="auto"/>
        <w:rPr>
          <w:sz w:val="20"/>
          <w:szCs w:val="20"/>
          <w:color w:val="auto"/>
        </w:rPr>
      </w:pPr>
      <w:r>
        <w:rPr>
          <w:rFonts w:ascii="Times New Roman" w:cs="Times New Roman" w:eastAsia="Times New Roman" w:hAnsi="Times New Roman"/>
          <w:sz w:val="18"/>
          <w:szCs w:val="18"/>
          <w:color w:val="auto"/>
        </w:rPr>
        <w:t>During fiscal year 2023, the Company achieved revenue in the specified key product categories of $2,163 million, representing emerging revenue growth of 12%, which exceeds the “maximum” level of performance. This growth was driven by strong performance in the BAW-enabled and MSS product categories. This resulted in the Company achieving 200% of the target level of shares for such metric. The shares earned under this metric will be issued in November 2024, provided that the Named Executive Officer meets the continued employment condition.</w:t>
      </w:r>
    </w:p>
    <w:p>
      <w:pPr>
        <w:spacing w:after="0" w:line="173" w:lineRule="exact"/>
        <w:rPr>
          <w:sz w:val="20"/>
          <w:szCs w:val="20"/>
          <w:color w:val="auto"/>
        </w:rPr>
      </w:pPr>
    </w:p>
    <w:p>
      <w:pPr>
        <w:jc w:val="both"/>
        <w:ind w:firstLine="389"/>
        <w:spacing w:after="0" w:line="305" w:lineRule="auto"/>
        <w:rPr>
          <w:sz w:val="20"/>
          <w:szCs w:val="20"/>
          <w:color w:val="auto"/>
        </w:rPr>
      </w:pPr>
      <w:r>
        <w:rPr>
          <w:rFonts w:ascii="Times New Roman" w:cs="Times New Roman" w:eastAsia="Times New Roman" w:hAnsi="Times New Roman"/>
          <w:sz w:val="18"/>
          <w:szCs w:val="18"/>
          <w:color w:val="auto"/>
        </w:rPr>
        <w:t>In the period comprising fiscal year 2022 and fiscal year 2023, the period over which the EBITDA margin percentile ranking metric was measured, the Company achieved a margin of 44%, resulting in its ranking in the 62nd percentile against the applicable peer group. This resulted in the Company achieving 133% of the target level of shares for such metric. The shares earned under this metric were issued in November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PSAs at the End of Fiscal Year 2023</w:t>
      </w:r>
    </w:p>
    <w:p>
      <w:pPr>
        <w:spacing w:after="0" w:line="254"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As summarized in the table below of the annual PSA grants made to Named Executive Officers since our fiscal year ended September 28, 2018 (“fiscal year 2018”) (the first year in which the Compensation Committee awarded PSAs subject to a metric measured over a three-year performance period), achievement of the TSR percentile ranking metric under the FY23 PSAs, which is subject to a three-year performance period, will be determined following the conclusion of the Company’s fiscal year ending October 3, 2025 (“fiscal year 2025”). During the three-year performance period under the fiscal year 2021 PSAs comprising the Company’s fiscal years 2021, 2022, and 2023, the Company realized a TSR of -23% resulting in its ranking in the 4th percentile against the applicable peer group. As a result of failing to achieve the threshold TSR percentile ranking metric, no shares were earned by the Named Executive Officers with respect to such metric, and all PSAs with respect to such metric were cancelled.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PSA Fiscal</w:t>
            </w:r>
          </w:p>
        </w:tc>
        <w:tc>
          <w:tcPr>
            <w:tcW w:w="13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3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Metric</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Achieved</w:t>
            </w:r>
          </w:p>
        </w:tc>
        <w:tc>
          <w:tcPr>
            <w:tcW w:w="0" w:type="dxa"/>
            <w:vAlign w:val="bottom"/>
          </w:tcPr>
          <w:p>
            <w:pPr>
              <w:spacing w:after="0"/>
              <w:rPr>
                <w:sz w:val="1"/>
                <w:szCs w:val="1"/>
                <w:color w:val="auto"/>
              </w:rPr>
            </w:pPr>
          </w:p>
        </w:tc>
      </w:tr>
      <w:tr>
        <w:trPr>
          <w:trHeight w:val="243"/>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340" w:type="dxa"/>
            <w:vAlign w:val="bottom"/>
            <w:vMerge w:val="continue"/>
          </w:tcPr>
          <w:p>
            <w:pPr>
              <w:spacing w:after="0"/>
              <w:rPr>
                <w:sz w:val="21"/>
                <w:szCs w:val="21"/>
                <w:color w:val="auto"/>
              </w:rPr>
            </w:pPr>
          </w:p>
        </w:tc>
        <w:tc>
          <w:tcPr>
            <w:tcW w:w="3860" w:type="dxa"/>
            <w:vAlign w:val="bottom"/>
            <w:vMerge w:val="continue"/>
          </w:tcPr>
          <w:p>
            <w:pPr>
              <w:spacing w:after="0"/>
              <w:rPr>
                <w:sz w:val="21"/>
                <w:szCs w:val="21"/>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of Target)</w:t>
            </w:r>
          </w:p>
        </w:tc>
        <w:tc>
          <w:tcPr>
            <w:tcW w:w="0" w:type="dxa"/>
            <w:vAlign w:val="bottom"/>
          </w:tcPr>
          <w:p>
            <w:pPr>
              <w:spacing w:after="0"/>
              <w:rPr>
                <w:sz w:val="1"/>
                <w:szCs w:val="1"/>
                <w:color w:val="auto"/>
              </w:rPr>
            </w:pPr>
          </w:p>
        </w:tc>
      </w:tr>
      <w:tr>
        <w:trPr>
          <w:trHeight w:val="243"/>
        </w:trPr>
        <w:tc>
          <w:tcPr>
            <w:tcW w:w="120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7"/>
              </w:rPr>
              <w:t>FY18</w:t>
            </w:r>
          </w:p>
        </w:tc>
        <w:tc>
          <w:tcPr>
            <w:tcW w:w="134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11/7/2017</w:t>
            </w:r>
          </w:p>
        </w:tc>
        <w:tc>
          <w:tcPr>
            <w:tcW w:w="38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Non-GAAP EBITDA Growth</w:t>
            </w:r>
          </w:p>
        </w:tc>
        <w:tc>
          <w:tcPr>
            <w:tcW w:w="15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7"/>
              </w:rPr>
              <w:t>FY18</w:t>
            </w:r>
          </w:p>
        </w:tc>
        <w:tc>
          <w:tcPr>
            <w:tcW w:w="33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99.8%</w:t>
            </w:r>
          </w:p>
        </w:tc>
        <w:tc>
          <w:tcPr>
            <w:tcW w:w="0" w:type="dxa"/>
            <w:vAlign w:val="bottom"/>
          </w:tcPr>
          <w:p>
            <w:pPr>
              <w:spacing w:after="0"/>
              <w:rPr>
                <w:sz w:val="1"/>
                <w:szCs w:val="1"/>
                <w:color w:val="auto"/>
              </w:rPr>
            </w:pPr>
          </w:p>
        </w:tc>
      </w:tr>
      <w:tr>
        <w:trPr>
          <w:trHeight w:val="122"/>
        </w:trPr>
        <w:tc>
          <w:tcPr>
            <w:tcW w:w="1200" w:type="dxa"/>
            <w:vAlign w:val="bottom"/>
            <w:vMerge w:val="continue"/>
            <w:shd w:val="clear" w:color="auto" w:fill="DBDBDB"/>
          </w:tcPr>
          <w:p>
            <w:pPr>
              <w:spacing w:after="0"/>
              <w:rPr>
                <w:sz w:val="10"/>
                <w:szCs w:val="10"/>
                <w:color w:val="auto"/>
              </w:rPr>
            </w:pPr>
          </w:p>
        </w:tc>
        <w:tc>
          <w:tcPr>
            <w:tcW w:w="1340" w:type="dxa"/>
            <w:vAlign w:val="bottom"/>
            <w:vMerge w:val="continue"/>
            <w:shd w:val="clear" w:color="auto" w:fill="DBDBDB"/>
          </w:tcPr>
          <w:p>
            <w:pPr>
              <w:spacing w:after="0"/>
              <w:rPr>
                <w:sz w:val="10"/>
                <w:szCs w:val="10"/>
                <w:color w:val="auto"/>
              </w:rPr>
            </w:pPr>
          </w:p>
        </w:tc>
        <w:tc>
          <w:tcPr>
            <w:tcW w:w="386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3-year TSR Percentile Ranking</w:t>
            </w:r>
          </w:p>
        </w:tc>
        <w:tc>
          <w:tcPr>
            <w:tcW w:w="154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FY18–FY20</w:t>
            </w:r>
          </w:p>
        </w:tc>
        <w:tc>
          <w:tcPr>
            <w:tcW w:w="330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148"/>
        </w:trPr>
        <w:tc>
          <w:tcPr>
            <w:tcW w:w="1200" w:type="dxa"/>
            <w:vAlign w:val="bottom"/>
            <w:shd w:val="clear" w:color="auto" w:fill="DBDBDB"/>
          </w:tcPr>
          <w:p>
            <w:pPr>
              <w:spacing w:after="0"/>
              <w:rPr>
                <w:sz w:val="12"/>
                <w:szCs w:val="12"/>
                <w:color w:val="auto"/>
              </w:rPr>
            </w:pPr>
          </w:p>
        </w:tc>
        <w:tc>
          <w:tcPr>
            <w:tcW w:w="1340" w:type="dxa"/>
            <w:vAlign w:val="bottom"/>
            <w:shd w:val="clear" w:color="auto" w:fill="DBDBDB"/>
          </w:tcPr>
          <w:p>
            <w:pPr>
              <w:spacing w:after="0"/>
              <w:rPr>
                <w:sz w:val="12"/>
                <w:szCs w:val="12"/>
                <w:color w:val="auto"/>
              </w:rPr>
            </w:pPr>
          </w:p>
        </w:tc>
        <w:tc>
          <w:tcPr>
            <w:tcW w:w="3860" w:type="dxa"/>
            <w:vAlign w:val="bottom"/>
            <w:vMerge w:val="continue"/>
            <w:shd w:val="clear" w:color="auto" w:fill="DBDBDB"/>
          </w:tcPr>
          <w:p>
            <w:pPr>
              <w:spacing w:after="0"/>
              <w:rPr>
                <w:sz w:val="12"/>
                <w:szCs w:val="12"/>
                <w:color w:val="auto"/>
              </w:rPr>
            </w:pPr>
          </w:p>
        </w:tc>
        <w:tc>
          <w:tcPr>
            <w:tcW w:w="1540" w:type="dxa"/>
            <w:vAlign w:val="bottom"/>
            <w:vMerge w:val="continue"/>
            <w:shd w:val="clear" w:color="auto" w:fill="DBDBDB"/>
          </w:tcPr>
          <w:p>
            <w:pPr>
              <w:spacing w:after="0"/>
              <w:rPr>
                <w:sz w:val="12"/>
                <w:szCs w:val="12"/>
                <w:color w:val="auto"/>
              </w:rPr>
            </w:pPr>
          </w:p>
        </w:tc>
        <w:tc>
          <w:tcPr>
            <w:tcW w:w="3300" w:type="dxa"/>
            <w:vAlign w:val="bottom"/>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FY19</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11/6/2018</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Non-GAAP EBITDA Growth</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FY19</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122"/>
        </w:trPr>
        <w:tc>
          <w:tcPr>
            <w:tcW w:w="120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3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3-year TSR Percentile Ranking</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FY19–FY21</w:t>
            </w:r>
          </w:p>
        </w:tc>
        <w:tc>
          <w:tcPr>
            <w:tcW w:w="3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74.1%</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60" w:type="dxa"/>
            <w:vAlign w:val="bottom"/>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3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200" w:type="dxa"/>
            <w:vAlign w:val="bottom"/>
            <w:shd w:val="clear" w:color="auto" w:fill="DBDBDB"/>
          </w:tcPr>
          <w:p>
            <w:pPr>
              <w:spacing w:after="0"/>
              <w:rPr>
                <w:sz w:val="21"/>
                <w:szCs w:val="21"/>
                <w:color w:val="auto"/>
              </w:rPr>
            </w:pPr>
          </w:p>
        </w:tc>
        <w:tc>
          <w:tcPr>
            <w:tcW w:w="1340" w:type="dxa"/>
            <w:vAlign w:val="bottom"/>
            <w:shd w:val="clear" w:color="auto" w:fill="DBDBDB"/>
          </w:tcPr>
          <w:p>
            <w:pPr>
              <w:spacing w:after="0"/>
              <w:rPr>
                <w:sz w:val="21"/>
                <w:szCs w:val="21"/>
                <w:color w:val="auto"/>
              </w:rPr>
            </w:pPr>
          </w:p>
        </w:tc>
        <w:tc>
          <w:tcPr>
            <w:tcW w:w="38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Emerging Revenue Growth</w:t>
            </w:r>
          </w:p>
        </w:tc>
        <w:tc>
          <w:tcPr>
            <w:tcW w:w="15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7"/>
              </w:rPr>
              <w:t>FY20</w:t>
            </w:r>
          </w:p>
        </w:tc>
        <w:tc>
          <w:tcPr>
            <w:tcW w:w="33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57"/>
        </w:trPr>
        <w:tc>
          <w:tcPr>
            <w:tcW w:w="12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7"/>
              </w:rPr>
              <w:t>FY20</w:t>
            </w:r>
          </w:p>
        </w:tc>
        <w:tc>
          <w:tcPr>
            <w:tcW w:w="13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11/5/2019</w:t>
            </w:r>
          </w:p>
        </w:tc>
        <w:tc>
          <w:tcPr>
            <w:tcW w:w="38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Design Wins</w:t>
            </w:r>
          </w:p>
        </w:tc>
        <w:tc>
          <w:tcPr>
            <w:tcW w:w="15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7"/>
              </w:rPr>
              <w:t>FY20</w:t>
            </w:r>
          </w:p>
        </w:tc>
        <w:tc>
          <w:tcPr>
            <w:tcW w:w="33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70"/>
        </w:trPr>
        <w:tc>
          <w:tcPr>
            <w:tcW w:w="1200" w:type="dxa"/>
            <w:vAlign w:val="bottom"/>
            <w:shd w:val="clear" w:color="auto" w:fill="DBDBDB"/>
          </w:tcPr>
          <w:p>
            <w:pPr>
              <w:spacing w:after="0"/>
              <w:rPr>
                <w:sz w:val="23"/>
                <w:szCs w:val="23"/>
                <w:color w:val="auto"/>
              </w:rPr>
            </w:pPr>
          </w:p>
        </w:tc>
        <w:tc>
          <w:tcPr>
            <w:tcW w:w="1340" w:type="dxa"/>
            <w:vAlign w:val="bottom"/>
            <w:shd w:val="clear" w:color="auto" w:fill="DBDBDB"/>
          </w:tcPr>
          <w:p>
            <w:pPr>
              <w:spacing w:after="0"/>
              <w:rPr>
                <w:sz w:val="23"/>
                <w:szCs w:val="23"/>
                <w:color w:val="auto"/>
              </w:rPr>
            </w:pPr>
          </w:p>
        </w:tc>
        <w:tc>
          <w:tcPr>
            <w:tcW w:w="38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3-year TSR Percentile Ranking</w:t>
            </w:r>
          </w:p>
        </w:tc>
        <w:tc>
          <w:tcPr>
            <w:tcW w:w="15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FY20–FY22</w:t>
            </w:r>
          </w:p>
        </w:tc>
        <w:tc>
          <w:tcPr>
            <w:tcW w:w="33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Revenue Growth</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FY21</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57"/>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FY21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11/11/2020</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Design Wins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FY21</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63"/>
        </w:trPr>
        <w:tc>
          <w:tcPr>
            <w:tcW w:w="1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3-year TSR Percentile Ranking</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FY21–FY23</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50"/>
        </w:trPr>
        <w:tc>
          <w:tcPr>
            <w:tcW w:w="1200" w:type="dxa"/>
            <w:vAlign w:val="bottom"/>
            <w:shd w:val="clear" w:color="auto" w:fill="DBDBDB"/>
          </w:tcPr>
          <w:p>
            <w:pPr>
              <w:spacing w:after="0"/>
              <w:rPr>
                <w:sz w:val="21"/>
                <w:szCs w:val="21"/>
                <w:color w:val="auto"/>
              </w:rPr>
            </w:pPr>
          </w:p>
        </w:tc>
        <w:tc>
          <w:tcPr>
            <w:tcW w:w="1340" w:type="dxa"/>
            <w:vAlign w:val="bottom"/>
            <w:shd w:val="clear" w:color="auto" w:fill="DBDBDB"/>
          </w:tcPr>
          <w:p>
            <w:pPr>
              <w:spacing w:after="0"/>
              <w:rPr>
                <w:sz w:val="21"/>
                <w:szCs w:val="21"/>
                <w:color w:val="auto"/>
              </w:rPr>
            </w:pPr>
          </w:p>
        </w:tc>
        <w:tc>
          <w:tcPr>
            <w:tcW w:w="38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Emerging Revenue Growth</w:t>
            </w:r>
          </w:p>
        </w:tc>
        <w:tc>
          <w:tcPr>
            <w:tcW w:w="15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7"/>
              </w:rPr>
              <w:t>FY22</w:t>
            </w:r>
          </w:p>
        </w:tc>
        <w:tc>
          <w:tcPr>
            <w:tcW w:w="33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56"/>
        </w:trPr>
        <w:tc>
          <w:tcPr>
            <w:tcW w:w="12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7"/>
              </w:rPr>
              <w:t>FY22</w:t>
            </w:r>
          </w:p>
        </w:tc>
        <w:tc>
          <w:tcPr>
            <w:tcW w:w="13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7"/>
              </w:rPr>
              <w:t>11/10/2021</w:t>
            </w:r>
          </w:p>
        </w:tc>
        <w:tc>
          <w:tcPr>
            <w:tcW w:w="38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EBITDA Margin Percentile Ranking</w:t>
            </w:r>
          </w:p>
        </w:tc>
        <w:tc>
          <w:tcPr>
            <w:tcW w:w="15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FY22–FY23</w:t>
            </w:r>
          </w:p>
        </w:tc>
        <w:tc>
          <w:tcPr>
            <w:tcW w:w="33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133%</w:t>
            </w:r>
          </w:p>
        </w:tc>
        <w:tc>
          <w:tcPr>
            <w:tcW w:w="0" w:type="dxa"/>
            <w:vAlign w:val="bottom"/>
          </w:tcPr>
          <w:p>
            <w:pPr>
              <w:spacing w:after="0"/>
              <w:rPr>
                <w:sz w:val="1"/>
                <w:szCs w:val="1"/>
                <w:color w:val="auto"/>
              </w:rPr>
            </w:pPr>
          </w:p>
        </w:tc>
      </w:tr>
      <w:tr>
        <w:trPr>
          <w:trHeight w:val="270"/>
        </w:trPr>
        <w:tc>
          <w:tcPr>
            <w:tcW w:w="1200" w:type="dxa"/>
            <w:vAlign w:val="bottom"/>
            <w:shd w:val="clear" w:color="auto" w:fill="DBDBDB"/>
          </w:tcPr>
          <w:p>
            <w:pPr>
              <w:spacing w:after="0"/>
              <w:rPr>
                <w:sz w:val="23"/>
                <w:szCs w:val="23"/>
                <w:color w:val="auto"/>
              </w:rPr>
            </w:pPr>
          </w:p>
        </w:tc>
        <w:tc>
          <w:tcPr>
            <w:tcW w:w="1340" w:type="dxa"/>
            <w:vAlign w:val="bottom"/>
            <w:shd w:val="clear" w:color="auto" w:fill="DBDBDB"/>
          </w:tcPr>
          <w:p>
            <w:pPr>
              <w:spacing w:after="0"/>
              <w:rPr>
                <w:sz w:val="23"/>
                <w:szCs w:val="23"/>
                <w:color w:val="auto"/>
              </w:rPr>
            </w:pPr>
          </w:p>
        </w:tc>
        <w:tc>
          <w:tcPr>
            <w:tcW w:w="38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3-year TSR Percentile Ranking</w:t>
            </w:r>
          </w:p>
        </w:tc>
        <w:tc>
          <w:tcPr>
            <w:tcW w:w="15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FY22–FY24</w:t>
            </w:r>
          </w:p>
        </w:tc>
        <w:tc>
          <w:tcPr>
            <w:tcW w:w="33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Perf. Period in Progress (1)</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Revenue Growth</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FY23</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57"/>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FY23</w:t>
            </w:r>
          </w:p>
        </w:tc>
        <w:tc>
          <w:tcPr>
            <w:tcW w:w="13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11/8/2022</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EBITDA Margin Percentile Ranking</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FY23–FY24</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Perf. Period in Progress (2)</w:t>
            </w:r>
          </w:p>
        </w:tc>
        <w:tc>
          <w:tcPr>
            <w:tcW w:w="0" w:type="dxa"/>
            <w:vAlign w:val="bottom"/>
          </w:tcPr>
          <w:p>
            <w:pPr>
              <w:spacing w:after="0"/>
              <w:rPr>
                <w:sz w:val="1"/>
                <w:szCs w:val="1"/>
                <w:color w:val="auto"/>
              </w:rPr>
            </w:pPr>
          </w:p>
        </w:tc>
      </w:tr>
      <w:tr>
        <w:trPr>
          <w:trHeight w:val="256"/>
        </w:trPr>
        <w:tc>
          <w:tcPr>
            <w:tcW w:w="1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3-year TSR Percentile Ranking</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FY23–FY25</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Perf. Period in Progress (3)</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36" w:lineRule="exact"/>
        <w:rPr>
          <w:sz w:val="20"/>
          <w:szCs w:val="20"/>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18, 2024, performance under this metric during the applicable performance period was below the “threshold” level of performance.</w:t>
      </w:r>
    </w:p>
    <w:p>
      <w:pPr>
        <w:spacing w:after="0" w:line="49" w:lineRule="exact"/>
        <w:rPr>
          <w:rFonts w:ascii="Times New Roman" w:cs="Times New Roman" w:eastAsia="Times New Roman" w:hAnsi="Times New Roman"/>
          <w:sz w:val="18"/>
          <w:szCs w:val="18"/>
          <w:color w:val="auto"/>
        </w:rPr>
      </w:pPr>
    </w:p>
    <w:p>
      <w:pPr>
        <w:ind w:left="260" w:hanging="252"/>
        <w:spacing w:after="0" w:line="313" w:lineRule="auto"/>
        <w:tabs>
          <w:tab w:leader="none" w:pos="2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18, 2024, performance under this metric during the applicable performance period was between the “target” and “maximum” levels of performance.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9" w:name="page20"/>
    <w:bookmarkEnd w:id="19"/>
    <w:p>
      <w:pPr>
        <w:ind w:left="260" w:hanging="252"/>
        <w:spacing w:after="0" w:line="313" w:lineRule="auto"/>
        <w:tabs>
          <w:tab w:leader="none" w:pos="28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18, 2024, performance under this metric during the applicable performance period was between the “threshold” and “target” levels of performance.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Compensation and Benefits</w:t>
      </w:r>
    </w:p>
    <w:p>
      <w:pPr>
        <w:spacing w:after="0" w:line="254" w:lineRule="exact"/>
        <w:rPr>
          <w:sz w:val="20"/>
          <w:szCs w:val="20"/>
          <w:color w:val="auto"/>
        </w:rPr>
      </w:pPr>
    </w:p>
    <w:p>
      <w:pPr>
        <w:jc w:val="both"/>
        <w:ind w:firstLine="389"/>
        <w:spacing w:after="0" w:line="294" w:lineRule="auto"/>
        <w:rPr>
          <w:sz w:val="20"/>
          <w:szCs w:val="20"/>
          <w:color w:val="auto"/>
        </w:rPr>
      </w:pPr>
      <w:r>
        <w:rPr>
          <w:rFonts w:ascii="Times New Roman" w:cs="Times New Roman" w:eastAsia="Times New Roman" w:hAnsi="Times New Roman"/>
          <w:sz w:val="18"/>
          <w:szCs w:val="18"/>
          <w:color w:val="auto"/>
        </w:rPr>
        <w:t>We provide other benefits to our executive officers that are intended to be part of a competitive overall compensation program and are not tied to any company performance criteria. Consistent with our objective of having compensation programs that are considered fair to our employees, executive officers are eligible to participate in the Company’s medical, dental, vision, life, and disability insurance plans, as well as the Company’s 401(k) Savings and Retirement Plan and Employee Stock Purchase Plan, under the same terms as such benefits are offered to other benefits-eligible employees. We do not provide executive officers with any enhanced retirement benefits (i.e., executive officers are subject to the same limits on contributions as other employees, as we do not offer any supplemental executive retirement plan or other similar non-qualified deferred compensation plan), and they are eligible for 401(k) company-match contributions under the same terms as other employees.</w:t>
      </w:r>
    </w:p>
    <w:p>
      <w:pPr>
        <w:spacing w:after="0" w:line="196" w:lineRule="exact"/>
        <w:rPr>
          <w:sz w:val="20"/>
          <w:szCs w:val="20"/>
          <w:color w:val="auto"/>
        </w:rPr>
      </w:pPr>
    </w:p>
    <w:p>
      <w:pPr>
        <w:jc w:val="both"/>
        <w:ind w:firstLine="389"/>
        <w:spacing w:after="0" w:line="302" w:lineRule="auto"/>
        <w:rPr>
          <w:sz w:val="20"/>
          <w:szCs w:val="20"/>
          <w:color w:val="auto"/>
        </w:rPr>
      </w:pPr>
      <w:r>
        <w:rPr>
          <w:rFonts w:ascii="Times New Roman" w:cs="Times New Roman" w:eastAsia="Times New Roman" w:hAnsi="Times New Roman"/>
          <w:sz w:val="18"/>
          <w:szCs w:val="18"/>
          <w:color w:val="auto"/>
        </w:rPr>
        <w:t>We offered executives the opportunity to participate in a reimbursement program for fiscal year 2023 providing up to an aggregate of $20,000 to each executive for the purchase of financial planning services, estate planning services, personal tax planning and preparation services, and/or an executive physical. No tax gross-up was provided for such reimbursements. In fiscal year 2023, each of the Named Executive Officers received reimbursement in connection with such services.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Change-in-Control Benefits</w:t>
      </w:r>
    </w:p>
    <w:p>
      <w:pPr>
        <w:spacing w:after="0" w:line="270"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None of our executive officers, including the Named Executive Officers, has an employment agreement that provides a specific term of employment with the Company. Accordingly, the employment of any such employee may be terminated at any time. We do provide certain benefits to our Named Executive Officers upon certain qualifying terminations of employment and in connection with terminations of employment under certain circumstances following a change in control. A description of the material terms of our severance and change-in-control arrangements with the Named Executive Officers can be found immediately below and further below under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firstLine="389"/>
        <w:spacing w:after="0" w:line="294" w:lineRule="auto"/>
        <w:rPr>
          <w:sz w:val="20"/>
          <w:szCs w:val="20"/>
          <w:color w:val="auto"/>
        </w:rPr>
      </w:pPr>
      <w:r>
        <w:rPr>
          <w:rFonts w:ascii="Times New Roman" w:cs="Times New Roman" w:eastAsia="Times New Roman" w:hAnsi="Times New Roman"/>
          <w:sz w:val="18"/>
          <w:szCs w:val="18"/>
          <w:color w:val="auto"/>
        </w:rPr>
        <w:t>The Compensation Committee believes that severance protections can play a valuable role in recruiting and retaining superior talent. Severance and other termination benefits are an effective way to offer executives financial security to incent them to forego an opportunity with another company. These agreements also protect the Company as the Named Executive Officers are bound by non-solicit covenants for a period of twelve (12) months after termination of employment. Outside of the change-in-control context, each Named Executive Officer is entitled to severance benefits if his or her employment is involuntarily terminated by the Company without cause and, in the case of the Chief Executive Officer, if he terminates his own employment for good reason (as defined in the Chief Executive Officer’s change-in-control agreement). The level of each Named Executive Officer’s cash severance or other termination benefit is generally tied to his or her annual base salary and short-term incentive amounts.</w:t>
      </w:r>
    </w:p>
    <w:p>
      <w:pPr>
        <w:spacing w:after="0" w:line="196" w:lineRule="exact"/>
        <w:rPr>
          <w:sz w:val="20"/>
          <w:szCs w:val="20"/>
          <w:color w:val="auto"/>
        </w:rPr>
      </w:pPr>
    </w:p>
    <w:p>
      <w:pPr>
        <w:jc w:val="both"/>
        <w:ind w:firstLine="389"/>
        <w:spacing w:after="0" w:line="295" w:lineRule="auto"/>
        <w:rPr>
          <w:sz w:val="20"/>
          <w:szCs w:val="20"/>
          <w:color w:val="auto"/>
        </w:rPr>
      </w:pPr>
      <w:r>
        <w:rPr>
          <w:rFonts w:ascii="Times New Roman" w:cs="Times New Roman" w:eastAsia="Times New Roman" w:hAnsi="Times New Roman"/>
          <w:sz w:val="18"/>
          <w:szCs w:val="18"/>
          <w:color w:val="auto"/>
        </w:rPr>
        <w:t>Additionally, each Named Executive Officer would receive enhanced severance benefits and accelerated vesting of equity awards if his or her employment were terminated under certain circumstances in connection with a change in control of the Company. These benefits are described in detail further below under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 The Compensation Committee believes these enhanced severance benefits and accelerated vesting are appropriate because the occurrence, or potential occurrence, of a change-in-control transaction would likely create uncertainty regarding the continued employment of executive officers that typically occurs in a change-in-control context, and such severance benefits and accelerated vesting encourage the Named Executive Officers to remain employed with the Company through the change-in-control process and to focus on enhancing stockholder value both before and during the process. In addition, the vesting protection helps assure the Named Executive Officers that they will not lose the expected value of their equity awards because of a change in control of the Company.</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 Stock Ownership Requirements</w:t>
      </w:r>
    </w:p>
    <w:p>
      <w:pPr>
        <w:spacing w:after="0" w:line="256" w:lineRule="exact"/>
        <w:rPr>
          <w:sz w:val="20"/>
          <w:szCs w:val="20"/>
          <w:color w:val="auto"/>
        </w:rPr>
      </w:pPr>
    </w:p>
    <w:p>
      <w:pPr>
        <w:jc w:val="both"/>
        <w:ind w:firstLine="389"/>
        <w:spacing w:after="0" w:line="293" w:lineRule="auto"/>
        <w:rPr>
          <w:sz w:val="20"/>
          <w:szCs w:val="20"/>
          <w:color w:val="auto"/>
        </w:rPr>
      </w:pPr>
      <w:r>
        <w:rPr>
          <w:rFonts w:ascii="Times New Roman" w:cs="Times New Roman" w:eastAsia="Times New Roman" w:hAnsi="Times New Roman"/>
          <w:sz w:val="18"/>
          <w:szCs w:val="18"/>
          <w:color w:val="auto"/>
        </w:rPr>
        <w:t xml:space="preserve">We have adopted executive officer stock ownership guidelines with the objective of more closely aligning the interests of our executive officers with those of our stockholders. Under the executive officer stock ownership guidelines, our Named Executive Officers are each required to hold the </w:t>
      </w:r>
      <w:r>
        <w:rPr>
          <w:rFonts w:ascii="Times New Roman" w:cs="Times New Roman" w:eastAsia="Times New Roman" w:hAnsi="Times New Roman"/>
          <w:sz w:val="18"/>
          <w:szCs w:val="18"/>
          <w:i w:val="1"/>
          <w:iCs w:val="1"/>
          <w:color w:val="auto"/>
        </w:rPr>
        <w:t>lower</w:t>
      </w:r>
      <w:r>
        <w:rPr>
          <w:rFonts w:ascii="Times New Roman" w:cs="Times New Roman" w:eastAsia="Times New Roman" w:hAnsi="Times New Roman"/>
          <w:sz w:val="18"/>
          <w:szCs w:val="18"/>
          <w:color w:val="auto"/>
        </w:rPr>
        <w:t xml:space="preserve"> of (a) the number of shares with a fair market value equal to the applicable multiple of such executive’s current base salary, or (b) the applicable number of shares, each as set forth in the table below. Common stock owned outright by the Named Executive Officer (or by his or her spouse or minor children), common stock held in trust for the benefit of the Named Executive Officer (or his or her spouse or minor children), or restricted stock or restricted stock units granted pursuant to the equity compensation plans of the Company for which restrictions have lapsed, count towards the requirement. Unexercised options, whether or not vested, and restricted stock and restricted stock units still subject to risk of forfeiture, as well as any unissued performance shares, do not count towards the requirement. All of our Named Executive Officers are in compliance with the executive officer stock ownership guidelines as of the date hereof.</w:t>
      </w:r>
    </w:p>
    <w:p>
      <w:pPr>
        <w:spacing w:after="0" w:line="269" w:lineRule="exact"/>
        <w:rPr>
          <w:sz w:val="20"/>
          <w:szCs w:val="20"/>
          <w:color w:val="auto"/>
        </w:rPr>
      </w:pPr>
    </w:p>
    <w:tbl>
      <w:tblPr>
        <w:tblLayout w:type="fixed"/>
        <w:tblInd w:w="134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24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Multiple of</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700" w:type="dxa"/>
            <w:vAlign w:val="bottom"/>
          </w:tcPr>
          <w:p>
            <w:pPr>
              <w:spacing w:after="0"/>
              <w:rPr>
                <w:sz w:val="23"/>
                <w:szCs w:val="23"/>
                <w:color w:val="auto"/>
              </w:rPr>
            </w:pPr>
          </w:p>
        </w:tc>
        <w:tc>
          <w:tcPr>
            <w:tcW w:w="24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Annual Base Salary (1)</w:t>
            </w: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0" w:type="dxa"/>
            <w:vAlign w:val="bottom"/>
          </w:tcPr>
          <w:p>
            <w:pPr>
              <w:spacing w:after="0"/>
              <w:rPr>
                <w:sz w:val="1"/>
                <w:szCs w:val="1"/>
                <w:color w:val="auto"/>
              </w:rPr>
            </w:pPr>
          </w:p>
        </w:tc>
      </w:tr>
      <w:tr>
        <w:trPr>
          <w:trHeight w:val="230"/>
        </w:trPr>
        <w:tc>
          <w:tcPr>
            <w:tcW w:w="2700" w:type="dxa"/>
            <w:vAlign w:val="bottom"/>
            <w:shd w:val="clear" w:color="auto" w:fill="DBDBDB"/>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2460" w:type="dxa"/>
            <w:vAlign w:val="bottom"/>
            <w:shd w:val="clear" w:color="auto" w:fill="DBDBDB"/>
          </w:tcPr>
          <w:p>
            <w:pPr>
              <w:jc w:val="center"/>
              <w:ind w:right="170"/>
              <w:spacing w:after="0"/>
              <w:rPr>
                <w:sz w:val="20"/>
                <w:szCs w:val="20"/>
                <w:color w:val="auto"/>
              </w:rPr>
            </w:pPr>
            <w:r>
              <w:rPr>
                <w:rFonts w:ascii="Times New Roman" w:cs="Times New Roman" w:eastAsia="Times New Roman" w:hAnsi="Times New Roman"/>
                <w:sz w:val="18"/>
                <w:szCs w:val="18"/>
                <w:color w:val="auto"/>
                <w:w w:val="88"/>
              </w:rPr>
              <w:t>6</w:t>
            </w:r>
          </w:p>
        </w:tc>
        <w:tc>
          <w:tcPr>
            <w:tcW w:w="1620" w:type="dxa"/>
            <w:vAlign w:val="bottom"/>
            <w:shd w:val="clear" w:color="auto" w:fill="DBDBDB"/>
          </w:tcPr>
          <w:p>
            <w:pPr>
              <w:ind w:left="480"/>
              <w:spacing w:after="0"/>
              <w:rPr>
                <w:sz w:val="20"/>
                <w:szCs w:val="20"/>
                <w:color w:val="auto"/>
              </w:rPr>
            </w:pPr>
            <w:r>
              <w:rPr>
                <w:rFonts w:ascii="Times New Roman" w:cs="Times New Roman" w:eastAsia="Times New Roman" w:hAnsi="Times New Roman"/>
                <w:sz w:val="18"/>
                <w:szCs w:val="18"/>
                <w:color w:val="auto"/>
              </w:rPr>
              <w:t>96,900</w:t>
            </w:r>
          </w:p>
        </w:tc>
        <w:tc>
          <w:tcPr>
            <w:tcW w:w="0" w:type="dxa"/>
            <w:vAlign w:val="bottom"/>
          </w:tcPr>
          <w:p>
            <w:pPr>
              <w:spacing w:after="0"/>
              <w:rPr>
                <w:sz w:val="1"/>
                <w:szCs w:val="1"/>
                <w:color w:val="auto"/>
              </w:rPr>
            </w:pPr>
          </w:p>
        </w:tc>
      </w:tr>
      <w:tr>
        <w:trPr>
          <w:trHeight w:val="22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4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2.5</w:t>
            </w:r>
          </w:p>
        </w:tc>
        <w:tc>
          <w:tcPr>
            <w:tcW w:w="1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176"/>
        </w:trPr>
        <w:tc>
          <w:tcPr>
            <w:tcW w:w="2700" w:type="dxa"/>
            <w:vAlign w:val="bottom"/>
            <w:shd w:val="clear" w:color="auto" w:fill="D9D9D9"/>
          </w:tcPr>
          <w:p>
            <w:pPr>
              <w:spacing w:after="0" w:line="176" w:lineRule="exact"/>
              <w:rPr>
                <w:sz w:val="20"/>
                <w:szCs w:val="20"/>
                <w:color w:val="auto"/>
              </w:rPr>
            </w:pPr>
            <w:r>
              <w:rPr>
                <w:rFonts w:ascii="Times New Roman" w:cs="Times New Roman" w:eastAsia="Times New Roman" w:hAnsi="Times New Roman"/>
                <w:sz w:val="18"/>
                <w:szCs w:val="18"/>
                <w:color w:val="auto"/>
              </w:rPr>
              <w:t>Senior Vice President, Technology</w:t>
            </w:r>
          </w:p>
        </w:tc>
        <w:tc>
          <w:tcPr>
            <w:tcW w:w="2460" w:type="dxa"/>
            <w:vAlign w:val="bottom"/>
            <w:vMerge w:val="restart"/>
            <w:shd w:val="clear" w:color="auto" w:fill="D9D9D9"/>
          </w:tcPr>
          <w:p>
            <w:pPr>
              <w:jc w:val="center"/>
              <w:ind w:right="170"/>
              <w:spacing w:after="0"/>
              <w:rPr>
                <w:sz w:val="20"/>
                <w:szCs w:val="20"/>
                <w:color w:val="auto"/>
              </w:rPr>
            </w:pPr>
            <w:r>
              <w:rPr>
                <w:rFonts w:ascii="Times New Roman" w:cs="Times New Roman" w:eastAsia="Times New Roman" w:hAnsi="Times New Roman"/>
                <w:sz w:val="18"/>
                <w:szCs w:val="18"/>
                <w:color w:val="auto"/>
              </w:rPr>
              <w:t>2.5</w:t>
            </w:r>
          </w:p>
        </w:tc>
        <w:tc>
          <w:tcPr>
            <w:tcW w:w="1620" w:type="dxa"/>
            <w:vAlign w:val="bottom"/>
            <w:vMerge w:val="restart"/>
            <w:shd w:val="clear" w:color="auto" w:fill="D9D9D9"/>
          </w:tcPr>
          <w:p>
            <w:pPr>
              <w:ind w:left="480"/>
              <w:spacing w:after="0"/>
              <w:rPr>
                <w:sz w:val="20"/>
                <w:szCs w:val="20"/>
                <w:color w:val="auto"/>
              </w:rPr>
            </w:pPr>
            <w:r>
              <w:rPr>
                <w:rFonts w:ascii="Times New Roman" w:cs="Times New Roman" w:eastAsia="Times New Roman" w:hAnsi="Times New Roman"/>
                <w:sz w:val="18"/>
                <w:szCs w:val="18"/>
                <w:color w:val="auto"/>
              </w:rPr>
              <w:t>19,900</w:t>
            </w:r>
          </w:p>
        </w:tc>
        <w:tc>
          <w:tcPr>
            <w:tcW w:w="0" w:type="dxa"/>
            <w:vAlign w:val="bottom"/>
          </w:tcPr>
          <w:p>
            <w:pPr>
              <w:spacing w:after="0"/>
              <w:rPr>
                <w:sz w:val="1"/>
                <w:szCs w:val="1"/>
                <w:color w:val="auto"/>
              </w:rPr>
            </w:pPr>
          </w:p>
        </w:tc>
      </w:tr>
      <w:tr>
        <w:trPr>
          <w:trHeight w:val="148"/>
        </w:trPr>
        <w:tc>
          <w:tcPr>
            <w:tcW w:w="2700" w:type="dxa"/>
            <w:vAlign w:val="bottom"/>
            <w:vMerge w:val="restart"/>
            <w:shd w:val="clear" w:color="auto" w:fill="D9D9D9"/>
          </w:tcPr>
          <w:p>
            <w:pPr>
              <w:spacing w:after="0"/>
              <w:rPr>
                <w:sz w:val="20"/>
                <w:szCs w:val="20"/>
                <w:color w:val="auto"/>
              </w:rPr>
            </w:pPr>
            <w:r>
              <w:rPr>
                <w:rFonts w:ascii="Times New Roman" w:cs="Times New Roman" w:eastAsia="Times New Roman" w:hAnsi="Times New Roman"/>
                <w:sz w:val="18"/>
                <w:szCs w:val="18"/>
                <w:color w:val="auto"/>
              </w:rPr>
              <w:t>and Manufacturing</w:t>
            </w:r>
          </w:p>
        </w:tc>
        <w:tc>
          <w:tcPr>
            <w:tcW w:w="2460" w:type="dxa"/>
            <w:vAlign w:val="bottom"/>
            <w:vMerge w:val="continue"/>
            <w:shd w:val="clear" w:color="auto" w:fill="D9D9D9"/>
          </w:tcPr>
          <w:p>
            <w:pPr>
              <w:spacing w:after="0"/>
              <w:rPr>
                <w:sz w:val="12"/>
                <w:szCs w:val="12"/>
                <w:color w:val="auto"/>
              </w:rPr>
            </w:pPr>
          </w:p>
        </w:tc>
        <w:tc>
          <w:tcPr>
            <w:tcW w:w="1620" w:type="dxa"/>
            <w:vAlign w:val="bottom"/>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700" w:type="dxa"/>
            <w:vAlign w:val="bottom"/>
            <w:vMerge w:val="continue"/>
            <w:shd w:val="clear" w:color="auto" w:fill="D9D9D9"/>
          </w:tcPr>
          <w:p>
            <w:pPr>
              <w:spacing w:after="0"/>
              <w:rPr>
                <w:sz w:val="8"/>
                <w:szCs w:val="8"/>
                <w:color w:val="auto"/>
              </w:rPr>
            </w:pPr>
          </w:p>
        </w:tc>
        <w:tc>
          <w:tcPr>
            <w:tcW w:w="2460" w:type="dxa"/>
            <w:vAlign w:val="bottom"/>
            <w:shd w:val="clear" w:color="auto" w:fill="D9D9D9"/>
          </w:tcPr>
          <w:p>
            <w:pPr>
              <w:spacing w:after="0"/>
              <w:rPr>
                <w:sz w:val="8"/>
                <w:szCs w:val="8"/>
                <w:color w:val="auto"/>
              </w:rPr>
            </w:pPr>
          </w:p>
        </w:tc>
        <w:tc>
          <w:tcPr>
            <w:tcW w:w="162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7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Senior Vice President, Sales and</w:t>
            </w:r>
          </w:p>
        </w:tc>
        <w:tc>
          <w:tcPr>
            <w:tcW w:w="246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rPr>
              <w:t>2.5</w:t>
            </w:r>
          </w:p>
        </w:tc>
        <w:tc>
          <w:tcPr>
            <w:tcW w:w="162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18,600</w:t>
            </w:r>
          </w:p>
        </w:tc>
        <w:tc>
          <w:tcPr>
            <w:tcW w:w="0" w:type="dxa"/>
            <w:vAlign w:val="bottom"/>
          </w:tcPr>
          <w:p>
            <w:pPr>
              <w:spacing w:after="0"/>
              <w:rPr>
                <w:sz w:val="1"/>
                <w:szCs w:val="1"/>
                <w:color w:val="auto"/>
              </w:rPr>
            </w:pPr>
          </w:p>
        </w:tc>
      </w:tr>
      <w:tr>
        <w:trPr>
          <w:trHeight w:val="148"/>
        </w:trPr>
        <w:tc>
          <w:tcPr>
            <w:tcW w:w="2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Marketing</w:t>
            </w:r>
          </w:p>
        </w:tc>
        <w:tc>
          <w:tcPr>
            <w:tcW w:w="246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700" w:type="dxa"/>
            <w:vAlign w:val="bottom"/>
            <w:vMerge w:val="continue"/>
          </w:tcPr>
          <w:p>
            <w:pPr>
              <w:spacing w:after="0"/>
              <w:rPr>
                <w:sz w:val="7"/>
                <w:szCs w:val="7"/>
                <w:color w:val="auto"/>
              </w:rPr>
            </w:pPr>
          </w:p>
        </w:tc>
        <w:tc>
          <w:tcPr>
            <w:tcW w:w="24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700" w:type="dxa"/>
            <w:vAlign w:val="bottom"/>
            <w:shd w:val="clear" w:color="auto" w:fill="D9D9D9"/>
          </w:tcPr>
          <w:p>
            <w:pPr>
              <w:spacing w:after="0" w:line="180" w:lineRule="exact"/>
              <w:rPr>
                <w:sz w:val="20"/>
                <w:szCs w:val="20"/>
                <w:color w:val="auto"/>
              </w:rPr>
            </w:pPr>
            <w:r>
              <w:rPr>
                <w:rFonts w:ascii="Times New Roman" w:cs="Times New Roman" w:eastAsia="Times New Roman" w:hAnsi="Times New Roman"/>
                <w:sz w:val="18"/>
                <w:szCs w:val="18"/>
                <w:color w:val="auto"/>
              </w:rPr>
              <w:t>Senior Vice President and General</w:t>
            </w:r>
          </w:p>
        </w:tc>
        <w:tc>
          <w:tcPr>
            <w:tcW w:w="2460" w:type="dxa"/>
            <w:vAlign w:val="bottom"/>
            <w:vMerge w:val="restart"/>
            <w:shd w:val="clear" w:color="auto" w:fill="D9D9D9"/>
          </w:tcPr>
          <w:p>
            <w:pPr>
              <w:jc w:val="center"/>
              <w:ind w:right="170"/>
              <w:spacing w:after="0"/>
              <w:rPr>
                <w:sz w:val="20"/>
                <w:szCs w:val="20"/>
                <w:color w:val="auto"/>
              </w:rPr>
            </w:pPr>
            <w:r>
              <w:rPr>
                <w:rFonts w:ascii="Times New Roman" w:cs="Times New Roman" w:eastAsia="Times New Roman" w:hAnsi="Times New Roman"/>
                <w:sz w:val="18"/>
                <w:szCs w:val="18"/>
                <w:color w:val="auto"/>
              </w:rPr>
              <w:t>2.5</w:t>
            </w:r>
          </w:p>
        </w:tc>
        <w:tc>
          <w:tcPr>
            <w:tcW w:w="1620" w:type="dxa"/>
            <w:vAlign w:val="bottom"/>
            <w:vMerge w:val="restart"/>
            <w:shd w:val="clear" w:color="auto" w:fill="D9D9D9"/>
          </w:tcPr>
          <w:p>
            <w:pPr>
              <w:ind w:left="480"/>
              <w:spacing w:after="0"/>
              <w:rPr>
                <w:sz w:val="20"/>
                <w:szCs w:val="20"/>
                <w:color w:val="auto"/>
              </w:rPr>
            </w:pPr>
            <w:r>
              <w:rPr>
                <w:rFonts w:ascii="Times New Roman" w:cs="Times New Roman" w:eastAsia="Times New Roman" w:hAnsi="Times New Roman"/>
                <w:sz w:val="18"/>
                <w:szCs w:val="18"/>
                <w:color w:val="auto"/>
              </w:rPr>
              <w:t>18,600</w:t>
            </w:r>
          </w:p>
        </w:tc>
        <w:tc>
          <w:tcPr>
            <w:tcW w:w="0" w:type="dxa"/>
            <w:vAlign w:val="bottom"/>
          </w:tcPr>
          <w:p>
            <w:pPr>
              <w:spacing w:after="0"/>
              <w:rPr>
                <w:sz w:val="1"/>
                <w:szCs w:val="1"/>
                <w:color w:val="auto"/>
              </w:rPr>
            </w:pPr>
          </w:p>
        </w:tc>
      </w:tr>
      <w:tr>
        <w:trPr>
          <w:trHeight w:val="148"/>
        </w:trPr>
        <w:tc>
          <w:tcPr>
            <w:tcW w:w="2700" w:type="dxa"/>
            <w:vAlign w:val="bottom"/>
            <w:vMerge w:val="restart"/>
            <w:shd w:val="clear" w:color="auto" w:fill="D9D9D9"/>
          </w:tcPr>
          <w:p>
            <w:pPr>
              <w:spacing w:after="0"/>
              <w:rPr>
                <w:sz w:val="20"/>
                <w:szCs w:val="20"/>
                <w:color w:val="auto"/>
              </w:rPr>
            </w:pPr>
            <w:r>
              <w:rPr>
                <w:rFonts w:ascii="Times New Roman" w:cs="Times New Roman" w:eastAsia="Times New Roman" w:hAnsi="Times New Roman"/>
                <w:sz w:val="18"/>
                <w:szCs w:val="18"/>
                <w:color w:val="auto"/>
              </w:rPr>
              <w:t>Counsel</w:t>
            </w:r>
          </w:p>
        </w:tc>
        <w:tc>
          <w:tcPr>
            <w:tcW w:w="2460" w:type="dxa"/>
            <w:vAlign w:val="bottom"/>
            <w:vMerge w:val="continue"/>
            <w:shd w:val="clear" w:color="auto" w:fill="D9D9D9"/>
          </w:tcPr>
          <w:p>
            <w:pPr>
              <w:spacing w:after="0"/>
              <w:rPr>
                <w:sz w:val="12"/>
                <w:szCs w:val="12"/>
                <w:color w:val="auto"/>
              </w:rPr>
            </w:pPr>
          </w:p>
        </w:tc>
        <w:tc>
          <w:tcPr>
            <w:tcW w:w="1620" w:type="dxa"/>
            <w:vAlign w:val="bottom"/>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700" w:type="dxa"/>
            <w:vAlign w:val="bottom"/>
            <w:vMerge w:val="continue"/>
            <w:shd w:val="clear" w:color="auto" w:fill="D9D9D9"/>
          </w:tcPr>
          <w:p>
            <w:pPr>
              <w:spacing w:after="0"/>
              <w:rPr>
                <w:sz w:val="8"/>
                <w:szCs w:val="8"/>
                <w:color w:val="auto"/>
              </w:rPr>
            </w:pPr>
          </w:p>
        </w:tc>
        <w:tc>
          <w:tcPr>
            <w:tcW w:w="2460" w:type="dxa"/>
            <w:vAlign w:val="bottom"/>
            <w:shd w:val="clear" w:color="auto" w:fill="D9D9D9"/>
          </w:tcPr>
          <w:p>
            <w:pPr>
              <w:spacing w:after="0"/>
              <w:rPr>
                <w:sz w:val="8"/>
                <w:szCs w:val="8"/>
                <w:color w:val="auto"/>
              </w:rPr>
            </w:pPr>
          </w:p>
        </w:tc>
        <w:tc>
          <w:tcPr>
            <w:tcW w:w="162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36" w:lineRule="exact"/>
        <w:rPr>
          <w:sz w:val="20"/>
          <w:szCs w:val="20"/>
          <w:color w:val="auto"/>
        </w:rPr>
      </w:pPr>
    </w:p>
    <w:p>
      <w:pPr>
        <w:ind w:left="420" w:hanging="412"/>
        <w:spacing w:after="0"/>
        <w:tabs>
          <w:tab w:leader="none" w:pos="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executive officer stock ownership guidelines, the fair market value of the Company’s common stock is the average closing price</w:t>
      </w:r>
    </w:p>
    <w:p>
      <w:pPr>
        <w:spacing w:after="0" w:line="49" w:lineRule="exact"/>
        <w:rPr>
          <w:rFonts w:ascii="Times New Roman" w:cs="Times New Roman" w:eastAsia="Times New Roman" w:hAnsi="Times New Roman"/>
          <w:sz w:val="18"/>
          <w:szCs w:val="18"/>
          <w:color w:val="auto"/>
        </w:rPr>
      </w:pPr>
    </w:p>
    <w:p>
      <w:pPr>
        <w:ind w:left="26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of the Company’s common stock as reported on the Nasdaq Global Select Market (or if the common stock is not then traded on such market, such other market on which the common stock is traded) for the twelve (12) month period ending with the determination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Recoupment Policies</w:t>
      </w:r>
    </w:p>
    <w:p>
      <w:pPr>
        <w:spacing w:after="0" w:line="256"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In March 2022, the Company adopted an executive compensation recoupment policy (the “2022 Policy”) that applies to both cash and equity incentive compensation for executive officers. Under the 2022 Policy, if we are required to prepare an accounting restatement for one or more periods due to the material noncompliance of the Company with any financial reporting requirement under the U.S. federal securities laws, the Board or a committee of independent directors authorized by the Board will investigate the circumstances to determine whether an act or omission of a current or former executive officer, involving fraud or intentional misconduct, contributed to the circumstances resulting in the restatement. Following the investigation, we may require repayment of certain incentive-based compensation received by the executive officer in the three-year period preceding restatement.</w:t>
      </w:r>
    </w:p>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November 2023, the Company adopted a new executive compensation recovery policy (the “2023 Policy”) for purposes of complying with Section</w:t>
      </w:r>
    </w:p>
    <w:p>
      <w:pPr>
        <w:spacing w:after="0" w:line="5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10D of the Exchange Act and Nasdaq listing standards. The 2023 Policy provides that, in the event the Company is required to prepare an accounting restatement on or after October 2, 2023 (the “Effective Date”) due to the material noncompliance of the Company with any financial reporting requirement under the U.S. federal securities laws, the Company will act to recover the amount of incentive-based compensation received on or after the Effective Date, by its current and former Section 16 officers, as applicable, in excess of the amount of incentive-based compensation that would have been received had it been determined based on the restated amount, subject to limited exceptions. In the event that an accounting restatement is not covered by the 2023 Policy but is covered by the 2022 Policy, the 2022 Policy will apply. In the event that an accounting restatement could be covered by both the 2022 Policy and 2023 Policy, only the 2023 Policy will apply.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Prohibition on Hedging and Certain Other Transactions</w:t>
      </w:r>
    </w:p>
    <w:p>
      <w:pPr>
        <w:spacing w:after="0" w:line="256" w:lineRule="exact"/>
        <w:rPr>
          <w:sz w:val="20"/>
          <w:szCs w:val="20"/>
          <w:color w:val="auto"/>
        </w:rPr>
      </w:pPr>
    </w:p>
    <w:p>
      <w:pPr>
        <w:ind w:right="20" w:firstLine="389"/>
        <w:spacing w:after="0" w:line="329" w:lineRule="auto"/>
        <w:rPr>
          <w:sz w:val="20"/>
          <w:szCs w:val="20"/>
          <w:color w:val="auto"/>
        </w:rPr>
      </w:pPr>
      <w:r>
        <w:rPr>
          <w:rFonts w:ascii="Times New Roman" w:cs="Times New Roman" w:eastAsia="Times New Roman" w:hAnsi="Times New Roman"/>
          <w:sz w:val="18"/>
          <w:szCs w:val="18"/>
          <w:color w:val="auto"/>
        </w:rPr>
        <w:t>We prohibit our directors, officers, and employees (or any of their designees) from directly or indirectly engaging in the following transactions with respect to securities of the Company:</w:t>
      </w:r>
    </w:p>
    <w:p>
      <w:pPr>
        <w:spacing w:after="0" w:line="148"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short, including short sales “against the box”;</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buying or selling put or call options;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financial instruments (including prepaid variable forward contracts, equity swaps, collars, and exchange funds), or otherwise engaging</w:t>
      </w:r>
    </w:p>
    <w:p>
      <w:pPr>
        <w:spacing w:after="0" w:line="49" w:lineRule="exact"/>
        <w:rPr>
          <w:rFonts w:ascii="Times New Roman" w:cs="Times New Roman" w:eastAsia="Times New Roman" w:hAnsi="Times New Roman"/>
          <w:sz w:val="18"/>
          <w:szCs w:val="18"/>
          <w:color w:val="auto"/>
        </w:rPr>
      </w:pPr>
    </w:p>
    <w:p>
      <w:pPr>
        <w:ind w:left="6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that hedge or offset, or are designed to hedge or offset, any decrease in the market value of securities of the Company, whether through the use of traded securities, privately negotiated derivative securities, or synthetic financial instruments.</w:t>
      </w:r>
    </w:p>
    <w:p>
      <w:pPr>
        <w:spacing w:after="0" w:line="176" w:lineRule="exact"/>
        <w:rPr>
          <w:sz w:val="20"/>
          <w:szCs w:val="20"/>
          <w:color w:val="auto"/>
        </w:rPr>
      </w:pPr>
    </w:p>
    <w:p>
      <w:pPr>
        <w:jc w:val="both"/>
        <w:ind w:firstLine="389"/>
        <w:spacing w:after="0" w:line="313" w:lineRule="auto"/>
        <w:rPr>
          <w:sz w:val="20"/>
          <w:szCs w:val="20"/>
          <w:color w:val="auto"/>
        </w:rPr>
      </w:pPr>
      <w:r>
        <w:rPr>
          <w:rFonts w:ascii="Times New Roman" w:cs="Times New Roman" w:eastAsia="Times New Roman" w:hAnsi="Times New Roman"/>
          <w:sz w:val="18"/>
          <w:szCs w:val="18"/>
          <w:color w:val="auto"/>
        </w:rPr>
        <w:t>In addition, we prohibit our directors, officers, and employees from purchasing Company securities on margin, borrowing against Company securities held in a margin account, or pledging Company securities as collateral for a loan.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Internal Revenue Code Section 162(m)</w:t>
      </w:r>
    </w:p>
    <w:p>
      <w:pPr>
        <w:spacing w:after="0" w:line="256" w:lineRule="exact"/>
        <w:rPr>
          <w:sz w:val="20"/>
          <w:szCs w:val="20"/>
          <w:color w:val="auto"/>
        </w:rPr>
      </w:pPr>
    </w:p>
    <w:p>
      <w:pPr>
        <w:jc w:val="both"/>
        <w:ind w:firstLine="389"/>
        <w:spacing w:after="0" w:line="302" w:lineRule="auto"/>
        <w:rPr>
          <w:sz w:val="20"/>
          <w:szCs w:val="20"/>
          <w:color w:val="auto"/>
        </w:rPr>
      </w:pPr>
      <w:r>
        <w:rPr>
          <w:rFonts w:ascii="Times New Roman" w:cs="Times New Roman" w:eastAsia="Times New Roman" w:hAnsi="Times New Roman"/>
          <w:sz w:val="18"/>
          <w:szCs w:val="18"/>
          <w:color w:val="auto"/>
        </w:rPr>
        <w:t>For fiscal year 2023, the Company will be unable to deduct compensation in excess of $1 million paid to certain executive officers, as specified under Section 162(m) of the Internal Revenue Code (“IRC”). The Compensation Committee uses its judgment to authorize compensation payments that may be subject to the limit when the Compensation Committee believes such payments are appropriate and in the best interests of the Company and its stockholders.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b w:val="1"/>
          <w:bCs w:val="1"/>
          <w:color w:val="auto"/>
        </w:rPr>
        <w:t>Compensation Tables for Named Executive Officers</w:t>
      </w:r>
    </w:p>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270" w:lineRule="exact"/>
        <w:rPr>
          <w:sz w:val="20"/>
          <w:szCs w:val="20"/>
          <w:color w:val="auto"/>
        </w:rPr>
      </w:pPr>
    </w:p>
    <w:p>
      <w:pPr>
        <w:ind w:right="80" w:firstLine="389"/>
        <w:spacing w:after="0" w:line="329" w:lineRule="auto"/>
        <w:rPr>
          <w:sz w:val="20"/>
          <w:szCs w:val="20"/>
          <w:color w:val="auto"/>
        </w:rPr>
      </w:pPr>
      <w:r>
        <w:rPr>
          <w:rFonts w:ascii="Times New Roman" w:cs="Times New Roman" w:eastAsia="Times New Roman" w:hAnsi="Times New Roman"/>
          <w:sz w:val="18"/>
          <w:szCs w:val="18"/>
          <w:color w:val="auto"/>
        </w:rPr>
        <w:t>The following table summarizes compensation earned by, or awarded or paid to, our Named Executive Officers for fiscal year 2023, fiscal year 2022, and fiscal year 2021.</w:t>
      </w:r>
    </w:p>
    <w:tbl>
      <w:tblPr>
        <w:tblLayout w:type="fixed"/>
        <w:tblInd w:w="0" w:type="dxa"/>
        <w:tblCellMar>
          <w:top w:w="0" w:type="dxa"/>
          <w:left w:w="0" w:type="dxa"/>
          <w:bottom w:w="0" w:type="dxa"/>
          <w:right w:w="0" w:type="dxa"/>
        </w:tblCellMar>
      </w:tblPr>
      <w:tr>
        <w:trPr>
          <w:trHeight w:val="153"/>
        </w:trPr>
        <w:tc>
          <w:tcPr>
            <w:tcW w:w="3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20" w:type="dxa"/>
            <w:vAlign w:val="bottom"/>
            <w:vMerge w:val="restart"/>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20" w:type="dxa"/>
            <w:vAlign w:val="bottom"/>
          </w:tcPr>
          <w:p>
            <w:pPr>
              <w:jc w:val="center"/>
              <w:ind w:right="174"/>
              <w:spacing w:after="0" w:line="153" w:lineRule="exact"/>
              <w:rPr>
                <w:sz w:val="20"/>
                <w:szCs w:val="20"/>
                <w:color w:val="auto"/>
              </w:rPr>
            </w:pPr>
            <w:r>
              <w:rPr>
                <w:rFonts w:ascii="Times New Roman" w:cs="Times New Roman" w:eastAsia="Times New Roman" w:hAnsi="Times New Roman"/>
                <w:sz w:val="14"/>
                <w:szCs w:val="14"/>
                <w:b w:val="1"/>
                <w:bCs w:val="1"/>
                <w:color w:val="auto"/>
              </w:rPr>
              <w:t>Non-Equity</w:t>
            </w:r>
          </w:p>
        </w:tc>
        <w:tc>
          <w:tcPr>
            <w:tcW w:w="1520" w:type="dxa"/>
            <w:vAlign w:val="bottom"/>
            <w:vMerge w:val="restart"/>
          </w:tcPr>
          <w:p>
            <w:pPr>
              <w:jc w:val="center"/>
              <w:ind w:right="293"/>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8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20" w:type="dxa"/>
            <w:vAlign w:val="bottom"/>
            <w:vMerge w:val="continue"/>
          </w:tcPr>
          <w:p>
            <w:pPr>
              <w:spacing w:after="0"/>
              <w:rPr>
                <w:sz w:val="11"/>
                <w:szCs w:val="11"/>
                <w:color w:val="auto"/>
              </w:rPr>
            </w:pPr>
          </w:p>
        </w:tc>
        <w:tc>
          <w:tcPr>
            <w:tcW w:w="1420" w:type="dxa"/>
            <w:vAlign w:val="bottom"/>
          </w:tcPr>
          <w:p>
            <w:pPr>
              <w:jc w:val="center"/>
              <w:ind w:right="154"/>
              <w:spacing w:after="0" w:line="135"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520" w:type="dxa"/>
            <w:vAlign w:val="bottom"/>
            <w:vMerge w:val="continue"/>
          </w:tcPr>
          <w:p>
            <w:pPr>
              <w:spacing w:after="0"/>
              <w:rPr>
                <w:sz w:val="11"/>
                <w:szCs w:val="11"/>
                <w:color w:val="auto"/>
              </w:rPr>
            </w:pPr>
          </w:p>
        </w:tc>
        <w:tc>
          <w:tcPr>
            <w:tcW w:w="110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20" w:type="dxa"/>
            <w:vAlign w:val="bottom"/>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420" w:type="dxa"/>
            <w:vAlign w:val="bottom"/>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520" w:type="dxa"/>
            <w:vAlign w:val="bottom"/>
          </w:tcPr>
          <w:p>
            <w:pPr>
              <w:jc w:val="center"/>
              <w:ind w:right="293"/>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3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8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42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($)(2)</w:t>
            </w:r>
          </w:p>
        </w:tc>
        <w:tc>
          <w:tcPr>
            <w:tcW w:w="1520" w:type="dxa"/>
            <w:vAlign w:val="bottom"/>
          </w:tcPr>
          <w:p>
            <w:pPr>
              <w:jc w:val="center"/>
              <w:ind w:right="293"/>
              <w:spacing w:after="0"/>
              <w:rPr>
                <w:sz w:val="20"/>
                <w:szCs w:val="20"/>
                <w:color w:val="auto"/>
              </w:rPr>
            </w:pPr>
            <w:r>
              <w:rPr>
                <w:rFonts w:ascii="Times New Roman" w:cs="Times New Roman" w:eastAsia="Times New Roman" w:hAnsi="Times New Roman"/>
                <w:sz w:val="14"/>
                <w:szCs w:val="14"/>
                <w:b w:val="1"/>
                <w:bCs w:val="1"/>
                <w:color w:val="auto"/>
              </w:rPr>
              <w:t>($)(3)</w:t>
            </w:r>
          </w:p>
        </w:tc>
        <w:tc>
          <w:tcPr>
            <w:tcW w:w="11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Liam K. Griffin</w:t>
            </w:r>
          </w:p>
        </w:tc>
        <w:tc>
          <w:tcPr>
            <w:tcW w:w="13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2023</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1,170,502</w:t>
            </w: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14,554,926</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1,509,604</w:t>
            </w:r>
          </w:p>
        </w:tc>
        <w:tc>
          <w:tcPr>
            <w:tcW w:w="15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26,404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17,261,436</w:t>
            </w:r>
          </w:p>
        </w:tc>
        <w:tc>
          <w:tcPr>
            <w:tcW w:w="0" w:type="dxa"/>
            <w:vAlign w:val="bottom"/>
          </w:tcPr>
          <w:p>
            <w:pPr>
              <w:spacing w:after="0"/>
              <w:rPr>
                <w:sz w:val="1"/>
                <w:szCs w:val="1"/>
                <w:color w:val="auto"/>
              </w:rPr>
            </w:pPr>
          </w:p>
        </w:tc>
      </w:tr>
      <w:tr>
        <w:trPr>
          <w:trHeight w:val="229"/>
        </w:trPr>
        <w:tc>
          <w:tcPr>
            <w:tcW w:w="332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8"/>
                <w:szCs w:val="18"/>
                <w:color w:val="auto"/>
              </w:rPr>
              <w:t>Chairman, Chief Executive Officer</w:t>
            </w:r>
          </w:p>
        </w:tc>
        <w:tc>
          <w:tcPr>
            <w:tcW w:w="1340" w:type="dxa"/>
            <w:vAlign w:val="bottom"/>
            <w:shd w:val="clear" w:color="auto" w:fill="DBDBDB"/>
          </w:tcPr>
          <w:p>
            <w:pPr>
              <w:jc w:val="right"/>
              <w:ind w:right="111"/>
              <w:spacing w:after="0"/>
              <w:rPr>
                <w:sz w:val="20"/>
                <w:szCs w:val="20"/>
                <w:color w:val="auto"/>
              </w:rPr>
            </w:pPr>
            <w:r>
              <w:rPr>
                <w:rFonts w:ascii="Times New Roman" w:cs="Times New Roman" w:eastAsia="Times New Roman" w:hAnsi="Times New Roman"/>
                <w:sz w:val="18"/>
                <w:szCs w:val="18"/>
                <w:color w:val="auto"/>
              </w:rPr>
              <w:t>2022</w:t>
            </w:r>
          </w:p>
        </w:tc>
        <w:tc>
          <w:tcPr>
            <w:tcW w:w="1180" w:type="dxa"/>
            <w:vAlign w:val="bottom"/>
            <w:shd w:val="clear" w:color="auto" w:fill="DBDBDB"/>
          </w:tcPr>
          <w:p>
            <w:pPr>
              <w:jc w:val="right"/>
              <w:ind w:right="112"/>
              <w:spacing w:after="0"/>
              <w:rPr>
                <w:sz w:val="20"/>
                <w:szCs w:val="20"/>
                <w:color w:val="auto"/>
              </w:rPr>
            </w:pPr>
            <w:r>
              <w:rPr>
                <w:rFonts w:ascii="Times New Roman" w:cs="Times New Roman" w:eastAsia="Times New Roman" w:hAnsi="Times New Roman"/>
                <w:sz w:val="18"/>
                <w:szCs w:val="18"/>
                <w:color w:val="auto"/>
              </w:rPr>
              <w:t>1,124,289</w:t>
            </w:r>
          </w:p>
        </w:tc>
        <w:tc>
          <w:tcPr>
            <w:tcW w:w="1220" w:type="dxa"/>
            <w:vAlign w:val="bottom"/>
            <w:shd w:val="clear" w:color="auto" w:fill="DBDBDB"/>
          </w:tcPr>
          <w:p>
            <w:pPr>
              <w:jc w:val="right"/>
              <w:ind w:right="53"/>
              <w:spacing w:after="0"/>
              <w:rPr>
                <w:sz w:val="20"/>
                <w:szCs w:val="20"/>
                <w:color w:val="auto"/>
              </w:rPr>
            </w:pPr>
            <w:r>
              <w:rPr>
                <w:rFonts w:ascii="Times New Roman" w:cs="Times New Roman" w:eastAsia="Times New Roman" w:hAnsi="Times New Roman"/>
                <w:sz w:val="18"/>
                <w:szCs w:val="18"/>
                <w:color w:val="auto"/>
              </w:rPr>
              <w:t>13,087,793</w:t>
            </w:r>
          </w:p>
        </w:tc>
        <w:tc>
          <w:tcPr>
            <w:tcW w:w="1420" w:type="dxa"/>
            <w:vAlign w:val="bottom"/>
            <w:shd w:val="clear" w:color="auto" w:fill="DBDBDB"/>
          </w:tcPr>
          <w:p>
            <w:pPr>
              <w:jc w:val="right"/>
              <w:ind w:right="54"/>
              <w:spacing w:after="0"/>
              <w:rPr>
                <w:sz w:val="20"/>
                <w:szCs w:val="20"/>
                <w:color w:val="auto"/>
              </w:rPr>
            </w:pPr>
            <w:r>
              <w:rPr>
                <w:rFonts w:ascii="Times New Roman" w:cs="Times New Roman" w:eastAsia="Times New Roman" w:hAnsi="Times New Roman"/>
                <w:sz w:val="18"/>
                <w:szCs w:val="18"/>
                <w:color w:val="auto"/>
              </w:rPr>
              <w:t>2,423,906</w:t>
            </w:r>
          </w:p>
        </w:tc>
        <w:tc>
          <w:tcPr>
            <w:tcW w:w="1520" w:type="dxa"/>
            <w:vAlign w:val="bottom"/>
            <w:shd w:val="clear" w:color="auto" w:fill="DBDBDB"/>
          </w:tcPr>
          <w:p>
            <w:pPr>
              <w:jc w:val="right"/>
              <w:ind w:right="173"/>
              <w:spacing w:after="0"/>
              <w:rPr>
                <w:sz w:val="20"/>
                <w:szCs w:val="20"/>
                <w:color w:val="auto"/>
              </w:rPr>
            </w:pPr>
            <w:r>
              <w:rPr>
                <w:rFonts w:ascii="Times New Roman" w:cs="Times New Roman" w:eastAsia="Times New Roman" w:hAnsi="Times New Roman"/>
                <w:sz w:val="18"/>
                <w:szCs w:val="18"/>
                <w:color w:val="auto"/>
              </w:rPr>
              <w:t>31,174</w:t>
            </w: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16,667,162</w:t>
            </w:r>
          </w:p>
        </w:tc>
        <w:tc>
          <w:tcPr>
            <w:tcW w:w="0" w:type="dxa"/>
            <w:vAlign w:val="bottom"/>
          </w:tcPr>
          <w:p>
            <w:pPr>
              <w:spacing w:after="0"/>
              <w:rPr>
                <w:sz w:val="1"/>
                <w:szCs w:val="1"/>
                <w:color w:val="auto"/>
              </w:rPr>
            </w:pPr>
          </w:p>
        </w:tc>
      </w:tr>
      <w:tr>
        <w:trPr>
          <w:trHeight w:val="230"/>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President</w:t>
            </w:r>
          </w:p>
        </w:tc>
        <w:tc>
          <w:tcPr>
            <w:tcW w:w="13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2021</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1,070,223</w:t>
            </w: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11,612,745</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3,440,000</w:t>
            </w:r>
          </w:p>
        </w:tc>
        <w:tc>
          <w:tcPr>
            <w:tcW w:w="15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27,453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16,150,421</w:t>
            </w:r>
          </w:p>
        </w:tc>
        <w:tc>
          <w:tcPr>
            <w:tcW w:w="0" w:type="dxa"/>
            <w:vAlign w:val="bottom"/>
          </w:tcPr>
          <w:p>
            <w:pPr>
              <w:spacing w:after="0"/>
              <w:rPr>
                <w:sz w:val="1"/>
                <w:szCs w:val="1"/>
                <w:color w:val="auto"/>
              </w:rPr>
            </w:pPr>
          </w:p>
        </w:tc>
      </w:tr>
      <w:tr>
        <w:trPr>
          <w:trHeight w:val="229"/>
        </w:trPr>
        <w:tc>
          <w:tcPr>
            <w:tcW w:w="33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Kris Sennesael</w:t>
            </w:r>
          </w:p>
        </w:tc>
        <w:tc>
          <w:tcPr>
            <w:tcW w:w="1340" w:type="dxa"/>
            <w:vAlign w:val="bottom"/>
            <w:shd w:val="clear" w:color="auto" w:fill="DBDBDB"/>
          </w:tcPr>
          <w:p>
            <w:pPr>
              <w:jc w:val="right"/>
              <w:ind w:right="111"/>
              <w:spacing w:after="0"/>
              <w:rPr>
                <w:sz w:val="20"/>
                <w:szCs w:val="20"/>
                <w:color w:val="auto"/>
              </w:rPr>
            </w:pPr>
            <w:r>
              <w:rPr>
                <w:rFonts w:ascii="Times New Roman" w:cs="Times New Roman" w:eastAsia="Times New Roman" w:hAnsi="Times New Roman"/>
                <w:sz w:val="18"/>
                <w:szCs w:val="18"/>
                <w:color w:val="auto"/>
              </w:rPr>
              <w:t>2023</w:t>
            </w:r>
          </w:p>
        </w:tc>
        <w:tc>
          <w:tcPr>
            <w:tcW w:w="1180" w:type="dxa"/>
            <w:vAlign w:val="bottom"/>
            <w:shd w:val="clear" w:color="auto" w:fill="DBDBDB"/>
          </w:tcPr>
          <w:p>
            <w:pPr>
              <w:jc w:val="right"/>
              <w:ind w:right="112"/>
              <w:spacing w:after="0"/>
              <w:rPr>
                <w:sz w:val="20"/>
                <w:szCs w:val="20"/>
                <w:color w:val="auto"/>
              </w:rPr>
            </w:pPr>
            <w:r>
              <w:rPr>
                <w:rFonts w:ascii="Times New Roman" w:cs="Times New Roman" w:eastAsia="Times New Roman" w:hAnsi="Times New Roman"/>
                <w:sz w:val="18"/>
                <w:szCs w:val="18"/>
                <w:color w:val="auto"/>
              </w:rPr>
              <w:t>604,200</w:t>
            </w:r>
          </w:p>
        </w:tc>
        <w:tc>
          <w:tcPr>
            <w:tcW w:w="1220" w:type="dxa"/>
            <w:vAlign w:val="bottom"/>
            <w:shd w:val="clear" w:color="auto" w:fill="DBDBDB"/>
          </w:tcPr>
          <w:p>
            <w:pPr>
              <w:jc w:val="right"/>
              <w:ind w:right="53"/>
              <w:spacing w:after="0"/>
              <w:rPr>
                <w:sz w:val="20"/>
                <w:szCs w:val="20"/>
                <w:color w:val="auto"/>
              </w:rPr>
            </w:pPr>
            <w:r>
              <w:rPr>
                <w:rFonts w:ascii="Times New Roman" w:cs="Times New Roman" w:eastAsia="Times New Roman" w:hAnsi="Times New Roman"/>
                <w:sz w:val="18"/>
                <w:szCs w:val="18"/>
                <w:color w:val="auto"/>
              </w:rPr>
              <w:t>4,142,435</w:t>
            </w:r>
          </w:p>
        </w:tc>
        <w:tc>
          <w:tcPr>
            <w:tcW w:w="1420" w:type="dxa"/>
            <w:vAlign w:val="bottom"/>
            <w:shd w:val="clear" w:color="auto" w:fill="DBDBDB"/>
          </w:tcPr>
          <w:p>
            <w:pPr>
              <w:jc w:val="right"/>
              <w:ind w:right="54"/>
              <w:spacing w:after="0"/>
              <w:rPr>
                <w:sz w:val="20"/>
                <w:szCs w:val="20"/>
                <w:color w:val="auto"/>
              </w:rPr>
            </w:pPr>
            <w:r>
              <w:rPr>
                <w:rFonts w:ascii="Times New Roman" w:cs="Times New Roman" w:eastAsia="Times New Roman" w:hAnsi="Times New Roman"/>
                <w:sz w:val="18"/>
                <w:szCs w:val="18"/>
                <w:color w:val="auto"/>
              </w:rPr>
              <w:t>486,606</w:t>
            </w:r>
          </w:p>
        </w:tc>
        <w:tc>
          <w:tcPr>
            <w:tcW w:w="1520" w:type="dxa"/>
            <w:vAlign w:val="bottom"/>
            <w:shd w:val="clear" w:color="auto" w:fill="DBDBDB"/>
          </w:tcPr>
          <w:p>
            <w:pPr>
              <w:jc w:val="right"/>
              <w:ind w:right="173"/>
              <w:spacing w:after="0"/>
              <w:rPr>
                <w:sz w:val="20"/>
                <w:szCs w:val="20"/>
                <w:color w:val="auto"/>
              </w:rPr>
            </w:pPr>
            <w:r>
              <w:rPr>
                <w:rFonts w:ascii="Times New Roman" w:cs="Times New Roman" w:eastAsia="Times New Roman" w:hAnsi="Times New Roman"/>
                <w:sz w:val="18"/>
                <w:szCs w:val="18"/>
                <w:color w:val="auto"/>
              </w:rPr>
              <w:t>20,921</w:t>
            </w: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5,254,162</w:t>
            </w:r>
          </w:p>
        </w:tc>
        <w:tc>
          <w:tcPr>
            <w:tcW w:w="0" w:type="dxa"/>
            <w:vAlign w:val="bottom"/>
          </w:tcPr>
          <w:p>
            <w:pPr>
              <w:spacing w:after="0"/>
              <w:rPr>
                <w:sz w:val="1"/>
                <w:szCs w:val="1"/>
                <w:color w:val="auto"/>
              </w:rPr>
            </w:pPr>
          </w:p>
        </w:tc>
      </w:tr>
      <w:tr>
        <w:trPr>
          <w:trHeight w:val="230"/>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and</w:t>
            </w:r>
          </w:p>
        </w:tc>
        <w:tc>
          <w:tcPr>
            <w:tcW w:w="13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2022</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585,092</w:t>
            </w: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4,131,556</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788,306</w:t>
            </w:r>
          </w:p>
        </w:tc>
        <w:tc>
          <w:tcPr>
            <w:tcW w:w="15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17,384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5,522,338</w:t>
            </w:r>
          </w:p>
        </w:tc>
        <w:tc>
          <w:tcPr>
            <w:tcW w:w="0" w:type="dxa"/>
            <w:vAlign w:val="bottom"/>
          </w:tcPr>
          <w:p>
            <w:pPr>
              <w:spacing w:after="0"/>
              <w:rPr>
                <w:sz w:val="1"/>
                <w:szCs w:val="1"/>
                <w:color w:val="auto"/>
              </w:rPr>
            </w:pPr>
          </w:p>
        </w:tc>
      </w:tr>
      <w:tr>
        <w:trPr>
          <w:trHeight w:val="229"/>
        </w:trPr>
        <w:tc>
          <w:tcPr>
            <w:tcW w:w="332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1340" w:type="dxa"/>
            <w:vAlign w:val="bottom"/>
            <w:shd w:val="clear" w:color="auto" w:fill="DBDBDB"/>
          </w:tcPr>
          <w:p>
            <w:pPr>
              <w:jc w:val="right"/>
              <w:ind w:right="111"/>
              <w:spacing w:after="0"/>
              <w:rPr>
                <w:sz w:val="20"/>
                <w:szCs w:val="20"/>
                <w:color w:val="auto"/>
              </w:rPr>
            </w:pPr>
            <w:r>
              <w:rPr>
                <w:rFonts w:ascii="Times New Roman" w:cs="Times New Roman" w:eastAsia="Times New Roman" w:hAnsi="Times New Roman"/>
                <w:sz w:val="18"/>
                <w:szCs w:val="18"/>
                <w:color w:val="auto"/>
              </w:rPr>
              <w:t>2021</w:t>
            </w:r>
          </w:p>
        </w:tc>
        <w:tc>
          <w:tcPr>
            <w:tcW w:w="1180" w:type="dxa"/>
            <w:vAlign w:val="bottom"/>
            <w:shd w:val="clear" w:color="auto" w:fill="DBDBDB"/>
          </w:tcPr>
          <w:p>
            <w:pPr>
              <w:jc w:val="right"/>
              <w:ind w:right="112"/>
              <w:spacing w:after="0"/>
              <w:rPr>
                <w:sz w:val="20"/>
                <w:szCs w:val="20"/>
                <w:color w:val="auto"/>
              </w:rPr>
            </w:pPr>
            <w:r>
              <w:rPr>
                <w:rFonts w:ascii="Times New Roman" w:cs="Times New Roman" w:eastAsia="Times New Roman" w:hAnsi="Times New Roman"/>
                <w:sz w:val="18"/>
                <w:szCs w:val="18"/>
                <w:color w:val="auto"/>
              </w:rPr>
              <w:t>556,885</w:t>
            </w:r>
          </w:p>
        </w:tc>
        <w:tc>
          <w:tcPr>
            <w:tcW w:w="1220" w:type="dxa"/>
            <w:vAlign w:val="bottom"/>
            <w:shd w:val="clear" w:color="auto" w:fill="DBDBDB"/>
          </w:tcPr>
          <w:p>
            <w:pPr>
              <w:jc w:val="right"/>
              <w:ind w:right="53"/>
              <w:spacing w:after="0"/>
              <w:rPr>
                <w:sz w:val="20"/>
                <w:szCs w:val="20"/>
                <w:color w:val="auto"/>
              </w:rPr>
            </w:pPr>
            <w:r>
              <w:rPr>
                <w:rFonts w:ascii="Times New Roman" w:cs="Times New Roman" w:eastAsia="Times New Roman" w:hAnsi="Times New Roman"/>
                <w:sz w:val="18"/>
                <w:szCs w:val="18"/>
                <w:color w:val="auto"/>
              </w:rPr>
              <w:t>3,589,223</w:t>
            </w:r>
          </w:p>
        </w:tc>
        <w:tc>
          <w:tcPr>
            <w:tcW w:w="1420" w:type="dxa"/>
            <w:vAlign w:val="bottom"/>
            <w:shd w:val="clear" w:color="auto" w:fill="DBDBDB"/>
          </w:tcPr>
          <w:p>
            <w:pPr>
              <w:jc w:val="right"/>
              <w:ind w:right="54"/>
              <w:spacing w:after="0"/>
              <w:rPr>
                <w:sz w:val="20"/>
                <w:szCs w:val="20"/>
                <w:color w:val="auto"/>
              </w:rPr>
            </w:pPr>
            <w:r>
              <w:rPr>
                <w:rFonts w:ascii="Times New Roman" w:cs="Times New Roman" w:eastAsia="Times New Roman" w:hAnsi="Times New Roman"/>
                <w:sz w:val="18"/>
                <w:szCs w:val="18"/>
                <w:color w:val="auto"/>
              </w:rPr>
              <w:t>1,120,000</w:t>
            </w:r>
          </w:p>
        </w:tc>
        <w:tc>
          <w:tcPr>
            <w:tcW w:w="1520" w:type="dxa"/>
            <w:vAlign w:val="bottom"/>
            <w:shd w:val="clear" w:color="auto" w:fill="DBDBDB"/>
          </w:tcPr>
          <w:p>
            <w:pPr>
              <w:jc w:val="right"/>
              <w:ind w:right="173"/>
              <w:spacing w:after="0"/>
              <w:rPr>
                <w:sz w:val="20"/>
                <w:szCs w:val="20"/>
                <w:color w:val="auto"/>
              </w:rPr>
            </w:pPr>
            <w:r>
              <w:rPr>
                <w:rFonts w:ascii="Times New Roman" w:cs="Times New Roman" w:eastAsia="Times New Roman" w:hAnsi="Times New Roman"/>
                <w:sz w:val="18"/>
                <w:szCs w:val="18"/>
                <w:color w:val="auto"/>
              </w:rPr>
              <w:t>15,203</w:t>
            </w: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5,281,311</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Reza Kasnavi(4)</w:t>
            </w:r>
          </w:p>
        </w:tc>
        <w:tc>
          <w:tcPr>
            <w:tcW w:w="13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2023</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574,100</w:t>
            </w: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4,377,587</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370,013</w:t>
            </w:r>
          </w:p>
        </w:tc>
        <w:tc>
          <w:tcPr>
            <w:tcW w:w="15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35,936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5,357,636</w:t>
            </w:r>
          </w:p>
        </w:tc>
        <w:tc>
          <w:tcPr>
            <w:tcW w:w="0" w:type="dxa"/>
            <w:vAlign w:val="bottom"/>
          </w:tcPr>
          <w:p>
            <w:pPr>
              <w:spacing w:after="0"/>
              <w:rPr>
                <w:sz w:val="1"/>
                <w:szCs w:val="1"/>
                <w:color w:val="auto"/>
              </w:rPr>
            </w:pPr>
          </w:p>
        </w:tc>
      </w:tr>
      <w:tr>
        <w:trPr>
          <w:trHeight w:val="230"/>
        </w:trPr>
        <w:tc>
          <w:tcPr>
            <w:tcW w:w="332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8"/>
                <w:szCs w:val="18"/>
                <w:color w:val="auto"/>
              </w:rPr>
              <w:t>Senior Vice President,</w:t>
            </w:r>
          </w:p>
        </w:tc>
        <w:tc>
          <w:tcPr>
            <w:tcW w:w="1340" w:type="dxa"/>
            <w:vAlign w:val="bottom"/>
            <w:shd w:val="clear" w:color="auto" w:fill="DBDBDB"/>
          </w:tcPr>
          <w:p>
            <w:pPr>
              <w:jc w:val="right"/>
              <w:ind w:right="111"/>
              <w:spacing w:after="0"/>
              <w:rPr>
                <w:sz w:val="20"/>
                <w:szCs w:val="20"/>
                <w:color w:val="auto"/>
              </w:rPr>
            </w:pPr>
            <w:r>
              <w:rPr>
                <w:rFonts w:ascii="Times New Roman" w:cs="Times New Roman" w:eastAsia="Times New Roman" w:hAnsi="Times New Roman"/>
                <w:sz w:val="18"/>
                <w:szCs w:val="18"/>
                <w:color w:val="auto"/>
              </w:rPr>
              <w:t>2022</w:t>
            </w:r>
          </w:p>
        </w:tc>
        <w:tc>
          <w:tcPr>
            <w:tcW w:w="1180" w:type="dxa"/>
            <w:vAlign w:val="bottom"/>
            <w:shd w:val="clear" w:color="auto" w:fill="DBDBDB"/>
          </w:tcPr>
          <w:p>
            <w:pPr>
              <w:jc w:val="right"/>
              <w:ind w:right="112"/>
              <w:spacing w:after="0"/>
              <w:rPr>
                <w:sz w:val="20"/>
                <w:szCs w:val="20"/>
                <w:color w:val="auto"/>
              </w:rPr>
            </w:pPr>
            <w:r>
              <w:rPr>
                <w:rFonts w:ascii="Times New Roman" w:cs="Times New Roman" w:eastAsia="Times New Roman" w:hAnsi="Times New Roman"/>
                <w:sz w:val="18"/>
                <w:szCs w:val="18"/>
                <w:color w:val="auto"/>
              </w:rPr>
              <w:t>553,677</w:t>
            </w:r>
          </w:p>
        </w:tc>
        <w:tc>
          <w:tcPr>
            <w:tcW w:w="1220" w:type="dxa"/>
            <w:vAlign w:val="bottom"/>
            <w:shd w:val="clear" w:color="auto" w:fill="DBDBDB"/>
          </w:tcPr>
          <w:p>
            <w:pPr>
              <w:jc w:val="right"/>
              <w:ind w:right="53"/>
              <w:spacing w:after="0"/>
              <w:rPr>
                <w:sz w:val="20"/>
                <w:szCs w:val="20"/>
                <w:color w:val="auto"/>
              </w:rPr>
            </w:pPr>
            <w:r>
              <w:rPr>
                <w:rFonts w:ascii="Times New Roman" w:cs="Times New Roman" w:eastAsia="Times New Roman" w:hAnsi="Times New Roman"/>
                <w:sz w:val="18"/>
                <w:szCs w:val="18"/>
                <w:color w:val="auto"/>
              </w:rPr>
              <w:t>4,013,570</w:t>
            </w:r>
          </w:p>
        </w:tc>
        <w:tc>
          <w:tcPr>
            <w:tcW w:w="1420" w:type="dxa"/>
            <w:vAlign w:val="bottom"/>
            <w:shd w:val="clear" w:color="auto" w:fill="DBDBDB"/>
          </w:tcPr>
          <w:p>
            <w:pPr>
              <w:jc w:val="right"/>
              <w:ind w:right="54"/>
              <w:spacing w:after="0"/>
              <w:rPr>
                <w:sz w:val="20"/>
                <w:szCs w:val="20"/>
                <w:color w:val="auto"/>
              </w:rPr>
            </w:pPr>
            <w:r>
              <w:rPr>
                <w:rFonts w:ascii="Times New Roman" w:cs="Times New Roman" w:eastAsia="Times New Roman" w:hAnsi="Times New Roman"/>
                <w:sz w:val="18"/>
                <w:szCs w:val="18"/>
                <w:color w:val="auto"/>
              </w:rPr>
              <w:t>597,396</w:t>
            </w:r>
          </w:p>
        </w:tc>
        <w:tc>
          <w:tcPr>
            <w:tcW w:w="1520" w:type="dxa"/>
            <w:vAlign w:val="bottom"/>
            <w:shd w:val="clear" w:color="auto" w:fill="DBDBDB"/>
          </w:tcPr>
          <w:p>
            <w:pPr>
              <w:jc w:val="right"/>
              <w:ind w:right="173"/>
              <w:spacing w:after="0"/>
              <w:rPr>
                <w:sz w:val="20"/>
                <w:szCs w:val="20"/>
                <w:color w:val="auto"/>
              </w:rPr>
            </w:pPr>
            <w:r>
              <w:rPr>
                <w:rFonts w:ascii="Times New Roman" w:cs="Times New Roman" w:eastAsia="Times New Roman" w:hAnsi="Times New Roman"/>
                <w:sz w:val="18"/>
                <w:szCs w:val="18"/>
                <w:color w:val="auto"/>
              </w:rPr>
              <w:t>33,910</w:t>
            </w: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5,198,553</w:t>
            </w:r>
          </w:p>
        </w:tc>
        <w:tc>
          <w:tcPr>
            <w:tcW w:w="0" w:type="dxa"/>
            <w:vAlign w:val="bottom"/>
          </w:tcPr>
          <w:p>
            <w:pPr>
              <w:spacing w:after="0"/>
              <w:rPr>
                <w:sz w:val="1"/>
                <w:szCs w:val="1"/>
                <w:color w:val="auto"/>
              </w:rPr>
            </w:pPr>
          </w:p>
        </w:tc>
      </w:tr>
      <w:tr>
        <w:trPr>
          <w:trHeight w:val="229"/>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and Manufacturing</w:t>
            </w:r>
          </w:p>
        </w:tc>
        <w:tc>
          <w:tcPr>
            <w:tcW w:w="1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Carlos S. Bori</w:t>
            </w:r>
          </w:p>
        </w:tc>
        <w:tc>
          <w:tcPr>
            <w:tcW w:w="1340" w:type="dxa"/>
            <w:vAlign w:val="bottom"/>
            <w:shd w:val="clear" w:color="auto" w:fill="DBDBDB"/>
          </w:tcPr>
          <w:p>
            <w:pPr>
              <w:jc w:val="right"/>
              <w:ind w:right="111"/>
              <w:spacing w:after="0"/>
              <w:rPr>
                <w:sz w:val="20"/>
                <w:szCs w:val="20"/>
                <w:color w:val="auto"/>
              </w:rPr>
            </w:pPr>
            <w:r>
              <w:rPr>
                <w:rFonts w:ascii="Times New Roman" w:cs="Times New Roman" w:eastAsia="Times New Roman" w:hAnsi="Times New Roman"/>
                <w:sz w:val="18"/>
                <w:szCs w:val="18"/>
                <w:color w:val="auto"/>
              </w:rPr>
              <w:t>2023</w:t>
            </w:r>
          </w:p>
        </w:tc>
        <w:tc>
          <w:tcPr>
            <w:tcW w:w="1180" w:type="dxa"/>
            <w:vAlign w:val="bottom"/>
            <w:shd w:val="clear" w:color="auto" w:fill="DBDBDB"/>
          </w:tcPr>
          <w:p>
            <w:pPr>
              <w:jc w:val="right"/>
              <w:ind w:right="112"/>
              <w:spacing w:after="0"/>
              <w:rPr>
                <w:sz w:val="20"/>
                <w:szCs w:val="20"/>
                <w:color w:val="auto"/>
              </w:rPr>
            </w:pPr>
            <w:r>
              <w:rPr>
                <w:rFonts w:ascii="Times New Roman" w:cs="Times New Roman" w:eastAsia="Times New Roman" w:hAnsi="Times New Roman"/>
                <w:sz w:val="18"/>
                <w:szCs w:val="18"/>
                <w:color w:val="auto"/>
              </w:rPr>
              <w:t>538,900</w:t>
            </w:r>
          </w:p>
        </w:tc>
        <w:tc>
          <w:tcPr>
            <w:tcW w:w="1220" w:type="dxa"/>
            <w:vAlign w:val="bottom"/>
            <w:shd w:val="clear" w:color="auto" w:fill="DBDBDB"/>
          </w:tcPr>
          <w:p>
            <w:pPr>
              <w:jc w:val="right"/>
              <w:ind w:right="53"/>
              <w:spacing w:after="0"/>
              <w:rPr>
                <w:sz w:val="20"/>
                <w:szCs w:val="20"/>
                <w:color w:val="auto"/>
              </w:rPr>
            </w:pPr>
            <w:r>
              <w:rPr>
                <w:rFonts w:ascii="Times New Roman" w:cs="Times New Roman" w:eastAsia="Times New Roman" w:hAnsi="Times New Roman"/>
                <w:sz w:val="18"/>
                <w:szCs w:val="18"/>
                <w:color w:val="auto"/>
              </w:rPr>
              <w:t>4,377,587</w:t>
            </w:r>
          </w:p>
        </w:tc>
        <w:tc>
          <w:tcPr>
            <w:tcW w:w="1420" w:type="dxa"/>
            <w:vAlign w:val="bottom"/>
            <w:shd w:val="clear" w:color="auto" w:fill="DBDBDB"/>
          </w:tcPr>
          <w:p>
            <w:pPr>
              <w:jc w:val="right"/>
              <w:ind w:right="54"/>
              <w:spacing w:after="0"/>
              <w:rPr>
                <w:sz w:val="20"/>
                <w:szCs w:val="20"/>
                <w:color w:val="auto"/>
              </w:rPr>
            </w:pPr>
            <w:r>
              <w:rPr>
                <w:rFonts w:ascii="Times New Roman" w:cs="Times New Roman" w:eastAsia="Times New Roman" w:hAnsi="Times New Roman"/>
                <w:sz w:val="18"/>
                <w:szCs w:val="18"/>
                <w:color w:val="auto"/>
              </w:rPr>
              <w:t>347,530</w:t>
            </w:r>
          </w:p>
        </w:tc>
        <w:tc>
          <w:tcPr>
            <w:tcW w:w="1520" w:type="dxa"/>
            <w:vAlign w:val="bottom"/>
            <w:shd w:val="clear" w:color="auto" w:fill="DBDBDB"/>
          </w:tcPr>
          <w:p>
            <w:pPr>
              <w:jc w:val="right"/>
              <w:ind w:right="173"/>
              <w:spacing w:after="0"/>
              <w:rPr>
                <w:sz w:val="20"/>
                <w:szCs w:val="20"/>
                <w:color w:val="auto"/>
              </w:rPr>
            </w:pPr>
            <w:r>
              <w:rPr>
                <w:rFonts w:ascii="Times New Roman" w:cs="Times New Roman" w:eastAsia="Times New Roman" w:hAnsi="Times New Roman"/>
                <w:sz w:val="18"/>
                <w:szCs w:val="18"/>
                <w:color w:val="auto"/>
              </w:rPr>
              <w:t>26,162</w:t>
            </w: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5,290,179</w:t>
            </w:r>
          </w:p>
        </w:tc>
        <w:tc>
          <w:tcPr>
            <w:tcW w:w="0" w:type="dxa"/>
            <w:vAlign w:val="bottom"/>
          </w:tcPr>
          <w:p>
            <w:pPr>
              <w:spacing w:after="0"/>
              <w:rPr>
                <w:sz w:val="1"/>
                <w:szCs w:val="1"/>
                <w:color w:val="auto"/>
              </w:rPr>
            </w:pPr>
          </w:p>
        </w:tc>
      </w:tr>
      <w:tr>
        <w:trPr>
          <w:trHeight w:val="230"/>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w:t>
            </w:r>
          </w:p>
        </w:tc>
        <w:tc>
          <w:tcPr>
            <w:tcW w:w="13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2022</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515,327</w:t>
            </w: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4,013,570</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557,713</w:t>
            </w:r>
          </w:p>
        </w:tc>
        <w:tc>
          <w:tcPr>
            <w:tcW w:w="15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15,324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5,101,934</w:t>
            </w:r>
          </w:p>
        </w:tc>
        <w:tc>
          <w:tcPr>
            <w:tcW w:w="0" w:type="dxa"/>
            <w:vAlign w:val="bottom"/>
          </w:tcPr>
          <w:p>
            <w:pPr>
              <w:spacing w:after="0"/>
              <w:rPr>
                <w:sz w:val="1"/>
                <w:szCs w:val="1"/>
                <w:color w:val="auto"/>
              </w:rPr>
            </w:pPr>
          </w:p>
        </w:tc>
      </w:tr>
      <w:tr>
        <w:trPr>
          <w:trHeight w:val="229"/>
        </w:trPr>
        <w:tc>
          <w:tcPr>
            <w:tcW w:w="332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340" w:type="dxa"/>
            <w:vAlign w:val="bottom"/>
            <w:shd w:val="clear" w:color="auto" w:fill="DBDBDB"/>
          </w:tcPr>
          <w:p>
            <w:pPr>
              <w:jc w:val="right"/>
              <w:ind w:right="111"/>
              <w:spacing w:after="0"/>
              <w:rPr>
                <w:sz w:val="20"/>
                <w:szCs w:val="20"/>
                <w:color w:val="auto"/>
              </w:rPr>
            </w:pPr>
            <w:r>
              <w:rPr>
                <w:rFonts w:ascii="Times New Roman" w:cs="Times New Roman" w:eastAsia="Times New Roman" w:hAnsi="Times New Roman"/>
                <w:sz w:val="18"/>
                <w:szCs w:val="18"/>
                <w:color w:val="auto"/>
              </w:rPr>
              <w:t>2021</w:t>
            </w:r>
          </w:p>
        </w:tc>
        <w:tc>
          <w:tcPr>
            <w:tcW w:w="1180" w:type="dxa"/>
            <w:vAlign w:val="bottom"/>
            <w:shd w:val="clear" w:color="auto" w:fill="DBDBDB"/>
          </w:tcPr>
          <w:p>
            <w:pPr>
              <w:jc w:val="right"/>
              <w:ind w:right="112"/>
              <w:spacing w:after="0"/>
              <w:rPr>
                <w:sz w:val="20"/>
                <w:szCs w:val="20"/>
                <w:color w:val="auto"/>
              </w:rPr>
            </w:pPr>
            <w:r>
              <w:rPr>
                <w:rFonts w:ascii="Times New Roman" w:cs="Times New Roman" w:eastAsia="Times New Roman" w:hAnsi="Times New Roman"/>
                <w:sz w:val="18"/>
                <w:szCs w:val="18"/>
                <w:color w:val="auto"/>
              </w:rPr>
              <w:t>473,131</w:t>
            </w:r>
          </w:p>
        </w:tc>
        <w:tc>
          <w:tcPr>
            <w:tcW w:w="1220" w:type="dxa"/>
            <w:vAlign w:val="bottom"/>
            <w:shd w:val="clear" w:color="auto" w:fill="DBDBDB"/>
          </w:tcPr>
          <w:p>
            <w:pPr>
              <w:jc w:val="right"/>
              <w:ind w:right="53"/>
              <w:spacing w:after="0"/>
              <w:rPr>
                <w:sz w:val="20"/>
                <w:szCs w:val="20"/>
                <w:color w:val="auto"/>
              </w:rPr>
            </w:pPr>
            <w:r>
              <w:rPr>
                <w:rFonts w:ascii="Times New Roman" w:cs="Times New Roman" w:eastAsia="Times New Roman" w:hAnsi="Times New Roman"/>
                <w:sz w:val="18"/>
                <w:szCs w:val="18"/>
                <w:color w:val="auto"/>
              </w:rPr>
              <w:t>3,061,420</w:t>
            </w:r>
          </w:p>
        </w:tc>
        <w:tc>
          <w:tcPr>
            <w:tcW w:w="1420" w:type="dxa"/>
            <w:vAlign w:val="bottom"/>
            <w:shd w:val="clear" w:color="auto" w:fill="DBDBDB"/>
          </w:tcPr>
          <w:p>
            <w:pPr>
              <w:jc w:val="right"/>
              <w:ind w:right="54"/>
              <w:spacing w:after="0"/>
              <w:rPr>
                <w:sz w:val="20"/>
                <w:szCs w:val="20"/>
                <w:color w:val="auto"/>
              </w:rPr>
            </w:pPr>
            <w:r>
              <w:rPr>
                <w:rFonts w:ascii="Times New Roman" w:cs="Times New Roman" w:eastAsia="Times New Roman" w:hAnsi="Times New Roman"/>
                <w:sz w:val="18"/>
                <w:szCs w:val="18"/>
                <w:color w:val="auto"/>
              </w:rPr>
              <w:t>760,000</w:t>
            </w:r>
          </w:p>
        </w:tc>
        <w:tc>
          <w:tcPr>
            <w:tcW w:w="1520" w:type="dxa"/>
            <w:vAlign w:val="bottom"/>
            <w:shd w:val="clear" w:color="auto" w:fill="DBDBDB"/>
          </w:tcPr>
          <w:p>
            <w:pPr>
              <w:jc w:val="right"/>
              <w:ind w:right="173"/>
              <w:spacing w:after="0"/>
              <w:rPr>
                <w:sz w:val="20"/>
                <w:szCs w:val="20"/>
                <w:color w:val="auto"/>
              </w:rPr>
            </w:pPr>
            <w:r>
              <w:rPr>
                <w:rFonts w:ascii="Times New Roman" w:cs="Times New Roman" w:eastAsia="Times New Roman" w:hAnsi="Times New Roman"/>
                <w:sz w:val="18"/>
                <w:szCs w:val="18"/>
                <w:color w:val="auto"/>
              </w:rPr>
              <w:t>17,154</w:t>
            </w: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4,311,705</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J. Terry</w:t>
            </w:r>
          </w:p>
        </w:tc>
        <w:tc>
          <w:tcPr>
            <w:tcW w:w="13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2023</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538,200</w:t>
            </w: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3,605,110</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346,887</w:t>
            </w:r>
          </w:p>
        </w:tc>
        <w:tc>
          <w:tcPr>
            <w:tcW w:w="15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27,150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4,517,347</w:t>
            </w:r>
          </w:p>
        </w:tc>
        <w:tc>
          <w:tcPr>
            <w:tcW w:w="0" w:type="dxa"/>
            <w:vAlign w:val="bottom"/>
          </w:tcPr>
          <w:p>
            <w:pPr>
              <w:spacing w:after="0"/>
              <w:rPr>
                <w:sz w:val="1"/>
                <w:szCs w:val="1"/>
                <w:color w:val="auto"/>
              </w:rPr>
            </w:pPr>
          </w:p>
        </w:tc>
      </w:tr>
      <w:tr>
        <w:trPr>
          <w:trHeight w:val="229"/>
        </w:trPr>
        <w:tc>
          <w:tcPr>
            <w:tcW w:w="332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8"/>
                <w:szCs w:val="18"/>
                <w:color w:val="auto"/>
              </w:rPr>
              <w:t>Senior Vice President,</w:t>
            </w:r>
          </w:p>
        </w:tc>
        <w:tc>
          <w:tcPr>
            <w:tcW w:w="1340" w:type="dxa"/>
            <w:vAlign w:val="bottom"/>
            <w:shd w:val="clear" w:color="auto" w:fill="DBDBDB"/>
          </w:tcPr>
          <w:p>
            <w:pPr>
              <w:jc w:val="right"/>
              <w:ind w:right="111"/>
              <w:spacing w:after="0"/>
              <w:rPr>
                <w:sz w:val="20"/>
                <w:szCs w:val="20"/>
                <w:color w:val="auto"/>
              </w:rPr>
            </w:pPr>
            <w:r>
              <w:rPr>
                <w:rFonts w:ascii="Times New Roman" w:cs="Times New Roman" w:eastAsia="Times New Roman" w:hAnsi="Times New Roman"/>
                <w:sz w:val="18"/>
                <w:szCs w:val="18"/>
                <w:color w:val="auto"/>
              </w:rPr>
              <w:t>2022</w:t>
            </w:r>
          </w:p>
        </w:tc>
        <w:tc>
          <w:tcPr>
            <w:tcW w:w="1180" w:type="dxa"/>
            <w:vAlign w:val="bottom"/>
            <w:shd w:val="clear" w:color="auto" w:fill="DBDBDB"/>
          </w:tcPr>
          <w:p>
            <w:pPr>
              <w:jc w:val="right"/>
              <w:ind w:right="112"/>
              <w:spacing w:after="0"/>
              <w:rPr>
                <w:sz w:val="20"/>
                <w:szCs w:val="20"/>
                <w:color w:val="auto"/>
              </w:rPr>
            </w:pPr>
            <w:r>
              <w:rPr>
                <w:rFonts w:ascii="Times New Roman" w:cs="Times New Roman" w:eastAsia="Times New Roman" w:hAnsi="Times New Roman"/>
                <w:sz w:val="18"/>
                <w:szCs w:val="18"/>
                <w:color w:val="auto"/>
              </w:rPr>
              <w:t>518,885</w:t>
            </w:r>
          </w:p>
        </w:tc>
        <w:tc>
          <w:tcPr>
            <w:tcW w:w="1220" w:type="dxa"/>
            <w:vAlign w:val="bottom"/>
            <w:shd w:val="clear" w:color="auto" w:fill="DBDBDB"/>
          </w:tcPr>
          <w:p>
            <w:pPr>
              <w:jc w:val="right"/>
              <w:ind w:right="53"/>
              <w:spacing w:after="0"/>
              <w:rPr>
                <w:sz w:val="20"/>
                <w:szCs w:val="20"/>
                <w:color w:val="auto"/>
              </w:rPr>
            </w:pPr>
            <w:r>
              <w:rPr>
                <w:rFonts w:ascii="Times New Roman" w:cs="Times New Roman" w:eastAsia="Times New Roman" w:hAnsi="Times New Roman"/>
                <w:sz w:val="18"/>
                <w:szCs w:val="18"/>
                <w:color w:val="auto"/>
              </w:rPr>
              <w:t>3,305,147</w:t>
            </w:r>
          </w:p>
        </w:tc>
        <w:tc>
          <w:tcPr>
            <w:tcW w:w="1420" w:type="dxa"/>
            <w:vAlign w:val="bottom"/>
            <w:shd w:val="clear" w:color="auto" w:fill="DBDBDB"/>
          </w:tcPr>
          <w:p>
            <w:pPr>
              <w:jc w:val="right"/>
              <w:ind w:right="54"/>
              <w:spacing w:after="0"/>
              <w:rPr>
                <w:sz w:val="20"/>
                <w:szCs w:val="20"/>
                <w:color w:val="auto"/>
              </w:rPr>
            </w:pPr>
            <w:r>
              <w:rPr>
                <w:rFonts w:ascii="Times New Roman" w:cs="Times New Roman" w:eastAsia="Times New Roman" w:hAnsi="Times New Roman"/>
                <w:sz w:val="18"/>
                <w:szCs w:val="18"/>
                <w:color w:val="auto"/>
              </w:rPr>
              <w:t>559,858</w:t>
            </w:r>
          </w:p>
        </w:tc>
        <w:tc>
          <w:tcPr>
            <w:tcW w:w="1520" w:type="dxa"/>
            <w:vAlign w:val="bottom"/>
            <w:shd w:val="clear" w:color="auto" w:fill="DBDBDB"/>
          </w:tcPr>
          <w:p>
            <w:pPr>
              <w:jc w:val="right"/>
              <w:ind w:right="173"/>
              <w:spacing w:after="0"/>
              <w:rPr>
                <w:sz w:val="20"/>
                <w:szCs w:val="20"/>
                <w:color w:val="auto"/>
              </w:rPr>
            </w:pPr>
            <w:r>
              <w:rPr>
                <w:rFonts w:ascii="Times New Roman" w:cs="Times New Roman" w:eastAsia="Times New Roman" w:hAnsi="Times New Roman"/>
                <w:sz w:val="18"/>
                <w:szCs w:val="18"/>
                <w:color w:val="auto"/>
              </w:rPr>
              <w:t>22,731</w:t>
            </w: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4,406,621</w:t>
            </w:r>
          </w:p>
        </w:tc>
        <w:tc>
          <w:tcPr>
            <w:tcW w:w="0" w:type="dxa"/>
            <w:vAlign w:val="bottom"/>
          </w:tcPr>
          <w:p>
            <w:pPr>
              <w:spacing w:after="0"/>
              <w:rPr>
                <w:sz w:val="1"/>
                <w:szCs w:val="1"/>
                <w:color w:val="auto"/>
              </w:rPr>
            </w:pPr>
          </w:p>
        </w:tc>
      </w:tr>
      <w:tr>
        <w:trPr>
          <w:trHeight w:val="234"/>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Counsel and Secretary</w:t>
            </w:r>
          </w:p>
        </w:tc>
        <w:tc>
          <w:tcPr>
            <w:tcW w:w="13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2021</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490,027</w:t>
            </w: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2,850,298</w:t>
            </w:r>
          </w:p>
        </w:tc>
        <w:tc>
          <w:tcPr>
            <w:tcW w:w="14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787,200</w:t>
            </w:r>
          </w:p>
        </w:tc>
        <w:tc>
          <w:tcPr>
            <w:tcW w:w="15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16,045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4,143,570</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36" w:lineRule="exact"/>
        <w:rPr>
          <w:sz w:val="20"/>
          <w:szCs w:val="20"/>
          <w:color w:val="auto"/>
        </w:rPr>
      </w:pPr>
    </w:p>
    <w:p>
      <w:pPr>
        <w:ind w:left="260" w:hanging="252"/>
        <w:spacing w:after="0"/>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Stock Awards column represent the grant date fair values, computed in accordance with the provisions of FASB ASC Topic 718—</w:t>
      </w:r>
    </w:p>
    <w:p>
      <w:pPr>
        <w:spacing w:after="0" w:line="49" w:lineRule="exact"/>
        <w:rPr>
          <w:rFonts w:ascii="Times New Roman" w:cs="Times New Roman" w:eastAsia="Times New Roman" w:hAnsi="Times New Roman"/>
          <w:sz w:val="18"/>
          <w:szCs w:val="18"/>
          <w:color w:val="auto"/>
        </w:rPr>
      </w:pPr>
    </w:p>
    <w:p>
      <w:pPr>
        <w:jc w:val="both"/>
        <w:ind w:left="2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Compensation—Stock Compensation (“ASC 718”), of PSAs and RSUs granted during the applicable fiscal year, without regard to estimated forfeiture rates. For fiscal years 2021, 2022, and 2023, assuming the highest level of performance achievement with respect to the PSAs, the grant date fair values</w:t>
      </w:r>
    </w:p>
    <w:p>
      <w:pPr>
        <w:spacing w:after="0" w:line="1" w:lineRule="exact"/>
        <w:rPr>
          <w:rFonts w:ascii="Times New Roman" w:cs="Times New Roman" w:eastAsia="Times New Roman" w:hAnsi="Times New Roman"/>
          <w:sz w:val="18"/>
          <w:szCs w:val="18"/>
          <w:color w:val="auto"/>
        </w:rPr>
      </w:pP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Stock Awards would be as follows: Mr. Griffin (FY 2021: $14,912,691; FY 2022: $16,912,789; FY2023: $18,454,902), Mr. Sennesael (FY 2021:</w:t>
      </w:r>
    </w:p>
    <w:p>
      <w:pPr>
        <w:spacing w:after="0" w:line="36" w:lineRule="exact"/>
        <w:rPr>
          <w:rFonts w:ascii="Times New Roman" w:cs="Times New Roman" w:eastAsia="Times New Roman" w:hAnsi="Times New Roman"/>
          <w:sz w:val="18"/>
          <w:szCs w:val="18"/>
          <w:color w:val="auto"/>
        </w:rPr>
      </w:pP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$4,609,190; FY 2022: $5,339,011; FY2023: $5,252,414), Mr. Kasnavi (FY 2022: $5,886,558; FY2023: $5,550,558), Mr. Bori (FY 2021: $3,931,401;</w:t>
      </w:r>
    </w:p>
    <w:p>
      <w:pPr>
        <w:spacing w:after="0" w:line="49" w:lineRule="exact"/>
        <w:rPr>
          <w:rFonts w:ascii="Times New Roman" w:cs="Times New Roman" w:eastAsia="Times New Roman" w:hAnsi="Times New Roman"/>
          <w:sz w:val="18"/>
          <w:szCs w:val="18"/>
          <w:color w:val="auto"/>
        </w:rPr>
      </w:pPr>
    </w:p>
    <w:p>
      <w:pPr>
        <w:jc w:val="both"/>
        <w:ind w:left="260"/>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FY 2022: $5,186,558; FY2023: $5,550,558), and Mr. Terry (FY 2021: $3,660,286; FY 2022: $4,271,095; FY2023: $4,571,105). For a description of the assumptions used in calculating the fair value of equity awards in fiscal year 2023 under ASC 718, see Note 9 of the Company’s financial statements included in the Company’s Annual Report on Form 10-K filed with the SEC on November 17, 2023.</w:t>
      </w:r>
    </w:p>
    <w:p>
      <w:pPr>
        <w:ind w:left="260" w:hanging="252"/>
        <w:spacing w:after="0" w:line="289" w:lineRule="auto"/>
        <w:tabs>
          <w:tab w:leader="none" w:pos="27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amounts paid to the Named Executive Officers pursuant to the executive incentive plan adopted by the Compensation Committee for each year indicated.</w:t>
      </w:r>
    </w:p>
    <w:p>
      <w:pPr>
        <w:spacing w:after="0" w:line="1" w:lineRule="exact"/>
        <w:rPr>
          <w:rFonts w:ascii="Times New Roman" w:cs="Times New Roman" w:eastAsia="Times New Roman" w:hAnsi="Times New Roman"/>
          <w:sz w:val="18"/>
          <w:szCs w:val="18"/>
          <w:color w:val="auto"/>
        </w:rPr>
      </w:pPr>
    </w:p>
    <w:p>
      <w:pPr>
        <w:jc w:val="both"/>
        <w:ind w:left="260" w:hanging="252"/>
        <w:spacing w:after="0" w:line="289" w:lineRule="auto"/>
        <w:tabs>
          <w:tab w:leader="none" w:pos="31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the Company’s contributions to the executive’s 401(k) Plan account, the cost of group term life insurance premiums, and financial planning benefits. For fiscal year 2023, it specifically includes $13,200 in Company contributions to each Named Executive</w:t>
      </w:r>
    </w:p>
    <w:p>
      <w:pPr>
        <w:spacing w:after="0" w:line="1" w:lineRule="exact"/>
        <w:rPr>
          <w:rFonts w:ascii="Times New Roman" w:cs="Times New Roman" w:eastAsia="Times New Roman" w:hAnsi="Times New Roman"/>
          <w:sz w:val="18"/>
          <w:szCs w:val="18"/>
          <w:color w:val="auto"/>
        </w:rPr>
      </w:pPr>
    </w:p>
    <w:p>
      <w:pPr>
        <w:ind w:left="2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 401(k) Plan account, as well as $7,310, $2,500, $20,000, $10,180, and $9,226 in financial planning benefits for Messrs. Griffin, Sennesael, Kasnavi, Bori and Terry, respectively.</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Kasnavi was not a Named Executive Officer prior to fiscal year 2022.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3" w:name="page24"/>
    <w:bookmarkEnd w:id="23"/>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Grants of Plan-Based Awards Table</w:t>
      </w:r>
    </w:p>
    <w:p>
      <w:pPr>
        <w:spacing w:after="0" w:line="256" w:lineRule="exact"/>
        <w:rPr>
          <w:sz w:val="20"/>
          <w:szCs w:val="20"/>
          <w:color w:val="auto"/>
        </w:rPr>
      </w:pPr>
    </w:p>
    <w:p>
      <w:pPr>
        <w:ind w:right="20" w:firstLine="389"/>
        <w:spacing w:after="0" w:line="329" w:lineRule="auto"/>
        <w:rPr>
          <w:sz w:val="20"/>
          <w:szCs w:val="20"/>
          <w:color w:val="auto"/>
        </w:rPr>
      </w:pPr>
      <w:r>
        <w:rPr>
          <w:rFonts w:ascii="Times New Roman" w:cs="Times New Roman" w:eastAsia="Times New Roman" w:hAnsi="Times New Roman"/>
          <w:sz w:val="18"/>
          <w:szCs w:val="18"/>
          <w:color w:val="auto"/>
        </w:rPr>
        <w:t>The following table summarizes all grants of plan-based awards made to the Named Executive Officers in fiscal year 2023, including incentive awards payable under the Incentive Plan.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0" w:type="dxa"/>
            <w:vAlign w:val="bottom"/>
          </w:tcPr>
          <w:p>
            <w:pPr>
              <w:spacing w:after="0"/>
              <w:rPr>
                <w:sz w:val="15"/>
                <w:szCs w:val="15"/>
                <w:color w:val="auto"/>
              </w:rPr>
            </w:pPr>
          </w:p>
        </w:tc>
      </w:tr>
      <w:tr>
        <w:trPr>
          <w:trHeight w:val="162"/>
        </w:trPr>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0" w:type="dxa"/>
            <w:vAlign w:val="bottom"/>
          </w:tcPr>
          <w:p>
            <w:pPr>
              <w:spacing w:after="0"/>
              <w:rPr>
                <w:sz w:val="14"/>
                <w:szCs w:val="14"/>
                <w:color w:val="auto"/>
              </w:rPr>
            </w:pPr>
          </w:p>
        </w:tc>
      </w:tr>
      <w:tr>
        <w:trPr>
          <w:trHeight w:val="173"/>
        </w:trPr>
        <w:tc>
          <w:tcPr>
            <w:tcW w:w="1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2820" w:type="dxa"/>
            <w:vAlign w:val="bottom"/>
            <w:gridSpan w:val="3"/>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11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4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Grant</w:t>
            </w:r>
          </w:p>
        </w:tc>
      </w:tr>
      <w:tr>
        <w:trPr>
          <w:trHeight w:val="148"/>
        </w:trPr>
        <w:tc>
          <w:tcPr>
            <w:tcW w:w="1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3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Non-Equity Incentive Plan</w:t>
            </w:r>
          </w:p>
        </w:tc>
        <w:tc>
          <w:tcPr>
            <w:tcW w:w="2820" w:type="dxa"/>
            <w:vAlign w:val="bottom"/>
            <w:gridSpan w:val="3"/>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 Incentive Plan</w:t>
            </w:r>
          </w:p>
        </w:tc>
        <w:tc>
          <w:tcPr>
            <w:tcW w:w="118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r>
      <w:tr>
        <w:trPr>
          <w:trHeight w:val="191"/>
        </w:trPr>
        <w:tc>
          <w:tcPr>
            <w:tcW w:w="1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Awards(1)</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8"/>
              </w:rPr>
              <w:t>Awards(2)</w:t>
            </w:r>
          </w:p>
        </w:tc>
        <w:tc>
          <w:tcPr>
            <w:tcW w:w="960" w:type="dxa"/>
            <w:vAlign w:val="bottom"/>
          </w:tcPr>
          <w:p>
            <w:pPr>
              <w:spacing w:after="0"/>
              <w:rPr>
                <w:sz w:val="16"/>
                <w:szCs w:val="16"/>
                <w:color w:val="auto"/>
              </w:rPr>
            </w:pPr>
          </w:p>
        </w:tc>
        <w:tc>
          <w:tcPr>
            <w:tcW w:w="118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40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Value of</w:t>
            </w:r>
          </w:p>
        </w:tc>
      </w:tr>
      <w:tr>
        <w:trPr>
          <w:trHeight w:val="227"/>
        </w:trPr>
        <w:tc>
          <w:tcPr>
            <w:tcW w:w="13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0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0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9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1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Stock Or Units</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and Option</w:t>
            </w:r>
          </w:p>
        </w:tc>
      </w:tr>
      <w:tr>
        <w:trPr>
          <w:trHeight w:val="206"/>
        </w:trPr>
        <w:tc>
          <w:tcPr>
            <w:tcW w:w="1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1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(#)(3)</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 ($)</w:t>
            </w:r>
          </w:p>
        </w:tc>
      </w:tr>
      <w:tr>
        <w:trPr>
          <w:trHeight w:val="618"/>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Liam K. Griffin</w:t>
            </w:r>
          </w:p>
        </w:tc>
        <w:tc>
          <w:tcPr>
            <w:tcW w:w="1200" w:type="dxa"/>
            <w:vAlign w:val="bottom"/>
          </w:tcPr>
          <w:p>
            <w:pPr>
              <w:spacing w:after="0"/>
              <w:rPr>
                <w:sz w:val="24"/>
                <w:szCs w:val="24"/>
                <w:color w:val="auto"/>
              </w:rPr>
            </w:pPr>
          </w:p>
        </w:tc>
        <w:tc>
          <w:tcPr>
            <w:tcW w:w="1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940,000</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1,880,000</w:t>
            </w: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3,760,000</w:t>
            </w: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9"/>
        </w:trPr>
        <w:tc>
          <w:tcPr>
            <w:tcW w:w="1320" w:type="dxa"/>
            <w:vAlign w:val="bottom"/>
            <w:shd w:val="clear" w:color="auto" w:fill="DBDBDB"/>
          </w:tcPr>
          <w:p>
            <w:pPr>
              <w:spacing w:after="0"/>
              <w:rPr>
                <w:sz w:val="19"/>
                <w:szCs w:val="19"/>
                <w:color w:val="auto"/>
              </w:rPr>
            </w:pPr>
          </w:p>
        </w:tc>
        <w:tc>
          <w:tcPr>
            <w:tcW w:w="12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11/08/2022</w:t>
            </w:r>
          </w:p>
        </w:tc>
        <w:tc>
          <w:tcPr>
            <w:tcW w:w="116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43,988</w:t>
            </w:r>
          </w:p>
        </w:tc>
        <w:tc>
          <w:tcPr>
            <w:tcW w:w="90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87,976</w:t>
            </w: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219,940</w:t>
            </w:r>
          </w:p>
        </w:tc>
        <w:tc>
          <w:tcPr>
            <w:tcW w:w="1180" w:type="dxa"/>
            <w:vAlign w:val="bottom"/>
            <w:shd w:val="clear" w:color="auto" w:fill="DBDBDB"/>
          </w:tcPr>
          <w:p>
            <w:pPr>
              <w:spacing w:after="0"/>
              <w:rPr>
                <w:sz w:val="19"/>
                <w:szCs w:val="19"/>
                <w:color w:val="auto"/>
              </w:rPr>
            </w:pPr>
          </w:p>
        </w:tc>
        <w:tc>
          <w:tcPr>
            <w:tcW w:w="1400" w:type="dxa"/>
            <w:vAlign w:val="bottom"/>
            <w:shd w:val="clear" w:color="auto" w:fill="DBDBDB"/>
          </w:tcPr>
          <w:p>
            <w:pPr>
              <w:ind w:left="460"/>
              <w:spacing w:after="0"/>
              <w:rPr>
                <w:sz w:val="20"/>
                <w:szCs w:val="20"/>
                <w:color w:val="auto"/>
              </w:rPr>
            </w:pPr>
            <w:r>
              <w:rPr>
                <w:rFonts w:ascii="Times New Roman" w:cs="Times New Roman" w:eastAsia="Times New Roman" w:hAnsi="Times New Roman"/>
                <w:sz w:val="18"/>
                <w:szCs w:val="18"/>
                <w:color w:val="auto"/>
                <w:w w:val="98"/>
              </w:rPr>
              <w:t>9,354,928(4)</w:t>
            </w:r>
          </w:p>
        </w:tc>
      </w:tr>
      <w:tr>
        <w:trPr>
          <w:trHeight w:val="229"/>
        </w:trPr>
        <w:tc>
          <w:tcPr>
            <w:tcW w:w="13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11/08/2022</w:t>
            </w: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58,651</w:t>
            </w:r>
          </w:p>
        </w:tc>
        <w:tc>
          <w:tcPr>
            <w:tcW w:w="14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5,199,998(5)</w:t>
            </w:r>
          </w:p>
        </w:tc>
      </w:tr>
      <w:tr>
        <w:trPr>
          <w:trHeight w:val="594"/>
        </w:trPr>
        <w:tc>
          <w:tcPr>
            <w:tcW w:w="13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Kris Sennesael</w:t>
            </w:r>
          </w:p>
        </w:tc>
        <w:tc>
          <w:tcPr>
            <w:tcW w:w="1200" w:type="dxa"/>
            <w:vAlign w:val="bottom"/>
            <w:shd w:val="clear" w:color="auto" w:fill="DBDBDB"/>
          </w:tcPr>
          <w:p>
            <w:pPr>
              <w:spacing w:after="0"/>
              <w:rPr>
                <w:sz w:val="24"/>
                <w:szCs w:val="24"/>
                <w:color w:val="auto"/>
              </w:rPr>
            </w:pPr>
          </w:p>
        </w:tc>
        <w:tc>
          <w:tcPr>
            <w:tcW w:w="1160" w:type="dxa"/>
            <w:vAlign w:val="bottom"/>
            <w:shd w:val="clear" w:color="auto" w:fill="DBDBDB"/>
          </w:tcPr>
          <w:p>
            <w:pPr>
              <w:ind w:left="420"/>
              <w:spacing w:after="0"/>
              <w:rPr>
                <w:sz w:val="20"/>
                <w:szCs w:val="20"/>
                <w:color w:val="auto"/>
              </w:rPr>
            </w:pPr>
            <w:r>
              <w:rPr>
                <w:rFonts w:ascii="Times New Roman" w:cs="Times New Roman" w:eastAsia="Times New Roman" w:hAnsi="Times New Roman"/>
                <w:sz w:val="18"/>
                <w:szCs w:val="18"/>
                <w:color w:val="auto"/>
              </w:rPr>
              <w:t>303,000</w:t>
            </w:r>
          </w:p>
        </w:tc>
        <w:tc>
          <w:tcPr>
            <w:tcW w:w="1080" w:type="dxa"/>
            <w:vAlign w:val="bottom"/>
            <w:shd w:val="clear" w:color="auto" w:fill="DBDBDB"/>
          </w:tcPr>
          <w:p>
            <w:pPr>
              <w:jc w:val="right"/>
              <w:ind w:right="37"/>
              <w:spacing w:after="0"/>
              <w:rPr>
                <w:sz w:val="20"/>
                <w:szCs w:val="20"/>
                <w:color w:val="auto"/>
              </w:rPr>
            </w:pPr>
            <w:r>
              <w:rPr>
                <w:rFonts w:ascii="Times New Roman" w:cs="Times New Roman" w:eastAsia="Times New Roman" w:hAnsi="Times New Roman"/>
                <w:sz w:val="18"/>
                <w:szCs w:val="18"/>
                <w:color w:val="auto"/>
              </w:rPr>
              <w:t>606,000</w:t>
            </w:r>
          </w:p>
        </w:tc>
        <w:tc>
          <w:tcPr>
            <w:tcW w:w="1080" w:type="dxa"/>
            <w:vAlign w:val="bottom"/>
            <w:shd w:val="clear" w:color="auto" w:fill="DBDBDB"/>
          </w:tcPr>
          <w:p>
            <w:pPr>
              <w:jc w:val="right"/>
              <w:ind w:right="15"/>
              <w:spacing w:after="0"/>
              <w:rPr>
                <w:sz w:val="20"/>
                <w:szCs w:val="20"/>
                <w:color w:val="auto"/>
              </w:rPr>
            </w:pPr>
            <w:r>
              <w:rPr>
                <w:rFonts w:ascii="Times New Roman" w:cs="Times New Roman" w:eastAsia="Times New Roman" w:hAnsi="Times New Roman"/>
                <w:sz w:val="18"/>
                <w:szCs w:val="18"/>
                <w:color w:val="auto"/>
              </w:rPr>
              <w:t>1,212,000</w:t>
            </w:r>
          </w:p>
        </w:tc>
        <w:tc>
          <w:tcPr>
            <w:tcW w:w="960" w:type="dxa"/>
            <w:vAlign w:val="bottom"/>
            <w:shd w:val="clear" w:color="auto" w:fill="DBDBDB"/>
          </w:tcPr>
          <w:p>
            <w:pPr>
              <w:spacing w:after="0"/>
              <w:rPr>
                <w:sz w:val="24"/>
                <w:szCs w:val="24"/>
                <w:color w:val="auto"/>
              </w:rPr>
            </w:pPr>
          </w:p>
        </w:tc>
        <w:tc>
          <w:tcPr>
            <w:tcW w:w="900" w:type="dxa"/>
            <w:vAlign w:val="bottom"/>
            <w:shd w:val="clear" w:color="auto" w:fill="DBDBDB"/>
          </w:tcPr>
          <w:p>
            <w:pPr>
              <w:spacing w:after="0"/>
              <w:rPr>
                <w:sz w:val="24"/>
                <w:szCs w:val="24"/>
                <w:color w:val="auto"/>
              </w:rPr>
            </w:pPr>
          </w:p>
        </w:tc>
        <w:tc>
          <w:tcPr>
            <w:tcW w:w="960" w:type="dxa"/>
            <w:vAlign w:val="bottom"/>
            <w:shd w:val="clear" w:color="auto" w:fill="DBDBDB"/>
          </w:tcPr>
          <w:p>
            <w:pPr>
              <w:spacing w:after="0"/>
              <w:rPr>
                <w:sz w:val="24"/>
                <w:szCs w:val="24"/>
                <w:color w:val="auto"/>
              </w:rPr>
            </w:pPr>
          </w:p>
        </w:tc>
        <w:tc>
          <w:tcPr>
            <w:tcW w:w="1180" w:type="dxa"/>
            <w:vAlign w:val="bottom"/>
            <w:shd w:val="clear" w:color="auto" w:fill="DBDBDB"/>
          </w:tcPr>
          <w:p>
            <w:pPr>
              <w:spacing w:after="0"/>
              <w:rPr>
                <w:sz w:val="24"/>
                <w:szCs w:val="24"/>
                <w:color w:val="auto"/>
              </w:rPr>
            </w:pPr>
          </w:p>
        </w:tc>
        <w:tc>
          <w:tcPr>
            <w:tcW w:w="1400" w:type="dxa"/>
            <w:vAlign w:val="bottom"/>
            <w:shd w:val="clear" w:color="auto" w:fill="DBDBDB"/>
          </w:tcPr>
          <w:p>
            <w:pPr>
              <w:spacing w:after="0"/>
              <w:rPr>
                <w:sz w:val="24"/>
                <w:szCs w:val="24"/>
                <w:color w:val="auto"/>
              </w:rPr>
            </w:pPr>
          </w:p>
        </w:tc>
      </w:tr>
      <w:tr>
        <w:trPr>
          <w:trHeight w:val="230"/>
        </w:trPr>
        <w:tc>
          <w:tcPr>
            <w:tcW w:w="13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11/08/2022</w:t>
            </w: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12,519</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25,039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62,597</w:t>
            </w:r>
          </w:p>
        </w:tc>
        <w:tc>
          <w:tcPr>
            <w:tcW w:w="1180" w:type="dxa"/>
            <w:vAlign w:val="bottom"/>
          </w:tcPr>
          <w:p>
            <w:pPr>
              <w:spacing w:after="0"/>
              <w:rPr>
                <w:sz w:val="19"/>
                <w:szCs w:val="19"/>
                <w:color w:val="auto"/>
              </w:rPr>
            </w:pPr>
          </w:p>
        </w:tc>
        <w:tc>
          <w:tcPr>
            <w:tcW w:w="14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2,662,522(4)</w:t>
            </w:r>
          </w:p>
        </w:tc>
      </w:tr>
      <w:tr>
        <w:trPr>
          <w:trHeight w:val="229"/>
        </w:trPr>
        <w:tc>
          <w:tcPr>
            <w:tcW w:w="1320" w:type="dxa"/>
            <w:vAlign w:val="bottom"/>
            <w:shd w:val="clear" w:color="auto" w:fill="DBDBDB"/>
          </w:tcPr>
          <w:p>
            <w:pPr>
              <w:spacing w:after="0"/>
              <w:rPr>
                <w:sz w:val="19"/>
                <w:szCs w:val="19"/>
                <w:color w:val="auto"/>
              </w:rPr>
            </w:pPr>
          </w:p>
        </w:tc>
        <w:tc>
          <w:tcPr>
            <w:tcW w:w="12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11/08/2022</w:t>
            </w:r>
          </w:p>
        </w:tc>
        <w:tc>
          <w:tcPr>
            <w:tcW w:w="116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21"/>
              <w:spacing w:after="0"/>
              <w:rPr>
                <w:sz w:val="20"/>
                <w:szCs w:val="20"/>
                <w:color w:val="auto"/>
              </w:rPr>
            </w:pPr>
            <w:r>
              <w:rPr>
                <w:rFonts w:ascii="Times New Roman" w:cs="Times New Roman" w:eastAsia="Times New Roman" w:hAnsi="Times New Roman"/>
                <w:sz w:val="18"/>
                <w:szCs w:val="18"/>
                <w:color w:val="auto"/>
              </w:rPr>
              <w:t>16,692</w:t>
            </w:r>
          </w:p>
        </w:tc>
        <w:tc>
          <w:tcPr>
            <w:tcW w:w="1400" w:type="dxa"/>
            <w:vAlign w:val="bottom"/>
            <w:shd w:val="clear" w:color="auto" w:fill="DBDBDB"/>
          </w:tcPr>
          <w:p>
            <w:pPr>
              <w:ind w:left="460"/>
              <w:spacing w:after="0"/>
              <w:rPr>
                <w:sz w:val="20"/>
                <w:szCs w:val="20"/>
                <w:color w:val="auto"/>
              </w:rPr>
            </w:pPr>
            <w:r>
              <w:rPr>
                <w:rFonts w:ascii="Times New Roman" w:cs="Times New Roman" w:eastAsia="Times New Roman" w:hAnsi="Times New Roman"/>
                <w:sz w:val="18"/>
                <w:szCs w:val="18"/>
                <w:color w:val="auto"/>
                <w:w w:val="98"/>
              </w:rPr>
              <w:t>1,479,913(5)</w:t>
            </w:r>
          </w:p>
        </w:tc>
      </w:tr>
      <w:tr>
        <w:trPr>
          <w:trHeight w:val="594"/>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Reza Kasnavi</w:t>
            </w:r>
          </w:p>
        </w:tc>
        <w:tc>
          <w:tcPr>
            <w:tcW w:w="1200" w:type="dxa"/>
            <w:vAlign w:val="bottom"/>
          </w:tcPr>
          <w:p>
            <w:pPr>
              <w:spacing w:after="0"/>
              <w:rPr>
                <w:sz w:val="24"/>
                <w:szCs w:val="24"/>
                <w:color w:val="auto"/>
              </w:rPr>
            </w:pPr>
          </w:p>
        </w:tc>
        <w:tc>
          <w:tcPr>
            <w:tcW w:w="1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230,400</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460,800</w:t>
            </w: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921,600</w:t>
            </w: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9"/>
        </w:trPr>
        <w:tc>
          <w:tcPr>
            <w:tcW w:w="1320" w:type="dxa"/>
            <w:vAlign w:val="bottom"/>
            <w:shd w:val="clear" w:color="auto" w:fill="DBDBDB"/>
          </w:tcPr>
          <w:p>
            <w:pPr>
              <w:spacing w:after="0"/>
              <w:rPr>
                <w:sz w:val="19"/>
                <w:szCs w:val="19"/>
                <w:color w:val="auto"/>
              </w:rPr>
            </w:pPr>
          </w:p>
        </w:tc>
        <w:tc>
          <w:tcPr>
            <w:tcW w:w="12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11/08/2022</w:t>
            </w:r>
          </w:p>
        </w:tc>
        <w:tc>
          <w:tcPr>
            <w:tcW w:w="116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90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26,460</w:t>
            </w: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66,150</w:t>
            </w:r>
          </w:p>
        </w:tc>
        <w:tc>
          <w:tcPr>
            <w:tcW w:w="1180" w:type="dxa"/>
            <w:vAlign w:val="bottom"/>
            <w:shd w:val="clear" w:color="auto" w:fill="DBDBDB"/>
          </w:tcPr>
          <w:p>
            <w:pPr>
              <w:spacing w:after="0"/>
              <w:rPr>
                <w:sz w:val="19"/>
                <w:szCs w:val="19"/>
                <w:color w:val="auto"/>
              </w:rPr>
            </w:pPr>
          </w:p>
        </w:tc>
        <w:tc>
          <w:tcPr>
            <w:tcW w:w="1400" w:type="dxa"/>
            <w:vAlign w:val="bottom"/>
            <w:shd w:val="clear" w:color="auto" w:fill="DBDBDB"/>
          </w:tcPr>
          <w:p>
            <w:pPr>
              <w:ind w:left="460"/>
              <w:spacing w:after="0"/>
              <w:rPr>
                <w:sz w:val="20"/>
                <w:szCs w:val="20"/>
                <w:color w:val="auto"/>
              </w:rPr>
            </w:pPr>
            <w:r>
              <w:rPr>
                <w:rFonts w:ascii="Times New Roman" w:cs="Times New Roman" w:eastAsia="Times New Roman" w:hAnsi="Times New Roman"/>
                <w:sz w:val="18"/>
                <w:szCs w:val="18"/>
                <w:color w:val="auto"/>
                <w:w w:val="98"/>
              </w:rPr>
              <w:t>2,813,624(4)</w:t>
            </w:r>
          </w:p>
        </w:tc>
      </w:tr>
      <w:tr>
        <w:trPr>
          <w:trHeight w:val="229"/>
        </w:trPr>
        <w:tc>
          <w:tcPr>
            <w:tcW w:w="13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11/08/2022</w:t>
            </w: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17,640</w:t>
            </w:r>
          </w:p>
        </w:tc>
        <w:tc>
          <w:tcPr>
            <w:tcW w:w="14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1,563,962(5)</w:t>
            </w:r>
          </w:p>
        </w:tc>
      </w:tr>
      <w:tr>
        <w:trPr>
          <w:trHeight w:val="594"/>
        </w:trPr>
        <w:tc>
          <w:tcPr>
            <w:tcW w:w="13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Carlos S. Bori</w:t>
            </w:r>
          </w:p>
        </w:tc>
        <w:tc>
          <w:tcPr>
            <w:tcW w:w="1200" w:type="dxa"/>
            <w:vAlign w:val="bottom"/>
            <w:shd w:val="clear" w:color="auto" w:fill="DBDBDB"/>
          </w:tcPr>
          <w:p>
            <w:pPr>
              <w:spacing w:after="0"/>
              <w:rPr>
                <w:sz w:val="24"/>
                <w:szCs w:val="24"/>
                <w:color w:val="auto"/>
              </w:rPr>
            </w:pPr>
          </w:p>
        </w:tc>
        <w:tc>
          <w:tcPr>
            <w:tcW w:w="1160" w:type="dxa"/>
            <w:vAlign w:val="bottom"/>
            <w:shd w:val="clear" w:color="auto" w:fill="DBDBDB"/>
          </w:tcPr>
          <w:p>
            <w:pPr>
              <w:ind w:left="420"/>
              <w:spacing w:after="0"/>
              <w:rPr>
                <w:sz w:val="20"/>
                <w:szCs w:val="20"/>
                <w:color w:val="auto"/>
              </w:rPr>
            </w:pPr>
            <w:r>
              <w:rPr>
                <w:rFonts w:ascii="Times New Roman" w:cs="Times New Roman" w:eastAsia="Times New Roman" w:hAnsi="Times New Roman"/>
                <w:sz w:val="18"/>
                <w:szCs w:val="18"/>
                <w:color w:val="auto"/>
              </w:rPr>
              <w:t>216,400</w:t>
            </w:r>
          </w:p>
        </w:tc>
        <w:tc>
          <w:tcPr>
            <w:tcW w:w="1080" w:type="dxa"/>
            <w:vAlign w:val="bottom"/>
            <w:shd w:val="clear" w:color="auto" w:fill="DBDBDB"/>
          </w:tcPr>
          <w:p>
            <w:pPr>
              <w:jc w:val="right"/>
              <w:ind w:right="37"/>
              <w:spacing w:after="0"/>
              <w:rPr>
                <w:sz w:val="20"/>
                <w:szCs w:val="20"/>
                <w:color w:val="auto"/>
              </w:rPr>
            </w:pPr>
            <w:r>
              <w:rPr>
                <w:rFonts w:ascii="Times New Roman" w:cs="Times New Roman" w:eastAsia="Times New Roman" w:hAnsi="Times New Roman"/>
                <w:sz w:val="18"/>
                <w:szCs w:val="18"/>
                <w:color w:val="auto"/>
              </w:rPr>
              <w:t>432,800</w:t>
            </w:r>
          </w:p>
        </w:tc>
        <w:tc>
          <w:tcPr>
            <w:tcW w:w="1080" w:type="dxa"/>
            <w:vAlign w:val="bottom"/>
            <w:shd w:val="clear" w:color="auto" w:fill="DBDBDB"/>
          </w:tcPr>
          <w:p>
            <w:pPr>
              <w:jc w:val="right"/>
              <w:ind w:right="15"/>
              <w:spacing w:after="0"/>
              <w:rPr>
                <w:sz w:val="20"/>
                <w:szCs w:val="20"/>
                <w:color w:val="auto"/>
              </w:rPr>
            </w:pPr>
            <w:r>
              <w:rPr>
                <w:rFonts w:ascii="Times New Roman" w:cs="Times New Roman" w:eastAsia="Times New Roman" w:hAnsi="Times New Roman"/>
                <w:sz w:val="18"/>
                <w:szCs w:val="18"/>
                <w:color w:val="auto"/>
              </w:rPr>
              <w:t>865,600</w:t>
            </w:r>
          </w:p>
        </w:tc>
        <w:tc>
          <w:tcPr>
            <w:tcW w:w="960" w:type="dxa"/>
            <w:vAlign w:val="bottom"/>
            <w:shd w:val="clear" w:color="auto" w:fill="DBDBDB"/>
          </w:tcPr>
          <w:p>
            <w:pPr>
              <w:spacing w:after="0"/>
              <w:rPr>
                <w:sz w:val="24"/>
                <w:szCs w:val="24"/>
                <w:color w:val="auto"/>
              </w:rPr>
            </w:pPr>
          </w:p>
        </w:tc>
        <w:tc>
          <w:tcPr>
            <w:tcW w:w="900" w:type="dxa"/>
            <w:vAlign w:val="bottom"/>
            <w:shd w:val="clear" w:color="auto" w:fill="DBDBDB"/>
          </w:tcPr>
          <w:p>
            <w:pPr>
              <w:spacing w:after="0"/>
              <w:rPr>
                <w:sz w:val="24"/>
                <w:szCs w:val="24"/>
                <w:color w:val="auto"/>
              </w:rPr>
            </w:pPr>
          </w:p>
        </w:tc>
        <w:tc>
          <w:tcPr>
            <w:tcW w:w="960" w:type="dxa"/>
            <w:vAlign w:val="bottom"/>
            <w:shd w:val="clear" w:color="auto" w:fill="DBDBDB"/>
          </w:tcPr>
          <w:p>
            <w:pPr>
              <w:spacing w:after="0"/>
              <w:rPr>
                <w:sz w:val="24"/>
                <w:szCs w:val="24"/>
                <w:color w:val="auto"/>
              </w:rPr>
            </w:pPr>
          </w:p>
        </w:tc>
        <w:tc>
          <w:tcPr>
            <w:tcW w:w="1180" w:type="dxa"/>
            <w:vAlign w:val="bottom"/>
            <w:shd w:val="clear" w:color="auto" w:fill="DBDBDB"/>
          </w:tcPr>
          <w:p>
            <w:pPr>
              <w:spacing w:after="0"/>
              <w:rPr>
                <w:sz w:val="24"/>
                <w:szCs w:val="24"/>
                <w:color w:val="auto"/>
              </w:rPr>
            </w:pPr>
          </w:p>
        </w:tc>
        <w:tc>
          <w:tcPr>
            <w:tcW w:w="1400" w:type="dxa"/>
            <w:vAlign w:val="bottom"/>
            <w:shd w:val="clear" w:color="auto" w:fill="DBDBDB"/>
          </w:tcPr>
          <w:p>
            <w:pPr>
              <w:spacing w:after="0"/>
              <w:rPr>
                <w:sz w:val="24"/>
                <w:szCs w:val="24"/>
                <w:color w:val="auto"/>
              </w:rPr>
            </w:pPr>
          </w:p>
        </w:tc>
      </w:tr>
      <w:tr>
        <w:trPr>
          <w:trHeight w:val="230"/>
        </w:trPr>
        <w:tc>
          <w:tcPr>
            <w:tcW w:w="13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11/08/2022</w:t>
            </w: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26,460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66,150</w:t>
            </w:r>
          </w:p>
        </w:tc>
        <w:tc>
          <w:tcPr>
            <w:tcW w:w="1180" w:type="dxa"/>
            <w:vAlign w:val="bottom"/>
          </w:tcPr>
          <w:p>
            <w:pPr>
              <w:spacing w:after="0"/>
              <w:rPr>
                <w:sz w:val="19"/>
                <w:szCs w:val="19"/>
                <w:color w:val="auto"/>
              </w:rPr>
            </w:pPr>
          </w:p>
        </w:tc>
        <w:tc>
          <w:tcPr>
            <w:tcW w:w="14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2,813,624(4)</w:t>
            </w:r>
          </w:p>
        </w:tc>
      </w:tr>
      <w:tr>
        <w:trPr>
          <w:trHeight w:val="230"/>
        </w:trPr>
        <w:tc>
          <w:tcPr>
            <w:tcW w:w="1320" w:type="dxa"/>
            <w:vAlign w:val="bottom"/>
            <w:shd w:val="clear" w:color="auto" w:fill="DBDBDB"/>
          </w:tcPr>
          <w:p>
            <w:pPr>
              <w:spacing w:after="0"/>
              <w:rPr>
                <w:sz w:val="19"/>
                <w:szCs w:val="19"/>
                <w:color w:val="auto"/>
              </w:rPr>
            </w:pPr>
          </w:p>
        </w:tc>
        <w:tc>
          <w:tcPr>
            <w:tcW w:w="12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11/08/2022</w:t>
            </w:r>
          </w:p>
        </w:tc>
        <w:tc>
          <w:tcPr>
            <w:tcW w:w="116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21"/>
              <w:spacing w:after="0"/>
              <w:rPr>
                <w:sz w:val="20"/>
                <w:szCs w:val="20"/>
                <w:color w:val="auto"/>
              </w:rPr>
            </w:pPr>
            <w:r>
              <w:rPr>
                <w:rFonts w:ascii="Times New Roman" w:cs="Times New Roman" w:eastAsia="Times New Roman" w:hAnsi="Times New Roman"/>
                <w:sz w:val="18"/>
                <w:szCs w:val="18"/>
                <w:color w:val="auto"/>
              </w:rPr>
              <w:t>17,640</w:t>
            </w:r>
          </w:p>
        </w:tc>
        <w:tc>
          <w:tcPr>
            <w:tcW w:w="1400" w:type="dxa"/>
            <w:vAlign w:val="bottom"/>
            <w:shd w:val="clear" w:color="auto" w:fill="DBDBDB"/>
          </w:tcPr>
          <w:p>
            <w:pPr>
              <w:ind w:left="460"/>
              <w:spacing w:after="0"/>
              <w:rPr>
                <w:sz w:val="20"/>
                <w:szCs w:val="20"/>
                <w:color w:val="auto"/>
              </w:rPr>
            </w:pPr>
            <w:r>
              <w:rPr>
                <w:rFonts w:ascii="Times New Roman" w:cs="Times New Roman" w:eastAsia="Times New Roman" w:hAnsi="Times New Roman"/>
                <w:sz w:val="18"/>
                <w:szCs w:val="18"/>
                <w:color w:val="auto"/>
                <w:w w:val="98"/>
              </w:rPr>
              <w:t>1,563,962(5)</w:t>
            </w:r>
          </w:p>
        </w:tc>
      </w:tr>
      <w:tr>
        <w:trPr>
          <w:trHeight w:val="594"/>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J. Terry</w:t>
            </w:r>
          </w:p>
        </w:tc>
        <w:tc>
          <w:tcPr>
            <w:tcW w:w="1200" w:type="dxa"/>
            <w:vAlign w:val="bottom"/>
          </w:tcPr>
          <w:p>
            <w:pPr>
              <w:spacing w:after="0"/>
              <w:rPr>
                <w:sz w:val="24"/>
                <w:szCs w:val="24"/>
                <w:color w:val="auto"/>
              </w:rPr>
            </w:pPr>
          </w:p>
        </w:tc>
        <w:tc>
          <w:tcPr>
            <w:tcW w:w="1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216,000</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432,000</w:t>
            </w: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864,000</w:t>
            </w: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0"/>
        </w:trPr>
        <w:tc>
          <w:tcPr>
            <w:tcW w:w="1320" w:type="dxa"/>
            <w:vAlign w:val="bottom"/>
            <w:shd w:val="clear" w:color="auto" w:fill="DBDBDB"/>
          </w:tcPr>
          <w:p>
            <w:pPr>
              <w:spacing w:after="0"/>
              <w:rPr>
                <w:sz w:val="19"/>
                <w:szCs w:val="19"/>
                <w:color w:val="auto"/>
              </w:rPr>
            </w:pPr>
          </w:p>
        </w:tc>
        <w:tc>
          <w:tcPr>
            <w:tcW w:w="120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11/08/2022</w:t>
            </w:r>
          </w:p>
        </w:tc>
        <w:tc>
          <w:tcPr>
            <w:tcW w:w="116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10,895</w:t>
            </w:r>
          </w:p>
        </w:tc>
        <w:tc>
          <w:tcPr>
            <w:tcW w:w="900" w:type="dxa"/>
            <w:vAlign w:val="bottom"/>
            <w:shd w:val="clear" w:color="auto" w:fill="DBDBDB"/>
          </w:tcPr>
          <w:p>
            <w:pPr>
              <w:ind w:left="300"/>
              <w:spacing w:after="0"/>
              <w:rPr>
                <w:sz w:val="20"/>
                <w:szCs w:val="20"/>
                <w:color w:val="auto"/>
              </w:rPr>
            </w:pPr>
            <w:r>
              <w:rPr>
                <w:rFonts w:ascii="Times New Roman" w:cs="Times New Roman" w:eastAsia="Times New Roman" w:hAnsi="Times New Roman"/>
                <w:sz w:val="18"/>
                <w:szCs w:val="18"/>
                <w:color w:val="auto"/>
              </w:rPr>
              <w:t>21,791</w:t>
            </w: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54,477</w:t>
            </w:r>
          </w:p>
        </w:tc>
        <w:tc>
          <w:tcPr>
            <w:tcW w:w="1180" w:type="dxa"/>
            <w:vAlign w:val="bottom"/>
            <w:shd w:val="clear" w:color="auto" w:fill="DBDBDB"/>
          </w:tcPr>
          <w:p>
            <w:pPr>
              <w:spacing w:after="0"/>
              <w:rPr>
                <w:sz w:val="19"/>
                <w:szCs w:val="19"/>
                <w:color w:val="auto"/>
              </w:rPr>
            </w:pPr>
          </w:p>
        </w:tc>
        <w:tc>
          <w:tcPr>
            <w:tcW w:w="1400" w:type="dxa"/>
            <w:vAlign w:val="bottom"/>
            <w:shd w:val="clear" w:color="auto" w:fill="DBDBDB"/>
          </w:tcPr>
          <w:p>
            <w:pPr>
              <w:ind w:left="460"/>
              <w:spacing w:after="0"/>
              <w:rPr>
                <w:sz w:val="20"/>
                <w:szCs w:val="20"/>
                <w:color w:val="auto"/>
              </w:rPr>
            </w:pPr>
            <w:r>
              <w:rPr>
                <w:rFonts w:ascii="Times New Roman" w:cs="Times New Roman" w:eastAsia="Times New Roman" w:hAnsi="Times New Roman"/>
                <w:sz w:val="18"/>
                <w:szCs w:val="18"/>
                <w:color w:val="auto"/>
                <w:w w:val="98"/>
              </w:rPr>
              <w:t>2,317,146(4)</w:t>
            </w:r>
          </w:p>
        </w:tc>
      </w:tr>
      <w:tr>
        <w:trPr>
          <w:trHeight w:val="234"/>
        </w:trPr>
        <w:tc>
          <w:tcPr>
            <w:tcW w:w="13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11/08/2022</w:t>
            </w:r>
          </w:p>
        </w:tc>
        <w:tc>
          <w:tcPr>
            <w:tcW w:w="1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14,527</w:t>
            </w:r>
          </w:p>
        </w:tc>
        <w:tc>
          <w:tcPr>
            <w:tcW w:w="14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1,287,964(5)</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36" w:lineRule="exact"/>
        <w:rPr>
          <w:sz w:val="20"/>
          <w:szCs w:val="20"/>
          <w:color w:val="auto"/>
        </w:rPr>
      </w:pPr>
    </w:p>
    <w:p>
      <w:pPr>
        <w:ind w:left="280" w:hanging="272"/>
        <w:spacing w:after="0"/>
        <w:tabs>
          <w:tab w:leader="none" w:pos="2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represent the potential value of awards earned under the Incentive Plan. The amounts actually paid to the Named Executive</w:t>
      </w:r>
    </w:p>
    <w:p>
      <w:pPr>
        <w:spacing w:after="0" w:line="47" w:lineRule="exact"/>
        <w:rPr>
          <w:rFonts w:ascii="Times New Roman" w:cs="Times New Roman" w:eastAsia="Times New Roman" w:hAnsi="Times New Roman"/>
          <w:sz w:val="18"/>
          <w:szCs w:val="18"/>
          <w:color w:val="auto"/>
        </w:rPr>
      </w:pPr>
    </w:p>
    <w:p>
      <w:pPr>
        <w:ind w:left="26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 under the Incentive Plan are shown above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under “</w:t>
      </w:r>
      <w:r>
        <w:rPr>
          <w:rFonts w:ascii="Times New Roman" w:cs="Times New Roman" w:eastAsia="Times New Roman" w:hAnsi="Times New Roman"/>
          <w:sz w:val="18"/>
          <w:szCs w:val="18"/>
          <w:i w:val="1"/>
          <w:iCs w:val="1"/>
          <w:color w:val="auto"/>
        </w:rPr>
        <w:t>Non-Equity Incentive Plan Compensation</w:t>
      </w:r>
      <w:r>
        <w:rPr>
          <w:rFonts w:ascii="Times New Roman" w:cs="Times New Roman" w:eastAsia="Times New Roman" w:hAnsi="Times New Roman"/>
          <w:sz w:val="18"/>
          <w:szCs w:val="18"/>
          <w:color w:val="auto"/>
        </w:rPr>
        <w:t>.” For a more complete description of the Incentive Plan, please see description above under “</w:t>
      </w:r>
      <w:r>
        <w:rPr>
          <w:rFonts w:ascii="Times New Roman" w:cs="Times New Roman" w:eastAsia="Times New Roman" w:hAnsi="Times New Roman"/>
          <w:sz w:val="18"/>
          <w:szCs w:val="18"/>
          <w:i w:val="1"/>
          <w:iCs w:val="1"/>
          <w:color w:val="auto"/>
        </w:rPr>
        <w:t>Components of Compensation—Short-Term Incentives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260" w:hanging="252"/>
        <w:spacing w:after="0" w:line="289" w:lineRule="auto"/>
        <w:tabs>
          <w:tab w:leader="none" w:pos="27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represent shares potentially issuable pursuant to the FY23 PSAs granted on November 8, 2022, under the Company’s 2015 Long-Term Incentive Plan, as described above under “</w:t>
      </w:r>
      <w:r>
        <w:rPr>
          <w:rFonts w:ascii="Times New Roman" w:cs="Times New Roman" w:eastAsia="Times New Roman" w:hAnsi="Times New Roman"/>
          <w:sz w:val="18"/>
          <w:szCs w:val="18"/>
          <w:i w:val="1"/>
          <w:iCs w:val="1"/>
          <w:color w:val="auto"/>
        </w:rPr>
        <w:t>Components of Compensation—Long-Term Stock-Based Compensation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underlying RSU awards granted under the Company’s 2015 Long-Term Incentive Plan. Each RSU award vests over four years at a</w:t>
      </w:r>
    </w:p>
    <w:p>
      <w:pPr>
        <w:spacing w:after="0" w:line="49" w:lineRule="exact"/>
        <w:rPr>
          <w:rFonts w:ascii="Times New Roman" w:cs="Times New Roman" w:eastAsia="Times New Roman" w:hAnsi="Times New Roman"/>
          <w:sz w:val="18"/>
          <w:szCs w:val="18"/>
          <w:color w:val="auto"/>
        </w:rPr>
      </w:pPr>
    </w:p>
    <w:p>
      <w:pPr>
        <w:ind w:left="2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of twenty-five percent (25%) per year commencing one year after the grant date and on each subsequent anniversary of the grant date for the following three years, provided the executive remains employed by the Company through each such vesting date.</w:t>
      </w:r>
    </w:p>
    <w:p>
      <w:pPr>
        <w:spacing w:after="0" w:line="1" w:lineRule="exact"/>
        <w:rPr>
          <w:rFonts w:ascii="Times New Roman" w:cs="Times New Roman" w:eastAsia="Times New Roman" w:hAnsi="Times New Roman"/>
          <w:sz w:val="18"/>
          <w:szCs w:val="18"/>
          <w:color w:val="auto"/>
        </w:rPr>
      </w:pPr>
    </w:p>
    <w:p>
      <w:pPr>
        <w:jc w:val="both"/>
        <w:ind w:left="260" w:hanging="252"/>
        <w:spacing w:after="0" w:line="289" w:lineRule="auto"/>
        <w:tabs>
          <w:tab w:leader="none" w:pos="29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grant date fair value of the FY23 PSAs, computed in accordance with the provisions of ASC 718, using (a) a Monte Carlo simulation (which weights the probability of multiple potential outcomes) to value the portion of the award related to TSR percentile ranking, and (b) a price of</w:t>
      </w:r>
    </w:p>
    <w:p>
      <w:pPr>
        <w:spacing w:after="0" w:line="1" w:lineRule="exact"/>
        <w:rPr>
          <w:rFonts w:ascii="Times New Roman" w:cs="Times New Roman" w:eastAsia="Times New Roman" w:hAnsi="Times New Roman"/>
          <w:sz w:val="18"/>
          <w:szCs w:val="18"/>
          <w:color w:val="auto"/>
        </w:rPr>
      </w:pPr>
    </w:p>
    <w:p>
      <w:pPr>
        <w:jc w:val="both"/>
        <w:ind w:left="2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$88.66 per share, which was the closing sale price of the Company’s common stock on the Nasdaq Global Select Market on November 8, 2022, to value the portion of the award related to emerging revenue growth and design wins, assuming performance at the “target” level. For a description of the</w:t>
      </w:r>
    </w:p>
    <w:p>
      <w:pPr>
        <w:spacing w:after="0" w:line="1" w:lineRule="exact"/>
        <w:rPr>
          <w:rFonts w:ascii="Times New Roman" w:cs="Times New Roman" w:eastAsia="Times New Roman" w:hAnsi="Times New Roman"/>
          <w:sz w:val="18"/>
          <w:szCs w:val="18"/>
          <w:color w:val="auto"/>
        </w:rPr>
      </w:pPr>
    </w:p>
    <w:p>
      <w:pPr>
        <w:ind w:left="2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used in calculating the fair value of equity awards granted in fiscal year 2023 under ASC 718, see Note 9 of the Company’s financial statements included in the Company’s Annual Report on Form 10-K filed with the SEC on November 17, 2023.</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4" w:name="page25"/>
    <w:bookmarkEnd w:id="24"/>
    <w:p>
      <w:pPr>
        <w:ind w:left="252" w:hanging="252"/>
        <w:spacing w:after="0" w:line="313" w:lineRule="auto"/>
        <w:tabs>
          <w:tab w:leader="none" w:pos="2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grant date fair value of the RSUs granted on November 8, 2022, computed in accordance with the provisions of ASC 718 using a price of $88.66 per share, which was the closing price of the Company’s common stock on the Nasdaq Global Select Market on November 8, 2022.</w:t>
      </w:r>
    </w:p>
    <w:p>
      <w:pPr>
        <w:spacing w:after="0" w:line="24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236220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18" w:right="339" w:bottom="1440" w:gutter="0" w:footer="0" w:header="0"/>
        </w:sectPr>
      </w:pPr>
    </w:p>
    <w:bookmarkStart w:id="25" w:name="page26"/>
    <w:bookmarkEnd w:id="25"/>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 End Table</w:t>
      </w:r>
    </w:p>
    <w:p>
      <w:pPr>
        <w:spacing w:after="0" w:line="256" w:lineRule="exact"/>
        <w:rPr>
          <w:sz w:val="20"/>
          <w:szCs w:val="20"/>
          <w:color w:val="auto"/>
        </w:rPr>
      </w:pPr>
    </w:p>
    <w:p>
      <w:pPr>
        <w:ind w:firstLine="389"/>
        <w:spacing w:after="0" w:line="329" w:lineRule="auto"/>
        <w:rPr>
          <w:sz w:val="20"/>
          <w:szCs w:val="20"/>
          <w:color w:val="auto"/>
        </w:rPr>
      </w:pPr>
      <w:r>
        <w:rPr>
          <w:rFonts w:ascii="Times New Roman" w:cs="Times New Roman" w:eastAsia="Times New Roman" w:hAnsi="Times New Roman"/>
          <w:sz w:val="18"/>
          <w:szCs w:val="18"/>
          <w:color w:val="auto"/>
        </w:rPr>
        <w:t>The following table summarizes the unvested stock awards and all stock options held by the Named Executive Officers as of the end of fiscal year 2023.</w:t>
      </w:r>
    </w:p>
    <w:p>
      <w:pPr>
        <w:sectPr>
          <w:pgSz w:w="11900" w:h="16838" w:orient="portrait"/>
          <w:cols w:equalWidth="0" w:num="1">
            <w:col w:w="11240"/>
          </w:cols>
          <w:pgMar w:left="320" w:top="9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Liam K. Griffin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Kris Sennesael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Reza Kasnavi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Carlos S. Bori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Robert J. Terry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980" w:type="dxa"/>
            <w:vAlign w:val="bottom"/>
          </w:tcPr>
          <w:p>
            <w:pPr>
              <w:jc w:val="center"/>
              <w:ind w:right="148"/>
              <w:spacing w:after="0" w:line="137"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8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80" w:type="dxa"/>
            <w:vAlign w:val="bottom"/>
          </w:tcPr>
          <w:p>
            <w:pPr>
              <w:jc w:val="center"/>
              <w:ind w:right="148"/>
              <w:spacing w:after="0" w:line="146"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20" w:type="dxa"/>
            <w:vAlign w:val="bottom"/>
            <w:vMerge w:val="continue"/>
          </w:tcPr>
          <w:p>
            <w:pPr>
              <w:spacing w:after="0"/>
              <w:rPr>
                <w:sz w:val="12"/>
                <w:szCs w:val="12"/>
                <w:color w:val="auto"/>
              </w:rPr>
            </w:pPr>
          </w:p>
        </w:tc>
        <w:tc>
          <w:tcPr>
            <w:tcW w:w="1000" w:type="dxa"/>
            <w:vAlign w:val="bottom"/>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35"/>
        </w:trPr>
        <w:tc>
          <w:tcPr>
            <w:tcW w:w="980" w:type="dxa"/>
            <w:vAlign w:val="bottom"/>
          </w:tcPr>
          <w:p>
            <w:pPr>
              <w:jc w:val="center"/>
              <w:ind w:right="148"/>
              <w:spacing w:after="0" w:line="135"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8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0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3"/>
        </w:trPr>
        <w:tc>
          <w:tcPr>
            <w:tcW w:w="9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306705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581025</wp:posOffset>
            </wp:positionV>
            <wp:extent cx="713232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838200</wp:posOffset>
            </wp:positionV>
            <wp:extent cx="713232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580"/>
        <w:spacing w:after="0"/>
        <w:tabs>
          <w:tab w:leader="none" w:pos="2120" w:val="left"/>
          <w:tab w:leader="none" w:pos="3180" w:val="left"/>
          <w:tab w:leader="none" w:pos="4160" w:val="left"/>
        </w:tabs>
        <w:rPr>
          <w:sz w:val="20"/>
          <w:szCs w:val="20"/>
          <w:color w:val="auto"/>
        </w:rPr>
      </w:pPr>
      <w:r>
        <w:rPr>
          <w:rFonts w:ascii="Times New Roman" w:cs="Times New Roman" w:eastAsia="Times New Roman" w:hAnsi="Times New Roman"/>
          <w:sz w:val="14"/>
          <w:szCs w:val="14"/>
          <w:color w:val="auto"/>
        </w:rPr>
        <w:t>12,770</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77.66</w:t>
      </w:r>
      <w:r>
        <w:rPr>
          <w:sz w:val="20"/>
          <w:szCs w:val="20"/>
          <w:color w:val="auto"/>
        </w:rPr>
        <w:tab/>
      </w:r>
      <w:r>
        <w:rPr>
          <w:rFonts w:ascii="Times New Roman" w:cs="Times New Roman" w:eastAsia="Times New Roman" w:hAnsi="Times New Roman"/>
          <w:sz w:val="14"/>
          <w:szCs w:val="14"/>
          <w:color w:val="auto"/>
        </w:rPr>
        <w:t>11/9/2023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32385</wp:posOffset>
            </wp:positionV>
            <wp:extent cx="713232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289560</wp:posOffset>
            </wp:positionV>
            <wp:extent cx="713232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546735</wp:posOffset>
            </wp:positionV>
            <wp:extent cx="713232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958215</wp:posOffset>
            </wp:positionV>
            <wp:extent cx="713232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1215390</wp:posOffset>
            </wp:positionV>
            <wp:extent cx="713232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1472565</wp:posOffset>
            </wp:positionV>
            <wp:extent cx="713232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1884045</wp:posOffset>
            </wp:positionV>
            <wp:extent cx="713232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2141220</wp:posOffset>
            </wp:positionV>
            <wp:extent cx="713232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2398395</wp:posOffset>
            </wp:positionV>
            <wp:extent cx="713232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2809875</wp:posOffset>
            </wp:positionV>
            <wp:extent cx="713232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3067050</wp:posOffset>
            </wp:positionV>
            <wp:extent cx="713232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3324225</wp:posOffset>
            </wp:positionV>
            <wp:extent cx="713232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2500" w:type="dxa"/>
            <w:vAlign w:val="bottom"/>
            <w:gridSpan w:val="2"/>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37"/>
        </w:trPr>
        <w:tc>
          <w:tcPr>
            <w:tcW w:w="1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80" w:type="dxa"/>
            <w:vAlign w:val="bottom"/>
          </w:tcPr>
          <w:p>
            <w:pPr>
              <w:jc w:val="center"/>
              <w:ind w:right="188"/>
              <w:spacing w:after="0" w:line="137"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220" w:type="dxa"/>
            <w:vAlign w:val="bottom"/>
          </w:tcPr>
          <w:p>
            <w:pPr>
              <w:jc w:val="center"/>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tcPr>
          <w:p>
            <w:pPr>
              <w:jc w:val="center"/>
              <w:ind w:right="208"/>
              <w:spacing w:after="0" w:line="146" w:lineRule="exact"/>
              <w:rPr>
                <w:sz w:val="20"/>
                <w:szCs w:val="20"/>
                <w:color w:val="auto"/>
              </w:rPr>
            </w:pPr>
            <w:r>
              <w:rPr>
                <w:rFonts w:ascii="Times New Roman" w:cs="Times New Roman" w:eastAsia="Times New Roman" w:hAnsi="Times New Roman"/>
                <w:sz w:val="14"/>
                <w:szCs w:val="14"/>
                <w:b w:val="1"/>
                <w:bCs w:val="1"/>
                <w:color w:val="auto"/>
              </w:rPr>
              <w:t>Plan</w:t>
            </w:r>
          </w:p>
        </w:tc>
        <w:tc>
          <w:tcPr>
            <w:tcW w:w="122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1080" w:type="dxa"/>
            <w:vAlign w:val="bottom"/>
            <w:vMerge w:val="restart"/>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2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28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12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108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28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2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35"/>
        </w:trPr>
        <w:tc>
          <w:tcPr>
            <w:tcW w:w="1080" w:type="dxa"/>
            <w:vAlign w:val="bottom"/>
          </w:tcPr>
          <w:p>
            <w:pPr>
              <w:jc w:val="center"/>
              <w:ind w:right="448"/>
              <w:spacing w:after="0" w:line="135"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220" w:type="dxa"/>
            <w:vAlign w:val="bottom"/>
          </w:tcPr>
          <w:p>
            <w:pPr>
              <w:jc w:val="center"/>
              <w:ind w:right="208"/>
              <w:spacing w:after="0" w:line="135"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280" w:type="dxa"/>
            <w:vAlign w:val="bottom"/>
          </w:tcPr>
          <w:p>
            <w:pPr>
              <w:jc w:val="center"/>
              <w:ind w:right="188"/>
              <w:spacing w:after="0" w:line="135" w:lineRule="exact"/>
              <w:rPr>
                <w:sz w:val="20"/>
                <w:szCs w:val="20"/>
                <w:color w:val="auto"/>
              </w:rPr>
            </w:pPr>
            <w:r>
              <w:rPr>
                <w:rFonts w:ascii="Times New Roman" w:cs="Times New Roman" w:eastAsia="Times New Roman" w:hAnsi="Times New Roman"/>
                <w:sz w:val="14"/>
                <w:szCs w:val="14"/>
                <w:b w:val="1"/>
                <w:bCs w:val="1"/>
                <w:color w:val="auto"/>
              </w:rPr>
              <w:t>of Unearned</w:t>
            </w:r>
          </w:p>
        </w:tc>
        <w:tc>
          <w:tcPr>
            <w:tcW w:w="122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1080" w:type="dxa"/>
            <w:vAlign w:val="bottom"/>
          </w:tcPr>
          <w:p>
            <w:pPr>
              <w:jc w:val="center"/>
              <w:ind w:right="428"/>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122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8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1080" w:type="dxa"/>
            <w:vAlign w:val="bottom"/>
          </w:tcPr>
          <w:p>
            <w:pPr>
              <w:jc w:val="center"/>
              <w:ind w:right="428"/>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122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128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12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35"/>
        </w:trPr>
        <w:tc>
          <w:tcPr>
            <w:tcW w:w="1080" w:type="dxa"/>
            <w:vAlign w:val="bottom"/>
          </w:tcPr>
          <w:p>
            <w:pPr>
              <w:jc w:val="center"/>
              <w:ind w:right="448"/>
              <w:spacing w:after="0" w:line="135"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1220" w:type="dxa"/>
            <w:vAlign w:val="bottom"/>
          </w:tcPr>
          <w:p>
            <w:pPr>
              <w:jc w:val="center"/>
              <w:ind w:right="208"/>
              <w:spacing w:after="0" w:line="135"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1280" w:type="dxa"/>
            <w:vAlign w:val="bottom"/>
          </w:tcPr>
          <w:p>
            <w:pPr>
              <w:jc w:val="center"/>
              <w:ind w:right="188"/>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22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1080" w:type="dxa"/>
            <w:vAlign w:val="bottom"/>
          </w:tcPr>
          <w:p>
            <w:pPr>
              <w:jc w:val="center"/>
              <w:ind w:right="448"/>
              <w:spacing w:after="0" w:line="149" w:lineRule="exact"/>
              <w:rPr>
                <w:sz w:val="20"/>
                <w:szCs w:val="20"/>
                <w:color w:val="auto"/>
              </w:rPr>
            </w:pPr>
            <w:r>
              <w:rPr>
                <w:rFonts w:ascii="Times New Roman" w:cs="Times New Roman" w:eastAsia="Times New Roman" w:hAnsi="Times New Roman"/>
                <w:sz w:val="14"/>
                <w:szCs w:val="14"/>
                <w:b w:val="1"/>
                <w:bCs w:val="1"/>
                <w:color w:val="auto"/>
              </w:rPr>
              <w:t>Have</w:t>
            </w:r>
          </w:p>
        </w:tc>
        <w:tc>
          <w:tcPr>
            <w:tcW w:w="122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28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12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w:t>
            </w:r>
          </w:p>
        </w:tc>
        <w:tc>
          <w:tcPr>
            <w:tcW w:w="0" w:type="dxa"/>
            <w:vAlign w:val="bottom"/>
          </w:tcPr>
          <w:p>
            <w:pPr>
              <w:spacing w:after="0"/>
              <w:rPr>
                <w:sz w:val="1"/>
                <w:szCs w:val="1"/>
                <w:color w:val="auto"/>
              </w:rPr>
            </w:pPr>
          </w:p>
        </w:tc>
      </w:tr>
      <w:tr>
        <w:trPr>
          <w:trHeight w:val="148"/>
        </w:trPr>
        <w:tc>
          <w:tcPr>
            <w:tcW w:w="1080" w:type="dxa"/>
            <w:vAlign w:val="bottom"/>
          </w:tcPr>
          <w:p>
            <w:pPr>
              <w:jc w:val="center"/>
              <w:ind w:right="428"/>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122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28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2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35"/>
        </w:trPr>
        <w:tc>
          <w:tcPr>
            <w:tcW w:w="1080" w:type="dxa"/>
            <w:vAlign w:val="bottom"/>
          </w:tcPr>
          <w:p>
            <w:pPr>
              <w:jc w:val="center"/>
              <w:ind w:right="448"/>
              <w:spacing w:after="0" w:line="135"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220" w:type="dxa"/>
            <w:vAlign w:val="bottom"/>
          </w:tcPr>
          <w:p>
            <w:pPr>
              <w:jc w:val="center"/>
              <w:ind w:right="228"/>
              <w:spacing w:after="0" w:line="135"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280" w:type="dxa"/>
            <w:vAlign w:val="bottom"/>
          </w:tcPr>
          <w:p>
            <w:pPr>
              <w:jc w:val="center"/>
              <w:ind w:right="188"/>
              <w:spacing w:after="0" w:line="135"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122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0" w:type="dxa"/>
            <w:vAlign w:val="bottom"/>
          </w:tcPr>
          <w:p>
            <w:pPr>
              <w:spacing w:after="0"/>
              <w:rPr>
                <w:sz w:val="1"/>
                <w:szCs w:val="1"/>
                <w:color w:val="auto"/>
              </w:rPr>
            </w:pPr>
          </w:p>
        </w:tc>
      </w:tr>
      <w:tr>
        <w:trPr>
          <w:trHeight w:val="193"/>
        </w:trPr>
        <w:tc>
          <w:tcPr>
            <w:tcW w:w="108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2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($)(1)</w:t>
            </w:r>
          </w:p>
        </w:tc>
        <w:tc>
          <w:tcPr>
            <w:tcW w:w="128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459"/>
        </w:trPr>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10,129(2)</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998,618</w:t>
            </w: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11,468(8)</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1,130,630</w:t>
            </w:r>
          </w:p>
        </w:tc>
        <w:tc>
          <w:tcPr>
            <w:tcW w:w="0" w:type="dxa"/>
            <w:vAlign w:val="bottom"/>
          </w:tcPr>
          <w:p>
            <w:pPr>
              <w:spacing w:after="0"/>
              <w:rPr>
                <w:sz w:val="1"/>
                <w:szCs w:val="1"/>
                <w:color w:val="auto"/>
              </w:rPr>
            </w:pPr>
          </w:p>
        </w:tc>
      </w:tr>
      <w:tr>
        <w:trPr>
          <w:trHeight w:val="230"/>
        </w:trPr>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15,291(3)</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1,507,540</w:t>
            </w: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11,930(9)</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1,176,179</w:t>
            </w:r>
          </w:p>
        </w:tc>
        <w:tc>
          <w:tcPr>
            <w:tcW w:w="0" w:type="dxa"/>
            <w:vAlign w:val="bottom"/>
          </w:tcPr>
          <w:p>
            <w:pPr>
              <w:spacing w:after="0"/>
              <w:rPr>
                <w:sz w:val="1"/>
                <w:szCs w:val="1"/>
                <w:color w:val="auto"/>
              </w:rPr>
            </w:pPr>
          </w:p>
        </w:tc>
      </w:tr>
      <w:tr>
        <w:trPr>
          <w:trHeight w:val="203"/>
        </w:trPr>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23,859(4)</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2,352,259</w:t>
            </w: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87,976(10)</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8,673,553</w:t>
            </w:r>
          </w:p>
        </w:tc>
        <w:tc>
          <w:tcPr>
            <w:tcW w:w="0" w:type="dxa"/>
            <w:vAlign w:val="bottom"/>
          </w:tcPr>
          <w:p>
            <w:pPr>
              <w:spacing w:after="0"/>
              <w:rPr>
                <w:sz w:val="1"/>
                <w:szCs w:val="1"/>
                <w:color w:val="auto"/>
              </w:rPr>
            </w:pPr>
          </w:p>
        </w:tc>
      </w:tr>
      <w:tr>
        <w:trPr>
          <w:trHeight w:val="203"/>
        </w:trPr>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58,651(5)</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5,782,402</w:t>
            </w: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39,726(6)</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3,916,586</w:t>
            </w: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43,988(7)</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4,336,777</w:t>
            </w: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5"/>
        </w:trPr>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3,241(2)</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319,530</w:t>
            </w: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3,544(8)</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349,403</w:t>
            </w:r>
          </w:p>
        </w:tc>
        <w:tc>
          <w:tcPr>
            <w:tcW w:w="0" w:type="dxa"/>
            <w:vAlign w:val="bottom"/>
          </w:tcPr>
          <w:p>
            <w:pPr>
              <w:spacing w:after="0"/>
              <w:rPr>
                <w:sz w:val="1"/>
                <w:szCs w:val="1"/>
                <w:color w:val="auto"/>
              </w:rPr>
            </w:pPr>
          </w:p>
        </w:tc>
      </w:tr>
      <w:tr>
        <w:trPr>
          <w:trHeight w:val="203"/>
        </w:trPr>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4,726(3)</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465,936</w:t>
            </w: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3,766(9)</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371,290</w:t>
            </w:r>
          </w:p>
        </w:tc>
        <w:tc>
          <w:tcPr>
            <w:tcW w:w="0" w:type="dxa"/>
            <w:vAlign w:val="bottom"/>
          </w:tcPr>
          <w:p>
            <w:pPr>
              <w:spacing w:after="0"/>
              <w:rPr>
                <w:sz w:val="1"/>
                <w:szCs w:val="1"/>
                <w:color w:val="auto"/>
              </w:rPr>
            </w:pPr>
          </w:p>
        </w:tc>
      </w:tr>
      <w:tr>
        <w:trPr>
          <w:trHeight w:val="203"/>
        </w:trPr>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7,532(4)</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742,580</w:t>
            </w: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25,039(10)</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2,468,595</w:t>
            </w:r>
          </w:p>
        </w:tc>
        <w:tc>
          <w:tcPr>
            <w:tcW w:w="0" w:type="dxa"/>
            <w:vAlign w:val="bottom"/>
          </w:tcPr>
          <w:p>
            <w:pPr>
              <w:spacing w:after="0"/>
              <w:rPr>
                <w:sz w:val="1"/>
                <w:szCs w:val="1"/>
                <w:color w:val="auto"/>
              </w:rPr>
            </w:pPr>
          </w:p>
        </w:tc>
      </w:tr>
      <w:tr>
        <w:trPr>
          <w:trHeight w:val="203"/>
        </w:trPr>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16,692(5)</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1,645,664</w:t>
            </w: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12,540(6)</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1,236,319</w:t>
            </w: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12,520(7)</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1,234,347</w:t>
            </w: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5"/>
        </w:trPr>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2,735(2)</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269,644</w:t>
            </w: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3,440(8)</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339,150</w:t>
            </w:r>
          </w:p>
        </w:tc>
        <w:tc>
          <w:tcPr>
            <w:tcW w:w="0" w:type="dxa"/>
            <w:vAlign w:val="bottom"/>
          </w:tcPr>
          <w:p>
            <w:pPr>
              <w:spacing w:after="0"/>
              <w:rPr>
                <w:sz w:val="1"/>
                <w:szCs w:val="1"/>
                <w:color w:val="auto"/>
              </w:rPr>
            </w:pPr>
          </w:p>
        </w:tc>
      </w:tr>
      <w:tr>
        <w:trPr>
          <w:trHeight w:val="203"/>
        </w:trPr>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4,586(3)</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452,134</w:t>
            </w: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3,658(9)</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360,642</w:t>
            </w:r>
          </w:p>
        </w:tc>
        <w:tc>
          <w:tcPr>
            <w:tcW w:w="0" w:type="dxa"/>
            <w:vAlign w:val="bottom"/>
          </w:tcPr>
          <w:p>
            <w:pPr>
              <w:spacing w:after="0"/>
              <w:rPr>
                <w:sz w:val="1"/>
                <w:szCs w:val="1"/>
                <w:color w:val="auto"/>
              </w:rPr>
            </w:pPr>
          </w:p>
        </w:tc>
      </w:tr>
      <w:tr>
        <w:trPr>
          <w:trHeight w:val="203"/>
        </w:trPr>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7,317(4)</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721,383</w:t>
            </w: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26,460(10)</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2,608,691</w:t>
            </w:r>
          </w:p>
        </w:tc>
        <w:tc>
          <w:tcPr>
            <w:tcW w:w="0" w:type="dxa"/>
            <w:vAlign w:val="bottom"/>
          </w:tcPr>
          <w:p>
            <w:pPr>
              <w:spacing w:after="0"/>
              <w:rPr>
                <w:sz w:val="1"/>
                <w:szCs w:val="1"/>
                <w:color w:val="auto"/>
              </w:rPr>
            </w:pPr>
          </w:p>
        </w:tc>
      </w:tr>
      <w:tr>
        <w:trPr>
          <w:trHeight w:val="203"/>
        </w:trPr>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17,640(5)</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1,739,128</w:t>
            </w: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12,183(6)</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1,201,122</w:t>
            </w: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13,230(7)</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1,304,346</w:t>
            </w: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5"/>
        </w:trPr>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2,735(2)</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269,644</w:t>
            </w: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3,023(8)</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298,038</w:t>
            </w:r>
          </w:p>
        </w:tc>
        <w:tc>
          <w:tcPr>
            <w:tcW w:w="0" w:type="dxa"/>
            <w:vAlign w:val="bottom"/>
          </w:tcPr>
          <w:p>
            <w:pPr>
              <w:spacing w:after="0"/>
              <w:rPr>
                <w:sz w:val="1"/>
                <w:szCs w:val="1"/>
                <w:color w:val="auto"/>
              </w:rPr>
            </w:pPr>
          </w:p>
        </w:tc>
      </w:tr>
      <w:tr>
        <w:trPr>
          <w:trHeight w:val="203"/>
        </w:trPr>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4,030(3)</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397,318</w:t>
            </w: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3,658(9)</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360,642</w:t>
            </w:r>
          </w:p>
        </w:tc>
        <w:tc>
          <w:tcPr>
            <w:tcW w:w="0" w:type="dxa"/>
            <w:vAlign w:val="bottom"/>
          </w:tcPr>
          <w:p>
            <w:pPr>
              <w:spacing w:after="0"/>
              <w:rPr>
                <w:sz w:val="1"/>
                <w:szCs w:val="1"/>
                <w:color w:val="auto"/>
              </w:rPr>
            </w:pPr>
          </w:p>
        </w:tc>
      </w:tr>
      <w:tr>
        <w:trPr>
          <w:trHeight w:val="203"/>
        </w:trPr>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7,317(4)</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721,383</w:t>
            </w: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26,640(10)</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2,608,691</w:t>
            </w:r>
          </w:p>
        </w:tc>
        <w:tc>
          <w:tcPr>
            <w:tcW w:w="0" w:type="dxa"/>
            <w:vAlign w:val="bottom"/>
          </w:tcPr>
          <w:p>
            <w:pPr>
              <w:spacing w:after="0"/>
              <w:rPr>
                <w:sz w:val="1"/>
                <w:szCs w:val="1"/>
                <w:color w:val="auto"/>
              </w:rPr>
            </w:pPr>
          </w:p>
        </w:tc>
      </w:tr>
      <w:tr>
        <w:trPr>
          <w:trHeight w:val="203"/>
        </w:trPr>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17,640(5)</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1,739,128</w:t>
            </w: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12,183(6)</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1,201,122</w:t>
            </w: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13,230(7)</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1,304,346</w:t>
            </w: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5"/>
        </w:trPr>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2,633(2)</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259,587</w:t>
            </w: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2,815(8)</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277,531</w:t>
            </w:r>
          </w:p>
        </w:tc>
        <w:tc>
          <w:tcPr>
            <w:tcW w:w="0" w:type="dxa"/>
            <w:vAlign w:val="bottom"/>
          </w:tcPr>
          <w:p>
            <w:pPr>
              <w:spacing w:after="0"/>
              <w:rPr>
                <w:sz w:val="1"/>
                <w:szCs w:val="1"/>
                <w:color w:val="auto"/>
              </w:rPr>
            </w:pPr>
          </w:p>
        </w:tc>
      </w:tr>
      <w:tr>
        <w:trPr>
          <w:trHeight w:val="203"/>
        </w:trPr>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3,752(3)</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369,910</w:t>
            </w: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3,012(9)</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296,953</w:t>
            </w:r>
          </w:p>
        </w:tc>
        <w:tc>
          <w:tcPr>
            <w:tcW w:w="0" w:type="dxa"/>
            <w:vAlign w:val="bottom"/>
          </w:tcPr>
          <w:p>
            <w:pPr>
              <w:spacing w:after="0"/>
              <w:rPr>
                <w:sz w:val="1"/>
                <w:szCs w:val="1"/>
                <w:color w:val="auto"/>
              </w:rPr>
            </w:pPr>
          </w:p>
        </w:tc>
      </w:tr>
      <w:tr>
        <w:trPr>
          <w:trHeight w:val="203"/>
        </w:trPr>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6,025(4)</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594,005</w:t>
            </w: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21,791(10)</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2,148,375</w:t>
            </w:r>
          </w:p>
        </w:tc>
        <w:tc>
          <w:tcPr>
            <w:tcW w:w="0" w:type="dxa"/>
            <w:vAlign w:val="bottom"/>
          </w:tcPr>
          <w:p>
            <w:pPr>
              <w:spacing w:after="0"/>
              <w:rPr>
                <w:sz w:val="1"/>
                <w:szCs w:val="1"/>
                <w:color w:val="auto"/>
              </w:rPr>
            </w:pPr>
          </w:p>
        </w:tc>
      </w:tr>
      <w:tr>
        <w:trPr>
          <w:trHeight w:val="203"/>
        </w:trPr>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14,527(5)</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1,432,217</w:t>
            </w: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10,033(6)</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989,153</w:t>
            </w: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10,896(7)</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1,074,237</w:t>
            </w: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sectPr>
          <w:pgSz w:w="11900" w:h="16838" w:orient="portrait"/>
          <w:cols w:equalWidth="0" w:num="3">
            <w:col w:w="940" w:space="360"/>
            <w:col w:w="4760" w:space="360"/>
            <w:col w:w="4820"/>
          </w:cols>
          <w:pgMar w:left="320" w:top="91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36" w:lineRule="exact"/>
        <w:rPr>
          <w:sz w:val="20"/>
          <w:szCs w:val="20"/>
          <w:color w:val="auto"/>
        </w:rPr>
      </w:pPr>
    </w:p>
    <w:p>
      <w:pPr>
        <w:ind w:left="660" w:hanging="328"/>
        <w:spacing w:after="0" w:line="289" w:lineRule="auto"/>
        <w:tabs>
          <w:tab w:leader="none" w:pos="6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price of $98.59 per share, which was the closing sale price of the Company’s common stock on the Nasdaq Global Select Market on September 29, 2023.</w:t>
      </w:r>
    </w:p>
    <w:p>
      <w:pPr>
        <w:spacing w:after="0" w:line="1" w:lineRule="exact"/>
        <w:rPr>
          <w:rFonts w:ascii="Times New Roman" w:cs="Times New Roman" w:eastAsia="Times New Roman" w:hAnsi="Times New Roman"/>
          <w:sz w:val="18"/>
          <w:szCs w:val="18"/>
          <w:color w:val="auto"/>
        </w:rPr>
      </w:pPr>
    </w:p>
    <w:p>
      <w:pPr>
        <w:ind w:left="660" w:hanging="328"/>
        <w:spacing w:after="0" w:line="329" w:lineRule="auto"/>
        <w:tabs>
          <w:tab w:leader="none" w:pos="6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issuable under an RSU award granted on November 5, 2019, under the Company’s 2015 Long-Term Incentive Plan. The RSU award vested at a rate of 25% per year on each anniversary of the grant date until it became fully vested on November 5, 2023.</w:t>
      </w:r>
    </w:p>
    <w:p>
      <w:pPr>
        <w:sectPr>
          <w:pgSz w:w="11900" w:h="16838" w:orient="portrait"/>
          <w:cols w:equalWidth="0" w:num="1">
            <w:col w:w="11240"/>
          </w:cols>
          <w:pgMar w:left="320" w:top="914" w:right="339" w:bottom="1440" w:gutter="0" w:footer="0" w:header="0"/>
          <w:type w:val="continuous"/>
        </w:sect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26" w:name="page27"/>
    <w:bookmarkEnd w:id="26"/>
    <w:p>
      <w:pPr>
        <w:ind w:left="328" w:hanging="328"/>
        <w:spacing w:after="0" w:line="289" w:lineRule="auto"/>
        <w:tabs>
          <w:tab w:leader="none" w:pos="32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issuable under an RSU award granted on November 11, 2020, under the Company’s 2015 Long-Term Incentive Plan. The RSU award vests at a rate of 25% per year on each anniversary of the grant date through November 11, 2024.</w:t>
      </w:r>
    </w:p>
    <w:p>
      <w:pPr>
        <w:spacing w:after="0" w:line="1" w:lineRule="exact"/>
        <w:rPr>
          <w:rFonts w:ascii="Times New Roman" w:cs="Times New Roman" w:eastAsia="Times New Roman" w:hAnsi="Times New Roman"/>
          <w:sz w:val="18"/>
          <w:szCs w:val="18"/>
          <w:color w:val="auto"/>
        </w:rPr>
      </w:pPr>
    </w:p>
    <w:p>
      <w:pPr>
        <w:ind w:left="328" w:hanging="328"/>
        <w:spacing w:after="0" w:line="289" w:lineRule="auto"/>
        <w:tabs>
          <w:tab w:leader="none" w:pos="32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issuable under an RSU award granted on November 10, 2021, under the Company’s 2015 Long-Term Incentive Plan. The RSU award vests at a rate of 25% per year on each anniversary of the grant date through November 10, 2025.</w:t>
      </w:r>
    </w:p>
    <w:p>
      <w:pPr>
        <w:spacing w:after="0" w:line="1" w:lineRule="exact"/>
        <w:rPr>
          <w:rFonts w:ascii="Times New Roman" w:cs="Times New Roman" w:eastAsia="Times New Roman" w:hAnsi="Times New Roman"/>
          <w:sz w:val="18"/>
          <w:szCs w:val="18"/>
          <w:color w:val="auto"/>
        </w:rPr>
      </w:pPr>
    </w:p>
    <w:p>
      <w:pPr>
        <w:ind w:left="328" w:hanging="328"/>
        <w:spacing w:after="0" w:line="289" w:lineRule="auto"/>
        <w:tabs>
          <w:tab w:leader="none" w:pos="32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issuable under an RSU award granted on November 8, 2022, under the Company’s 2015 Long-Term Incentive Plan. The RSU award vests at a rate of 25% per year on each anniversary of the grant date through November 8, 2026.</w:t>
      </w:r>
    </w:p>
    <w:p>
      <w:pPr>
        <w:spacing w:after="0" w:line="1" w:lineRule="exact"/>
        <w:rPr>
          <w:rFonts w:ascii="Times New Roman" w:cs="Times New Roman" w:eastAsia="Times New Roman" w:hAnsi="Times New Roman"/>
          <w:sz w:val="18"/>
          <w:szCs w:val="18"/>
          <w:color w:val="auto"/>
        </w:rPr>
      </w:pPr>
    </w:p>
    <w:p>
      <w:pPr>
        <w:jc w:val="both"/>
        <w:ind w:left="328" w:hanging="328"/>
        <w:spacing w:after="0" w:line="289" w:lineRule="auto"/>
        <w:tabs>
          <w:tab w:leader="none" w:pos="32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issuable under the fiscal year 2022 PSAs (“FY22 PSAs”) (awarded on November 10, 2021) with respect to the emerging revenue growth metric measured over a one-year performance period consisting of the Company’s fiscal year 2022, assuming achievement at the</w:t>
      </w:r>
    </w:p>
    <w:p>
      <w:pPr>
        <w:spacing w:after="0" w:line="1" w:lineRule="exact"/>
        <w:rPr>
          <w:rFonts w:ascii="Times New Roman" w:cs="Times New Roman" w:eastAsia="Times New Roman" w:hAnsi="Times New Roman"/>
          <w:sz w:val="18"/>
          <w:szCs w:val="18"/>
          <w:color w:val="auto"/>
        </w:rPr>
      </w:pPr>
    </w:p>
    <w:p>
      <w:pPr>
        <w:jc w:val="both"/>
        <w:ind w:left="328"/>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level of performance, one hundred percent (100%) of which were issued on November 10, 2023. Also represents shares issuable under the FY22 PSAs with respect to the EBITDA margin percentile ranking metric measured over a two-year performance period consisting of</w:t>
      </w:r>
    </w:p>
    <w:p>
      <w:pPr>
        <w:spacing w:after="0" w:line="1" w:lineRule="exact"/>
        <w:rPr>
          <w:rFonts w:ascii="Times New Roman" w:cs="Times New Roman" w:eastAsia="Times New Roman" w:hAnsi="Times New Roman"/>
          <w:sz w:val="18"/>
          <w:szCs w:val="18"/>
          <w:color w:val="auto"/>
        </w:rPr>
      </w:pPr>
    </w:p>
    <w:p>
      <w:pPr>
        <w:ind w:left="328"/>
        <w:spacing w:after="0" w:line="28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fiscal years 2022 and 2023, assuming achievement with respect to such metric of 133% of the target level of performance, one hundred percent (100%) of which were issued on November 10, 2023.</w:t>
      </w:r>
    </w:p>
    <w:p>
      <w:pPr>
        <w:ind w:left="308" w:hanging="308"/>
        <w:spacing w:after="0"/>
        <w:tabs>
          <w:tab w:leader="none" w:pos="3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issuable under the FY23 PSAs (awarded on November 8, 2022, as described above under “</w:t>
      </w:r>
      <w:r>
        <w:rPr>
          <w:rFonts w:ascii="Times New Roman" w:cs="Times New Roman" w:eastAsia="Times New Roman" w:hAnsi="Times New Roman"/>
          <w:sz w:val="18"/>
          <w:szCs w:val="18"/>
          <w:i w:val="1"/>
          <w:iCs w:val="1"/>
          <w:color w:val="auto"/>
        </w:rPr>
        <w:t>Components of Compensation—</w:t>
      </w:r>
    </w:p>
    <w:p>
      <w:pPr>
        <w:spacing w:after="0" w:line="49" w:lineRule="exact"/>
        <w:rPr>
          <w:rFonts w:ascii="Times New Roman" w:cs="Times New Roman" w:eastAsia="Times New Roman" w:hAnsi="Times New Roman"/>
          <w:sz w:val="18"/>
          <w:szCs w:val="18"/>
          <w:color w:val="auto"/>
        </w:rPr>
      </w:pPr>
    </w:p>
    <w:p>
      <w:pPr>
        <w:jc w:val="both"/>
        <w:ind w:left="328" w:right="2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Stock-Based Compensation</w:t>
      </w:r>
      <w:r>
        <w:rPr>
          <w:rFonts w:ascii="Times New Roman" w:cs="Times New Roman" w:eastAsia="Times New Roman" w:hAnsi="Times New Roman"/>
          <w:sz w:val="18"/>
          <w:szCs w:val="18"/>
          <w:color w:val="auto"/>
        </w:rPr>
        <w:t>”) with respect to the emerging revenue growth metric measured over a one-year performance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consisting of the Company’s fiscal year 2023, assuming achievement at the “maximum” level of performance. One hundred percent (100%) of the</w:t>
      </w:r>
    </w:p>
    <w:p>
      <w:pPr>
        <w:spacing w:after="0" w:line="1" w:lineRule="exact"/>
        <w:rPr>
          <w:rFonts w:ascii="Times New Roman" w:cs="Times New Roman" w:eastAsia="Times New Roman" w:hAnsi="Times New Roman"/>
          <w:sz w:val="18"/>
          <w:szCs w:val="18"/>
          <w:color w:val="auto"/>
        </w:rPr>
      </w:pPr>
    </w:p>
    <w:p>
      <w:pPr>
        <w:ind w:left="328"/>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to be earned under the FY23 PSAs with respect to this metric will be issued on November 8, 2024, to the extent earned and provided that the executive meets the continued employment condition.</w:t>
      </w:r>
    </w:p>
    <w:p>
      <w:pPr>
        <w:spacing w:after="0" w:line="1" w:lineRule="exact"/>
        <w:rPr>
          <w:rFonts w:ascii="Times New Roman" w:cs="Times New Roman" w:eastAsia="Times New Roman" w:hAnsi="Times New Roman"/>
          <w:sz w:val="18"/>
          <w:szCs w:val="18"/>
          <w:color w:val="auto"/>
        </w:rPr>
      </w:pPr>
    </w:p>
    <w:p>
      <w:pPr>
        <w:jc w:val="both"/>
        <w:ind w:left="328" w:hanging="328"/>
        <w:spacing w:after="0" w:line="286" w:lineRule="auto"/>
        <w:tabs>
          <w:tab w:leader="none" w:pos="32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issuable under the fiscal year 2021 PSAs (the “FY21 PSAs”) with respect to the TSR percentile ranking metric, assuming achievement at the “threshold” level of performance. This portion of the FY21 PSAs, which was subject to a three-year performance period, would have been issued on November 11, 2023, had it been achieved.</w:t>
      </w:r>
    </w:p>
    <w:p>
      <w:pPr>
        <w:spacing w:after="0" w:line="2"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issuable under the FY22 PSAs with respect to the TSR percentile ranking metric, assuming achievement at the “threshold” level</w:t>
      </w:r>
    </w:p>
    <w:p>
      <w:pPr>
        <w:spacing w:after="0" w:line="49" w:lineRule="exact"/>
        <w:rPr>
          <w:rFonts w:ascii="Times New Roman" w:cs="Times New Roman" w:eastAsia="Times New Roman" w:hAnsi="Times New Roman"/>
          <w:sz w:val="18"/>
          <w:szCs w:val="18"/>
          <w:color w:val="auto"/>
        </w:rPr>
      </w:pPr>
    </w:p>
    <w:p>
      <w:pPr>
        <w:ind w:left="328"/>
        <w:spacing w:after="0" w:line="28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performance. This portion of the FY22 PSAs, which is subject to a three-year performance period, will be issued on November 10, 2024, to the extent earned and provided that the executive meets the continued employment condition.</w:t>
      </w:r>
    </w:p>
    <w:p>
      <w:pPr>
        <w:jc w:val="both"/>
        <w:ind w:left="328" w:hanging="328"/>
        <w:spacing w:after="0" w:line="290" w:lineRule="auto"/>
        <w:tabs>
          <w:tab w:leader="none" w:pos="31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issuable under the FY23 PSAs (awarded on November 8, 2022, as described above under “</w:t>
      </w:r>
      <w:r>
        <w:rPr>
          <w:rFonts w:ascii="Times New Roman" w:cs="Times New Roman" w:eastAsia="Times New Roman" w:hAnsi="Times New Roman"/>
          <w:sz w:val="18"/>
          <w:szCs w:val="18"/>
          <w:i w:val="1"/>
          <w:iCs w:val="1"/>
          <w:color w:val="auto"/>
        </w:rPr>
        <w:t>Components of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Stock-Based Compensation</w:t>
      </w:r>
      <w:r>
        <w:rPr>
          <w:rFonts w:ascii="Times New Roman" w:cs="Times New Roman" w:eastAsia="Times New Roman" w:hAnsi="Times New Roman"/>
          <w:sz w:val="18"/>
          <w:szCs w:val="18"/>
          <w:color w:val="auto"/>
        </w:rPr>
        <w:t>”) with respect to the TSR percentile ranking metric, assuming achievement at the “target” level of</w:t>
      </w:r>
    </w:p>
    <w:p>
      <w:pPr>
        <w:spacing w:after="0" w:line="1" w:lineRule="exact"/>
        <w:rPr>
          <w:rFonts w:ascii="Times New Roman" w:cs="Times New Roman" w:eastAsia="Times New Roman" w:hAnsi="Times New Roman"/>
          <w:sz w:val="18"/>
          <w:szCs w:val="18"/>
          <w:color w:val="auto"/>
        </w:rPr>
      </w:pPr>
    </w:p>
    <w:p>
      <w:pPr>
        <w:jc w:val="both"/>
        <w:ind w:left="328"/>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This portion of the FY23 PSAs, which is subject to a three-year performance period, will be issued on November 8, 2025, to the extent earned and provided that the executive meets the continued employment condition. Also represents shares issuable under the FY23 PSAs</w:t>
      </w:r>
    </w:p>
    <w:p>
      <w:pPr>
        <w:spacing w:after="0" w:line="1" w:lineRule="exact"/>
        <w:rPr>
          <w:rFonts w:ascii="Times New Roman" w:cs="Times New Roman" w:eastAsia="Times New Roman" w:hAnsi="Times New Roman"/>
          <w:sz w:val="18"/>
          <w:szCs w:val="18"/>
          <w:color w:val="auto"/>
        </w:rPr>
      </w:pPr>
    </w:p>
    <w:p>
      <w:pPr>
        <w:jc w:val="both"/>
        <w:ind w:left="328"/>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EBITDA margin percentile ranking metric measured over a two-year performance period consisting of the Company’s fiscal years 2023 and 2024, assuming achievement at the “maximum” level of performance. This portion of the FY23 PSAs will be issued on November 8, 2024, to the extent earned and provided that the executive meets the continued employment condition.</w:t>
      </w:r>
    </w:p>
    <w:p>
      <w:pPr>
        <w:spacing w:after="0" w:line="200" w:lineRule="exact"/>
        <w:rPr>
          <w:sz w:val="20"/>
          <w:szCs w:val="20"/>
          <w:color w:val="auto"/>
        </w:rPr>
      </w:pPr>
    </w:p>
    <w:p>
      <w:pPr>
        <w:spacing w:after="0" w:line="29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236220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918" w:right="339" w:bottom="1440" w:gutter="0" w:footer="0" w:header="0"/>
        </w:sectPr>
      </w:pPr>
    </w:p>
    <w:bookmarkStart w:id="27" w:name="page28"/>
    <w:bookmarkEnd w:id="27"/>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Option Exercises and Stock Vested Table</w:t>
      </w:r>
    </w:p>
    <w:p>
      <w:pPr>
        <w:spacing w:after="0" w:line="2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Named Executive Officers’ option exercises and stock award vesting during fiscal year 2023.</w:t>
      </w:r>
    </w:p>
    <w:p>
      <w:pPr>
        <w:spacing w:after="0" w:line="286" w:lineRule="exact"/>
        <w:rPr>
          <w:sz w:val="20"/>
          <w:szCs w:val="20"/>
          <w:color w:val="auto"/>
        </w:rPr>
      </w:pPr>
    </w:p>
    <w:tbl>
      <w:tblPr>
        <w:tblLayout w:type="fixed"/>
        <w:tblInd w:w="400" w:type="dxa"/>
        <w:tblCellMar>
          <w:top w:w="0" w:type="dxa"/>
          <w:left w:w="0" w:type="dxa"/>
          <w:bottom w:w="0" w:type="dxa"/>
          <w:right w:w="0" w:type="dxa"/>
        </w:tblCellMar>
      </w:tblPr>
      <w:tr>
        <w:trPr>
          <w:trHeight w:val="190"/>
        </w:trPr>
        <w:tc>
          <w:tcPr>
            <w:tcW w:w="1860" w:type="dxa"/>
            <w:vAlign w:val="bottom"/>
          </w:tcPr>
          <w:p>
            <w:pPr>
              <w:spacing w:after="0"/>
              <w:rPr>
                <w:sz w:val="16"/>
                <w:szCs w:val="16"/>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58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400" w:type="dxa"/>
            <w:vAlign w:val="bottom"/>
          </w:tcPr>
          <w:p>
            <w:pPr>
              <w:spacing w:after="0"/>
              <w:rPr>
                <w:sz w:val="16"/>
                <w:szCs w:val="16"/>
                <w:color w:val="auto"/>
              </w:rPr>
            </w:pPr>
          </w:p>
        </w:tc>
      </w:tr>
      <w:tr>
        <w:trPr>
          <w:trHeight w:val="201"/>
        </w:trPr>
        <w:tc>
          <w:tcPr>
            <w:tcW w:w="1860" w:type="dxa"/>
            <w:vAlign w:val="bottom"/>
          </w:tcPr>
          <w:p>
            <w:pPr>
              <w:spacing w:after="0"/>
              <w:rPr>
                <w:sz w:val="17"/>
                <w:szCs w:val="17"/>
                <w:color w:val="auto"/>
              </w:rPr>
            </w:pPr>
          </w:p>
        </w:tc>
        <w:tc>
          <w:tcPr>
            <w:tcW w:w="28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580" w:type="dxa"/>
            <w:vAlign w:val="bottom"/>
          </w:tcPr>
          <w:p>
            <w:pPr>
              <w:jc w:val="center"/>
              <w:ind w:right="537"/>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2180" w:type="dxa"/>
            <w:vAlign w:val="bottom"/>
          </w:tcPr>
          <w:p>
            <w:pPr>
              <w:jc w:val="center"/>
              <w:ind w:right="498"/>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0" w:type="dxa"/>
            <w:vAlign w:val="bottom"/>
          </w:tcPr>
          <w:p>
            <w:pPr>
              <w:jc w:val="center"/>
              <w:ind w:right="357"/>
              <w:spacing w:after="0"/>
              <w:rPr>
                <w:sz w:val="20"/>
                <w:szCs w:val="20"/>
                <w:color w:val="auto"/>
              </w:rPr>
            </w:pPr>
            <w:r>
              <w:rPr>
                <w:rFonts w:ascii="Times New Roman" w:cs="Times New Roman" w:eastAsia="Times New Roman" w:hAnsi="Times New Roman"/>
                <w:sz w:val="14"/>
                <w:szCs w:val="14"/>
                <w:b w:val="1"/>
                <w:bCs w:val="1"/>
                <w:color w:val="auto"/>
              </w:rPr>
              <w:t>Value Realized</w:t>
            </w:r>
          </w:p>
        </w:tc>
      </w:tr>
      <w:tr>
        <w:trPr>
          <w:trHeight w:val="149"/>
        </w:trPr>
        <w:tc>
          <w:tcPr>
            <w:tcW w:w="1860" w:type="dxa"/>
            <w:vAlign w:val="bottom"/>
          </w:tcPr>
          <w:p>
            <w:pPr>
              <w:spacing w:after="0"/>
              <w:rPr>
                <w:sz w:val="12"/>
                <w:szCs w:val="12"/>
                <w:color w:val="auto"/>
              </w:rPr>
            </w:pPr>
          </w:p>
        </w:tc>
        <w:tc>
          <w:tcPr>
            <w:tcW w:w="28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Acquired on Exercise</w:t>
            </w:r>
          </w:p>
        </w:tc>
        <w:tc>
          <w:tcPr>
            <w:tcW w:w="1580" w:type="dxa"/>
            <w:vAlign w:val="bottom"/>
          </w:tcPr>
          <w:p>
            <w:pPr>
              <w:jc w:val="center"/>
              <w:ind w:right="557"/>
              <w:spacing w:after="0" w:line="149" w:lineRule="exact"/>
              <w:rPr>
                <w:sz w:val="20"/>
                <w:szCs w:val="20"/>
                <w:color w:val="auto"/>
              </w:rPr>
            </w:pPr>
            <w:r>
              <w:rPr>
                <w:rFonts w:ascii="Times New Roman" w:cs="Times New Roman" w:eastAsia="Times New Roman" w:hAnsi="Times New Roman"/>
                <w:sz w:val="14"/>
                <w:szCs w:val="14"/>
                <w:b w:val="1"/>
                <w:bCs w:val="1"/>
                <w:color w:val="auto"/>
              </w:rPr>
              <w:t>on Exercise</w:t>
            </w:r>
          </w:p>
        </w:tc>
        <w:tc>
          <w:tcPr>
            <w:tcW w:w="2180" w:type="dxa"/>
            <w:vAlign w:val="bottom"/>
          </w:tcPr>
          <w:p>
            <w:pPr>
              <w:jc w:val="center"/>
              <w:ind w:right="518"/>
              <w:spacing w:after="0" w:line="149" w:lineRule="exact"/>
              <w:rPr>
                <w:sz w:val="20"/>
                <w:szCs w:val="20"/>
                <w:color w:val="auto"/>
              </w:rPr>
            </w:pPr>
            <w:r>
              <w:rPr>
                <w:rFonts w:ascii="Times New Roman" w:cs="Times New Roman" w:eastAsia="Times New Roman" w:hAnsi="Times New Roman"/>
                <w:sz w:val="14"/>
                <w:szCs w:val="14"/>
                <w:b w:val="1"/>
                <w:bCs w:val="1"/>
                <w:color w:val="auto"/>
              </w:rPr>
              <w:t>Acquired on Vesting</w:t>
            </w:r>
          </w:p>
        </w:tc>
        <w:tc>
          <w:tcPr>
            <w:tcW w:w="1400" w:type="dxa"/>
            <w:vAlign w:val="bottom"/>
          </w:tcPr>
          <w:p>
            <w:pPr>
              <w:jc w:val="center"/>
              <w:ind w:right="357"/>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r>
      <w:tr>
        <w:trPr>
          <w:trHeight w:val="217"/>
        </w:trPr>
        <w:tc>
          <w:tcPr>
            <w:tcW w:w="1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580" w:type="dxa"/>
            <w:vAlign w:val="bottom"/>
          </w:tcPr>
          <w:p>
            <w:pPr>
              <w:jc w:val="center"/>
              <w:ind w:right="557"/>
              <w:spacing w:after="0"/>
              <w:rPr>
                <w:sz w:val="20"/>
                <w:szCs w:val="20"/>
                <w:color w:val="auto"/>
              </w:rPr>
            </w:pPr>
            <w:r>
              <w:rPr>
                <w:rFonts w:ascii="Times New Roman" w:cs="Times New Roman" w:eastAsia="Times New Roman" w:hAnsi="Times New Roman"/>
                <w:sz w:val="14"/>
                <w:szCs w:val="14"/>
                <w:b w:val="1"/>
                <w:bCs w:val="1"/>
                <w:color w:val="auto"/>
              </w:rPr>
              <w:t>($)(1)</w:t>
            </w:r>
          </w:p>
        </w:tc>
        <w:tc>
          <w:tcPr>
            <w:tcW w:w="2180" w:type="dxa"/>
            <w:vAlign w:val="bottom"/>
          </w:tcPr>
          <w:p>
            <w:pPr>
              <w:jc w:val="center"/>
              <w:ind w:right="518"/>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Pr>
          <w:p>
            <w:pPr>
              <w:jc w:val="center"/>
              <w:ind w:right="377"/>
              <w:spacing w:after="0"/>
              <w:rPr>
                <w:sz w:val="20"/>
                <w:szCs w:val="20"/>
                <w:color w:val="auto"/>
              </w:rPr>
            </w:pPr>
            <w:r>
              <w:rPr>
                <w:rFonts w:ascii="Times New Roman" w:cs="Times New Roman" w:eastAsia="Times New Roman" w:hAnsi="Times New Roman"/>
                <w:sz w:val="14"/>
                <w:szCs w:val="14"/>
                <w:b w:val="1"/>
                <w:bCs w:val="1"/>
                <w:color w:val="auto"/>
              </w:rPr>
              <w:t>($)(2)</w:t>
            </w:r>
          </w:p>
        </w:tc>
      </w:tr>
      <w:tr>
        <w:trPr>
          <w:trHeight w:val="253"/>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Liam K. Griffin</w:t>
            </w:r>
          </w:p>
        </w:tc>
        <w:tc>
          <w:tcPr>
            <w:tcW w:w="2800" w:type="dxa"/>
            <w:vAlign w:val="bottom"/>
          </w:tcPr>
          <w:p>
            <w:pPr>
              <w:jc w:val="right"/>
              <w:ind w:right="418"/>
              <w:spacing w:after="0"/>
              <w:rPr>
                <w:sz w:val="20"/>
                <w:szCs w:val="20"/>
                <w:color w:val="auto"/>
              </w:rPr>
            </w:pPr>
            <w:r>
              <w:rPr>
                <w:rFonts w:ascii="Times New Roman" w:cs="Times New Roman" w:eastAsia="Times New Roman" w:hAnsi="Times New Roman"/>
                <w:sz w:val="18"/>
                <w:szCs w:val="18"/>
                <w:color w:val="auto"/>
              </w:rPr>
              <w:t>13,211</w:t>
            </w:r>
          </w:p>
        </w:tc>
        <w:tc>
          <w:tcPr>
            <w:tcW w:w="15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348,977</w:t>
            </w:r>
          </w:p>
        </w:tc>
        <w:tc>
          <w:tcPr>
            <w:tcW w:w="2180" w:type="dxa"/>
            <w:vAlign w:val="bottom"/>
          </w:tcPr>
          <w:p>
            <w:pPr>
              <w:jc w:val="right"/>
              <w:ind w:right="398"/>
              <w:spacing w:after="0"/>
              <w:rPr>
                <w:sz w:val="20"/>
                <w:szCs w:val="20"/>
                <w:color w:val="auto"/>
              </w:rPr>
            </w:pPr>
            <w:r>
              <w:rPr>
                <w:rFonts w:ascii="Times New Roman" w:cs="Times New Roman" w:eastAsia="Times New Roman" w:hAnsi="Times New Roman"/>
                <w:sz w:val="18"/>
                <w:szCs w:val="18"/>
                <w:color w:val="auto"/>
              </w:rPr>
              <w:t>60,765</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5,649,836</w:t>
            </w:r>
          </w:p>
        </w:tc>
      </w:tr>
      <w:tr>
        <w:trPr>
          <w:trHeight w:val="230"/>
        </w:trPr>
        <w:tc>
          <w:tcPr>
            <w:tcW w:w="18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Kris Sennesael</w:t>
            </w:r>
          </w:p>
        </w:tc>
        <w:tc>
          <w:tcPr>
            <w:tcW w:w="2800" w:type="dxa"/>
            <w:vAlign w:val="bottom"/>
            <w:shd w:val="clear" w:color="auto" w:fill="DBDBDB"/>
          </w:tcPr>
          <w:p>
            <w:pPr>
              <w:jc w:val="right"/>
              <w:ind w:right="418"/>
              <w:spacing w:after="0"/>
              <w:rPr>
                <w:sz w:val="20"/>
                <w:szCs w:val="20"/>
                <w:color w:val="auto"/>
              </w:rPr>
            </w:pPr>
            <w:r>
              <w:rPr>
                <w:rFonts w:ascii="Times New Roman" w:cs="Times New Roman" w:eastAsia="Times New Roman" w:hAnsi="Times New Roman"/>
                <w:sz w:val="18"/>
                <w:szCs w:val="18"/>
                <w:color w:val="auto"/>
              </w:rPr>
              <w:t>40,000</w:t>
            </w:r>
          </w:p>
        </w:tc>
        <w:tc>
          <w:tcPr>
            <w:tcW w:w="1580" w:type="dxa"/>
            <w:vAlign w:val="bottom"/>
            <w:shd w:val="clear" w:color="auto" w:fill="DBDBDB"/>
          </w:tcPr>
          <w:p>
            <w:pPr>
              <w:jc w:val="right"/>
              <w:ind w:right="77"/>
              <w:spacing w:after="0"/>
              <w:rPr>
                <w:sz w:val="20"/>
                <w:szCs w:val="20"/>
                <w:color w:val="auto"/>
              </w:rPr>
            </w:pPr>
            <w:r>
              <w:rPr>
                <w:rFonts w:ascii="Times New Roman" w:cs="Times New Roman" w:eastAsia="Times New Roman" w:hAnsi="Times New Roman"/>
                <w:sz w:val="18"/>
                <w:szCs w:val="18"/>
                <w:color w:val="auto"/>
              </w:rPr>
              <w:t>1,242,374</w:t>
            </w:r>
          </w:p>
        </w:tc>
        <w:tc>
          <w:tcPr>
            <w:tcW w:w="2180" w:type="dxa"/>
            <w:vAlign w:val="bottom"/>
            <w:shd w:val="clear" w:color="auto" w:fill="DBDBDB"/>
          </w:tcPr>
          <w:p>
            <w:pPr>
              <w:jc w:val="right"/>
              <w:ind w:right="398"/>
              <w:spacing w:after="0"/>
              <w:rPr>
                <w:sz w:val="20"/>
                <w:szCs w:val="20"/>
                <w:color w:val="auto"/>
              </w:rPr>
            </w:pPr>
            <w:r>
              <w:rPr>
                <w:rFonts w:ascii="Times New Roman" w:cs="Times New Roman" w:eastAsia="Times New Roman" w:hAnsi="Times New Roman"/>
                <w:sz w:val="18"/>
                <w:szCs w:val="18"/>
                <w:color w:val="auto"/>
              </w:rPr>
              <w:t>18,591</w:t>
            </w:r>
          </w:p>
        </w:tc>
        <w:tc>
          <w:tcPr>
            <w:tcW w:w="14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1,729,714</w:t>
            </w:r>
          </w:p>
        </w:tc>
      </w:tr>
      <w:tr>
        <w:trPr>
          <w:trHeight w:val="229"/>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Reza Kasnavi</w:t>
            </w:r>
          </w:p>
        </w:tc>
        <w:tc>
          <w:tcPr>
            <w:tcW w:w="2800" w:type="dxa"/>
            <w:vAlign w:val="bottom"/>
          </w:tcPr>
          <w:p>
            <w:pPr>
              <w:jc w:val="right"/>
              <w:ind w:right="418"/>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ind w:right="398"/>
              <w:spacing w:after="0"/>
              <w:rPr>
                <w:sz w:val="20"/>
                <w:szCs w:val="20"/>
                <w:color w:val="auto"/>
              </w:rPr>
            </w:pPr>
            <w:r>
              <w:rPr>
                <w:rFonts w:ascii="Times New Roman" w:cs="Times New Roman" w:eastAsia="Times New Roman" w:hAnsi="Times New Roman"/>
                <w:sz w:val="18"/>
                <w:szCs w:val="18"/>
                <w:color w:val="auto"/>
              </w:rPr>
              <w:t>16,768</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1,566,232</w:t>
            </w:r>
          </w:p>
        </w:tc>
      </w:tr>
      <w:tr>
        <w:trPr>
          <w:trHeight w:val="229"/>
        </w:trPr>
        <w:tc>
          <w:tcPr>
            <w:tcW w:w="186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Carlos S. Bori</w:t>
            </w:r>
          </w:p>
        </w:tc>
        <w:tc>
          <w:tcPr>
            <w:tcW w:w="2800" w:type="dxa"/>
            <w:vAlign w:val="bottom"/>
            <w:shd w:val="clear" w:color="auto" w:fill="DBDBDB"/>
          </w:tcPr>
          <w:p>
            <w:pPr>
              <w:jc w:val="right"/>
              <w:ind w:right="418"/>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DBDBDB"/>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DBDBDB"/>
          </w:tcPr>
          <w:p>
            <w:pPr>
              <w:jc w:val="right"/>
              <w:ind w:right="398"/>
              <w:spacing w:after="0"/>
              <w:rPr>
                <w:sz w:val="20"/>
                <w:szCs w:val="20"/>
                <w:color w:val="auto"/>
              </w:rPr>
            </w:pPr>
            <w:r>
              <w:rPr>
                <w:rFonts w:ascii="Times New Roman" w:cs="Times New Roman" w:eastAsia="Times New Roman" w:hAnsi="Times New Roman"/>
                <w:sz w:val="18"/>
                <w:szCs w:val="18"/>
                <w:color w:val="auto"/>
              </w:rPr>
              <w:t>16,503</w:t>
            </w:r>
          </w:p>
        </w:tc>
        <w:tc>
          <w:tcPr>
            <w:tcW w:w="14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1,533,838</w:t>
            </w:r>
          </w:p>
        </w:tc>
      </w:tr>
      <w:tr>
        <w:trPr>
          <w:trHeight w:val="234"/>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J. Terry</w:t>
            </w:r>
          </w:p>
        </w:tc>
        <w:tc>
          <w:tcPr>
            <w:tcW w:w="2800" w:type="dxa"/>
            <w:vAlign w:val="bottom"/>
          </w:tcPr>
          <w:p>
            <w:pPr>
              <w:jc w:val="right"/>
              <w:ind w:right="418"/>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ind w:right="398"/>
              <w:spacing w:after="0"/>
              <w:rPr>
                <w:sz w:val="20"/>
                <w:szCs w:val="20"/>
                <w:color w:val="auto"/>
              </w:rPr>
            </w:pPr>
            <w:r>
              <w:rPr>
                <w:rFonts w:ascii="Times New Roman" w:cs="Times New Roman" w:eastAsia="Times New Roman" w:hAnsi="Times New Roman"/>
                <w:sz w:val="18"/>
                <w:szCs w:val="18"/>
                <w:color w:val="auto"/>
              </w:rPr>
              <w:t>14,204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1,324,298</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50" w:lineRule="exact"/>
        <w:rPr>
          <w:sz w:val="20"/>
          <w:szCs w:val="20"/>
          <w:color w:val="auto"/>
        </w:rPr>
      </w:pPr>
    </w:p>
    <w:p>
      <w:pPr>
        <w:ind w:left="260" w:hanging="252"/>
        <w:spacing w:after="0" w:line="289" w:lineRule="auto"/>
        <w:tabs>
          <w:tab w:leader="none" w:pos="2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exercise is based on the amount by which the market price of a share of the Company’s common stock at the time of exercise exceeded the applicable exercise price per share of the exercised option.</w:t>
      </w:r>
    </w:p>
    <w:p>
      <w:pPr>
        <w:spacing w:after="0" w:line="1" w:lineRule="exact"/>
        <w:rPr>
          <w:rFonts w:ascii="Times New Roman" w:cs="Times New Roman" w:eastAsia="Times New Roman" w:hAnsi="Times New Roman"/>
          <w:sz w:val="18"/>
          <w:szCs w:val="18"/>
          <w:color w:val="auto"/>
        </w:rPr>
      </w:pPr>
    </w:p>
    <w:p>
      <w:pPr>
        <w:ind w:left="260" w:hanging="252"/>
        <w:spacing w:after="0" w:line="313" w:lineRule="auto"/>
        <w:tabs>
          <w:tab w:leader="none" w:pos="27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upon vesting is determined by multiplying (a) the number of shares underlying the stock awards that vested, by (b) the closing price of the Company’s common stock on the Nasdaq Global Select Market on the applicable vesting date.</w:t>
      </w:r>
    </w:p>
    <w:p>
      <w:pPr>
        <w:spacing w:after="0" w:line="1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u w:val="single" w:color="auto"/>
          <w:color w:val="auto"/>
        </w:rPr>
        <w:t>Mr. Griffin</w:t>
      </w:r>
    </w:p>
    <w:p>
      <w:pPr>
        <w:spacing w:after="0" w:line="254" w:lineRule="exact"/>
        <w:rPr>
          <w:sz w:val="20"/>
          <w:szCs w:val="20"/>
          <w:color w:val="auto"/>
        </w:rPr>
      </w:pPr>
    </w:p>
    <w:p>
      <w:pPr>
        <w:jc w:val="both"/>
        <w:ind w:firstLine="389"/>
        <w:spacing w:after="0" w:line="291" w:lineRule="auto"/>
        <w:rPr>
          <w:sz w:val="20"/>
          <w:szCs w:val="20"/>
          <w:color w:val="auto"/>
        </w:rPr>
      </w:pPr>
      <w:r>
        <w:rPr>
          <w:rFonts w:ascii="Times New Roman" w:cs="Times New Roman" w:eastAsia="Times New Roman" w:hAnsi="Times New Roman"/>
          <w:sz w:val="18"/>
          <w:szCs w:val="18"/>
          <w:color w:val="auto"/>
        </w:rPr>
        <w:t>On May 10, 2023, in connection with the expiration, in accordance with its terms, of the Amended and Restated Change in Control / Severance Agreement between the Company and Mr. Griffin, the Company entered into a Second Amended and Restated Change in Control / Severance Agreement with Mr. Griffin (the “Griffin Agreement”). The Griffin Agreement sets out severance benefits that become payable if, while employed by the Company, other than following a change in control, Mr. Griffin either (i) is terminated without cause, or (ii) terminates his employment for good reason. The severance benefits provided to Mr. Griffin under either of these circumstances would consist of: (i) a lump-sum payment equal to two (2) times the sum of</w:t>
      </w:r>
    </w:p>
    <w:p>
      <w:pPr>
        <w:spacing w:after="0" w:line="1" w:lineRule="exact"/>
        <w:rPr>
          <w:sz w:val="20"/>
          <w:szCs w:val="20"/>
          <w:color w:val="auto"/>
        </w:rPr>
      </w:pPr>
    </w:p>
    <w:p>
      <w:pPr>
        <w:jc w:val="both"/>
        <w:ind w:firstLine="8"/>
        <w:spacing w:after="0" w:line="289" w:lineRule="auto"/>
        <w:tabs>
          <w:tab w:leader="none" w:pos="30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then-current annual base salary immediately prior to such termination and (B) the Bonus Amount (as defined below); (ii) full acceleration of the vesting of all of Mr. Griffin’s outstanding stock options, which stock options would become exercisable for a period of two (2) years after the termination</w:t>
      </w:r>
    </w:p>
    <w:p>
      <w:pPr>
        <w:spacing w:after="0" w:line="1" w:lineRule="exact"/>
        <w:rPr>
          <w:rFonts w:ascii="Times New Roman" w:cs="Times New Roman" w:eastAsia="Times New Roman" w:hAnsi="Times New Roman"/>
          <w:sz w:val="18"/>
          <w:szCs w:val="18"/>
          <w:color w:val="auto"/>
        </w:rPr>
      </w:pPr>
    </w:p>
    <w:p>
      <w:pPr>
        <w:jc w:val="both"/>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(but not beyond the expiration of their respective maximum terms), full acceleration of the vesting of all outstanding restricted stock awards (including awards of restricted stock units), and the right to receive the number of performance shares under outstanding PSAs that are earned but unissued and that he</w:t>
      </w:r>
    </w:p>
    <w:p>
      <w:pPr>
        <w:spacing w:after="0" w:line="1" w:lineRule="exact"/>
        <w:rPr>
          <w:rFonts w:ascii="Times New Roman" w:cs="Times New Roman" w:eastAsia="Times New Roman" w:hAnsi="Times New Roman"/>
          <w:sz w:val="18"/>
          <w:szCs w:val="18"/>
          <w:color w:val="auto"/>
        </w:rPr>
      </w:pPr>
    </w:p>
    <w:p>
      <w:pPr>
        <w:jc w:val="both"/>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have earned had he remained employed through the end of the applicable performance period; and (iii) provided he is eligible for and timely elects to continue receiving group medical coverage (and provided the provision of such payments will not violate any applicable nondiscrimination laws), certain</w:t>
      </w:r>
    </w:p>
    <w:p>
      <w:pPr>
        <w:spacing w:after="0" w:line="1" w:lineRule="exact"/>
        <w:rPr>
          <w:rFonts w:ascii="Times New Roman" w:cs="Times New Roman" w:eastAsia="Times New Roman" w:hAnsi="Times New Roman"/>
          <w:sz w:val="18"/>
          <w:szCs w:val="18"/>
          <w:color w:val="auto"/>
        </w:rPr>
      </w:pPr>
    </w:p>
    <w:p>
      <w:pPr>
        <w:jc w:val="both"/>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COBRA continuation for him and his eligible dependents (“COBRA continuation”) for up to fifteen (15) months after the termination date. The “Bonus Amount” is an amount equal to the greater of (x) the average of the short-term cash incentive awards received for the three (3) years prior to the year in which the termination occurs, and (y) the target annual short-term cash incentive award for the year in which the termination occurs.</w:t>
      </w:r>
    </w:p>
    <w:p>
      <w:pPr>
        <w:spacing w:after="0" w:line="196" w:lineRule="exact"/>
        <w:rPr>
          <w:sz w:val="20"/>
          <w:szCs w:val="20"/>
          <w:color w:val="auto"/>
        </w:rPr>
      </w:pPr>
    </w:p>
    <w:p>
      <w:pPr>
        <w:jc w:val="both"/>
        <w:ind w:firstLine="389"/>
        <w:spacing w:after="0" w:line="281" w:lineRule="auto"/>
        <w:rPr>
          <w:sz w:val="20"/>
          <w:szCs w:val="20"/>
          <w:color w:val="auto"/>
        </w:rPr>
      </w:pPr>
      <w:r>
        <w:rPr>
          <w:rFonts w:ascii="Times New Roman" w:cs="Times New Roman" w:eastAsia="Times New Roman" w:hAnsi="Times New Roman"/>
          <w:sz w:val="18"/>
          <w:szCs w:val="18"/>
          <w:color w:val="auto"/>
        </w:rPr>
        <w:t>The Griffin Agreement also sets out severance benefits that become payable if, within the period of time commencing three (3) months prior to and ending two (2) years following a change in control, Mr. Griffin’s employment is either (i) terminated by the Company without cause, or (ii) terminated by him for good reason (a “Qualifying Termination”). The severance benefits provided to Mr. Griffin in such circumstances would consist of the following: (i) a lump-sum payment equal to two and one-half (2</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times the sum of (A) his annual base salary immediately prior to the change in control, and (B) the CIC Bonus Amount (as defined below); (ii) all of Mr. Griffin’s then-outstanding stock options would become exercisable for a period of thirty (30) months after the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8" w:name="page29"/>
    <w:bookmarkEnd w:id="28"/>
    <w:p>
      <w:pPr>
        <w:jc w:val="both"/>
        <w:spacing w:after="0" w:line="297" w:lineRule="auto"/>
        <w:rPr>
          <w:sz w:val="20"/>
          <w:szCs w:val="20"/>
          <w:color w:val="auto"/>
        </w:rPr>
      </w:pPr>
      <w:r>
        <w:rPr>
          <w:rFonts w:ascii="Times New Roman" w:cs="Times New Roman" w:eastAsia="Times New Roman" w:hAnsi="Times New Roman"/>
          <w:sz w:val="18"/>
          <w:szCs w:val="18"/>
          <w:color w:val="auto"/>
        </w:rPr>
        <w:t>termination date (but not beyond the expiration of their respective maximum terms); and (iii) COBRA continuation for up to eighteen (18) months after the termination date. The “CIC Bonus Amount” is an amount equal to the greater of (x) the average of the annual short-term cash incentive awards received for the three (3) years prior to the year in which the change of control occurs and (y) the target annual short-term cash incentive award for the year in which the change of control occurs.</w:t>
      </w:r>
    </w:p>
    <w:p>
      <w:pPr>
        <w:spacing w:after="0" w:line="217" w:lineRule="exact"/>
        <w:rPr>
          <w:sz w:val="20"/>
          <w:szCs w:val="20"/>
          <w:color w:val="auto"/>
        </w:rPr>
      </w:pPr>
    </w:p>
    <w:p>
      <w:pPr>
        <w:jc w:val="both"/>
        <w:ind w:firstLine="389"/>
        <w:spacing w:after="0" w:line="293" w:lineRule="auto"/>
        <w:rPr>
          <w:sz w:val="20"/>
          <w:szCs w:val="20"/>
          <w:color w:val="auto"/>
        </w:rPr>
      </w:pPr>
      <w:r>
        <w:rPr>
          <w:rFonts w:ascii="Times New Roman" w:cs="Times New Roman" w:eastAsia="Times New Roman" w:hAnsi="Times New Roman"/>
          <w:sz w:val="18"/>
          <w:szCs w:val="18"/>
          <w:color w:val="auto"/>
        </w:rPr>
        <w:t>The Griffin Agreement also provides that in the event of a Qualifying Termination, Mr. Griffin is entitled to full acceleration of the vesting of all of his outstanding equity awards (including stock options, restricted stock awards, RSU awards, and all earned but unissued performance-based equity awards). At the time of a change in control, all such outstanding equity awards would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change in control occurs prior to the end of the applicable performance period, such awards would be deemed earned as to the greater of (i) the target level of shares for such awards, or (ii) if such calculation is determined to be practicable by the Compensation Committee, the number of shares that would have been earned pursuant to the terms of such awards based upon performance up through and including the day prior to the date of the change in control. In the event that the successor or surviving company does not agree to assume, or to substitute for, such outstanding equity awards on substantially similar terms with substantially equivalent economic benefits as exist for such award immediately prior to the change in control, then such awards would accelerate in full as of the change in control.</w:t>
      </w:r>
    </w:p>
    <w:p>
      <w:pPr>
        <w:spacing w:after="0" w:line="214" w:lineRule="exact"/>
        <w:rPr>
          <w:sz w:val="20"/>
          <w:szCs w:val="20"/>
          <w:color w:val="auto"/>
        </w:rPr>
      </w:pPr>
    </w:p>
    <w:p>
      <w:pPr>
        <w:jc w:val="both"/>
        <w:ind w:firstLine="389"/>
        <w:spacing w:after="0" w:line="295" w:lineRule="auto"/>
        <w:rPr>
          <w:sz w:val="20"/>
          <w:szCs w:val="20"/>
          <w:color w:val="auto"/>
        </w:rPr>
      </w:pPr>
      <w:r>
        <w:rPr>
          <w:rFonts w:ascii="Times New Roman" w:cs="Times New Roman" w:eastAsia="Times New Roman" w:hAnsi="Times New Roman"/>
          <w:sz w:val="18"/>
          <w:szCs w:val="18"/>
          <w:color w:val="auto"/>
        </w:rPr>
        <w:t>In the event of Mr. Griffin’s death or permanent disability (within the meaning of Section 22(e)(3) of the IRC), the Griffin Agreement provides for full acceleration of the vesting of all then-outstanding equity awards subject to time-based vesting (including stock options, restricted stock awards, RSU awards, and all performance-based equity awards where the performance period has ended and the shares are earned but unissued). The Griffin Agreement also provides that if Mr. Griffin’s death or permanent disability occurs prior to the end of the performance period of a performance-based equity award, each such award would be deemed earned as to the greater of (i) the target level of shares for such award, or (ii) the number of shares that would have been earned pursuant to the terms of such award had he remained employed through the end of the performance period, and such earned shares would become vested and issuable to him after the performance period ends. In addition, all outstanding stock options would remain exercisable for a period of twelve (12) months following the termination of employment (but not beyond the expiration of their respective maximum terms).</w:t>
      </w:r>
    </w:p>
    <w:p>
      <w:pPr>
        <w:spacing w:after="0" w:line="206"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The Griffin Agreement is intended to be exempt from or compliant with Section 409A of the IRC and has an initial two (2) year term from May 10, 2023, and thereafter renews automatically on an annual basis for up to five (5) additional years unless either the Company or Mr. Griffin timely provides a notice of non-renewal to the other prior to the end of the then-current term. The payments due to Mr. Griffin under the Griffin Agreement are subject to potential reduction in the event that such payments would otherwise become subject to excise tax incurred under Section 4999 of the IRC, if such reduction would result in his retaining a larger amount, on an after-tax basis, than if he had received all of the payments due.</w:t>
      </w:r>
    </w:p>
    <w:p>
      <w:pPr>
        <w:spacing w:after="0" w:line="218" w:lineRule="exact"/>
        <w:rPr>
          <w:sz w:val="20"/>
          <w:szCs w:val="20"/>
          <w:color w:val="auto"/>
        </w:rPr>
      </w:pPr>
    </w:p>
    <w:p>
      <w:pPr>
        <w:jc w:val="both"/>
        <w:ind w:firstLine="389"/>
        <w:spacing w:after="0" w:line="305" w:lineRule="auto"/>
        <w:rPr>
          <w:sz w:val="20"/>
          <w:szCs w:val="20"/>
          <w:color w:val="auto"/>
        </w:rPr>
      </w:pPr>
      <w:r>
        <w:rPr>
          <w:rFonts w:ascii="Times New Roman" w:cs="Times New Roman" w:eastAsia="Times New Roman" w:hAnsi="Times New Roman"/>
          <w:sz w:val="18"/>
          <w:szCs w:val="18"/>
          <w:color w:val="auto"/>
        </w:rPr>
        <w:t>Additionally, the Griffin Agreement requires that Mr. Griffin sign a release of claims in favor of the Company before he is eligible to receive any benefits under the Griffin Agreement and contains a non-solicitation provision applicable to Mr. Griffin while he is employed by the Company and for twelve (12) months following the termination of his employment.</w:t>
      </w:r>
    </w:p>
    <w:p>
      <w:pPr>
        <w:spacing w:after="0" w:line="210"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The terms “change in control,” “cause,” and “good reason” are each defined in the Griffin Agreement. Change in control means, in summary: (i) the acquisition by a person or a group of 40% or more of the outstanding stock of the Company; (ii) a change, without approval by the Board of Directors, of a majority of the Board of Directors of the Company; (iii) the acquisition of the Company by means of a reorganization, merger, consolidation, or asset sale; or (iv) stockholder approval of a liquidation or dissolution of the Company. Cause means, in summary: (i)</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9" w:name="page30"/>
    <w:bookmarkEnd w:id="29"/>
    <w:p>
      <w:pPr>
        <w:jc w:val="both"/>
        <w:spacing w:after="0" w:line="297" w:lineRule="auto"/>
        <w:rPr>
          <w:sz w:val="20"/>
          <w:szCs w:val="20"/>
          <w:color w:val="auto"/>
        </w:rPr>
      </w:pPr>
      <w:r>
        <w:rPr>
          <w:rFonts w:ascii="Times New Roman" w:cs="Times New Roman" w:eastAsia="Times New Roman" w:hAnsi="Times New Roman"/>
          <w:sz w:val="18"/>
          <w:szCs w:val="18"/>
          <w:color w:val="auto"/>
        </w:rPr>
        <w:t>deliberate dishonesty that is significantly detrimental to the best interests of the Company; (ii) conduct constituting an act of moral turpitude; (iii) willful disloyalty or insubordination; or (iv) incompetent performance or substantial or continuing inattention to or neglect of duties. Good reason means, in summary: (i) a material diminution in his base compensation, authority, duties, responsibilities, or budget over which he retains authority; (ii) a requirement that Mr. Griffin report to a corporate officer or employee instead of reporting directly to the Board of Directors; (iii) a material change in his office location; or (iv) any action or inaction constituting a material breach by the Company of the terms of the agreement.</w:t>
      </w:r>
    </w:p>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u w:val="single" w:color="auto"/>
          <w:color w:val="auto"/>
        </w:rPr>
        <w:t>Mr. Sennesael, Mr. Kasnavi, Mr. Bori, and Mr. Terry</w:t>
      </w:r>
    </w:p>
    <w:p>
      <w:pPr>
        <w:spacing w:after="0" w:line="268" w:lineRule="exact"/>
        <w:rPr>
          <w:sz w:val="20"/>
          <w:szCs w:val="20"/>
          <w:color w:val="auto"/>
        </w:rPr>
      </w:pPr>
    </w:p>
    <w:p>
      <w:pPr>
        <w:jc w:val="both"/>
        <w:ind w:firstLine="389"/>
        <w:spacing w:after="0" w:line="305" w:lineRule="auto"/>
        <w:rPr>
          <w:sz w:val="20"/>
          <w:szCs w:val="20"/>
          <w:color w:val="auto"/>
        </w:rPr>
      </w:pPr>
      <w:r>
        <w:rPr>
          <w:rFonts w:ascii="Times New Roman" w:cs="Times New Roman" w:eastAsia="Times New Roman" w:hAnsi="Times New Roman"/>
          <w:sz w:val="18"/>
          <w:szCs w:val="18"/>
          <w:color w:val="auto"/>
        </w:rPr>
        <w:t>The Company entered into Amended and Restated Change in Control / Severance Agreements with each of Mr. Sennesael, Mr. Kasnavi, Mr. Bori, and Mr. Terry on May 10, 2023, respectively. Each such Amended and Restated Change in Control / Severance Agreement is referred to herein as a “CIC Agreement.”</w:t>
      </w:r>
    </w:p>
    <w:p>
      <w:pPr>
        <w:spacing w:after="0" w:line="196" w:lineRule="exact"/>
        <w:rPr>
          <w:sz w:val="20"/>
          <w:szCs w:val="20"/>
          <w:color w:val="auto"/>
        </w:rPr>
      </w:pPr>
    </w:p>
    <w:p>
      <w:pPr>
        <w:jc w:val="both"/>
        <w:ind w:firstLine="389"/>
        <w:spacing w:after="0" w:line="281" w:lineRule="auto"/>
        <w:rPr>
          <w:sz w:val="20"/>
          <w:szCs w:val="20"/>
          <w:color w:val="auto"/>
        </w:rPr>
      </w:pPr>
      <w:r>
        <w:rPr>
          <w:rFonts w:ascii="Times New Roman" w:cs="Times New Roman" w:eastAsia="Times New Roman" w:hAnsi="Times New Roman"/>
          <w:sz w:val="18"/>
          <w:szCs w:val="18"/>
          <w:color w:val="auto"/>
        </w:rPr>
        <w:t>Each CIC Agreement sets out severance benefits that become payable if the executive officer experiences a Qualifying Termination. The severance benefits provided to the executive in such circumstances would consist of the following: (i) a lump sum payment equal to one and one-half (1</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times the sum of (A) his annual base salary immediately prior to the change in control, and (B) the CIC Bonus Amount; (ii) all of the executive’s then-outstanding stock options would remain exercisable for a period of eighteen (18) months after the termination date (but not beyond the expiration of their respective maximum terms); and (iii) COBRA continuation for up to eighteen (18) months after the termination date.</w:t>
      </w:r>
    </w:p>
    <w:p>
      <w:pPr>
        <w:spacing w:after="0" w:line="219" w:lineRule="exact"/>
        <w:rPr>
          <w:sz w:val="20"/>
          <w:szCs w:val="20"/>
          <w:color w:val="auto"/>
        </w:rPr>
      </w:pPr>
    </w:p>
    <w:p>
      <w:pPr>
        <w:jc w:val="both"/>
        <w:ind w:firstLine="389"/>
        <w:spacing w:after="0" w:line="293" w:lineRule="auto"/>
        <w:rPr>
          <w:sz w:val="20"/>
          <w:szCs w:val="20"/>
          <w:color w:val="auto"/>
        </w:rPr>
      </w:pPr>
      <w:r>
        <w:rPr>
          <w:rFonts w:ascii="Times New Roman" w:cs="Times New Roman" w:eastAsia="Times New Roman" w:hAnsi="Times New Roman"/>
          <w:sz w:val="18"/>
          <w:szCs w:val="18"/>
          <w:color w:val="auto"/>
        </w:rPr>
        <w:t>Each CIC Agreement also provides that in the event of a Qualifying Termination, the executive is entitled to full acceleration of the vesting of all of his outstanding equity awards (including stock options, restricted stock awards, RSU awards, and all earned but unissued performance-based equity awards). At the time of a change in control, all such outstanding equity awards would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change in control occurs prior to the end of the performance period, such awards would be deemed earned as to the greater of (i) the target level of shares for such awards, or (ii) if such calculation is determined to be practicable by the Compensation Committee, the number of shares that would have been earned pursuant to the terms of such awards based upon performance up through and including the day prior to the date of the change in control. In the event that the successor or surviving company does not agree to assume, or to substitute for, such outstanding equity awards on substantially similar terms with substantially equivalent economic benefits as exist for such award immediately prior to the change in control, then such awards would accelerate in full as of the change in control.</w:t>
      </w:r>
    </w:p>
    <w:p>
      <w:pPr>
        <w:spacing w:after="0" w:line="214"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Each CIC Agreement also sets out severance benefits outside a change in control that become payable if the executive’s employment is terminated by the Company without cause. The severance benefits provided to the executive under such circumstance would consist of the following: (i) biweekly compensation continuation payments commencing not more than sixty (60) days after such termination and continuing for a period of twelve (12) months, with each such compensation continuation payment being equal to the aggregate payment amount divided by twenty-six (26), where the aggregate payment is equal to the sum of (x) his then-current annual base salary, and (y) any short-term cash incentive award then due; (ii) all then-vested outstanding stock options would remain exercisable for a period of twelve (12) months after the termination date (but not beyond the expiration of their respective maximum terms); and (iii) COBRA continuation coverage for up to twelve (12) months after the termination date.</w:t>
      </w:r>
    </w:p>
    <w:p>
      <w:pPr>
        <w:spacing w:after="0" w:line="205" w:lineRule="exact"/>
        <w:rPr>
          <w:sz w:val="20"/>
          <w:szCs w:val="20"/>
          <w:color w:val="auto"/>
        </w:rPr>
      </w:pPr>
    </w:p>
    <w:p>
      <w:pPr>
        <w:jc w:val="both"/>
        <w:ind w:firstLine="389"/>
        <w:spacing w:after="0" w:line="305" w:lineRule="auto"/>
        <w:rPr>
          <w:sz w:val="20"/>
          <w:szCs w:val="20"/>
          <w:color w:val="auto"/>
        </w:rPr>
      </w:pPr>
      <w:r>
        <w:rPr>
          <w:rFonts w:ascii="Times New Roman" w:cs="Times New Roman" w:eastAsia="Times New Roman" w:hAnsi="Times New Roman"/>
          <w:sz w:val="18"/>
          <w:szCs w:val="18"/>
          <w:color w:val="auto"/>
        </w:rPr>
        <w:t>In the event of the executive’s death or permanent disability (within the meaning of Section 22(e)(3) of the IRC), each CIC Agreement provides for full acceleration of the vesting of all then-outstanding equity awards subject to time-based vesting (including stock options, restricted stock awards, RSU awards, and all performance-based equity awards where the performance period has ended and the shares are earned but unissued). Each CIC</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0" w:name="page31"/>
    <w:bookmarkEnd w:id="30"/>
    <w:p>
      <w:pPr>
        <w:jc w:val="both"/>
        <w:spacing w:after="0" w:line="294" w:lineRule="auto"/>
        <w:rPr>
          <w:sz w:val="20"/>
          <w:szCs w:val="20"/>
          <w:color w:val="auto"/>
        </w:rPr>
      </w:pPr>
      <w:r>
        <w:rPr>
          <w:rFonts w:ascii="Times New Roman" w:cs="Times New Roman" w:eastAsia="Times New Roman" w:hAnsi="Times New Roman"/>
          <w:sz w:val="18"/>
          <w:szCs w:val="18"/>
          <w:color w:val="auto"/>
        </w:rPr>
        <w:t>Agreement also provides that for a performance-based equity award where the executive’s death or permanent disability occurs prior to the end of the performance period, such award would be deemed earned as to the greater of (i) the target level of shares for such award, or (ii) the number of shares that would have been earned pursuant to the terms of such award had the executive remained employed through the end of the performance period, and such earned shares would become vested and issuable to the executive after the performance period ends. In addition, all outstanding stock options would remain exercisable for a period of twelve (12) months following the termination of employment (but not beyond the expiration of their respective maximum terms).</w:t>
      </w:r>
    </w:p>
    <w:p>
      <w:pPr>
        <w:spacing w:after="0" w:line="220"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Each CIC Agreement is intended to be exempt from or compliant with Section 409A of the IRC and has an initial two (2) year term, and thereafter renews automatically on an annual basis for up to five (5) additional years unless either the Company or the executive timely provides a notice of non-renewal to the other prior to the end of the then-current term. The payments due to each executive under his or her CIC Agreement are subject to potential reduction in the event that such payments would otherwise become subject to excise tax incurred under Section 4999 of the IRC, if such reduction would result in the executive retaining a larger amount, on an after-tax basis, than if he had received all of the payments due.</w:t>
      </w:r>
    </w:p>
    <w:p>
      <w:pPr>
        <w:spacing w:after="0" w:line="204" w:lineRule="exact"/>
        <w:rPr>
          <w:sz w:val="20"/>
          <w:szCs w:val="20"/>
          <w:color w:val="auto"/>
        </w:rPr>
      </w:pPr>
    </w:p>
    <w:p>
      <w:pPr>
        <w:jc w:val="both"/>
        <w:ind w:firstLine="389"/>
        <w:spacing w:after="0" w:line="313" w:lineRule="auto"/>
        <w:rPr>
          <w:sz w:val="20"/>
          <w:szCs w:val="20"/>
          <w:color w:val="auto"/>
        </w:rPr>
      </w:pPr>
      <w:r>
        <w:rPr>
          <w:rFonts w:ascii="Times New Roman" w:cs="Times New Roman" w:eastAsia="Times New Roman" w:hAnsi="Times New Roman"/>
          <w:sz w:val="18"/>
          <w:szCs w:val="18"/>
          <w:color w:val="auto"/>
        </w:rPr>
        <w:t>Additionally, each CIC Agreement requires that the executive sign a release of claims in favor of the Company before he is eligible to receive any benefits under the agreement. Each CIC Agreement also contains non-solicitation provisions applicable to the executive while he is employed by the Company and for a period of twelve (12) months following the termination of his employment.</w:t>
      </w:r>
    </w:p>
    <w:p>
      <w:pPr>
        <w:spacing w:after="0" w:line="189" w:lineRule="exact"/>
        <w:rPr>
          <w:sz w:val="20"/>
          <w:szCs w:val="20"/>
          <w:color w:val="auto"/>
        </w:rPr>
      </w:pPr>
    </w:p>
    <w:p>
      <w:pPr>
        <w:jc w:val="both"/>
        <w:ind w:firstLine="389"/>
        <w:spacing w:after="0" w:line="293" w:lineRule="auto"/>
        <w:rPr>
          <w:sz w:val="20"/>
          <w:szCs w:val="20"/>
          <w:color w:val="auto"/>
        </w:rPr>
      </w:pPr>
      <w:r>
        <w:rPr>
          <w:rFonts w:ascii="Times New Roman" w:cs="Times New Roman" w:eastAsia="Times New Roman" w:hAnsi="Times New Roman"/>
          <w:sz w:val="18"/>
          <w:szCs w:val="18"/>
          <w:color w:val="auto"/>
        </w:rPr>
        <w:t>The terms “change in control,” “cause,” and “good reason” are each defined in the CIC Agreements. Change in control means, in summary: (i) the acquisition by a person or a group of 40% or more of the outstanding stock of the Company; (ii) a change, without approval by the Board of Directors, of a majority of the Board of Directors of the Company; (iii) the acquisition of the Company by means of a reorganization, merger, consolidation, or asset sale; or (iv) 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substantial or continuing inattention to or neglect of duties. Good reason means, in summary: (i) a material diminution in the executive’s base compensation, authority, duties, or responsibilities; (ii) a material diminution in the authority, duties, or responsibilities of the executive’s supervisor; (iii) a material change in the executive’s office location; or (iv) any action or inaction constituting a material breach by the Company of the terms of the agreement.</w:t>
      </w:r>
    </w:p>
    <w:p>
      <w:pPr>
        <w:spacing w:after="0" w:line="223" w:lineRule="exact"/>
        <w:rPr>
          <w:sz w:val="20"/>
          <w:szCs w:val="20"/>
          <w:color w:val="auto"/>
        </w:rPr>
      </w:pPr>
    </w:p>
    <w:p>
      <w:pPr>
        <w:jc w:val="both"/>
        <w:ind w:right="20" w:firstLine="389"/>
        <w:spacing w:after="0" w:line="313" w:lineRule="auto"/>
        <w:rPr>
          <w:sz w:val="20"/>
          <w:szCs w:val="20"/>
          <w:color w:val="auto"/>
        </w:rPr>
      </w:pPr>
      <w:r>
        <w:rPr>
          <w:rFonts w:ascii="Times New Roman" w:cs="Times New Roman" w:eastAsia="Times New Roman" w:hAnsi="Times New Roman"/>
          <w:sz w:val="18"/>
          <w:szCs w:val="18"/>
          <w:color w:val="auto"/>
        </w:rPr>
        <w:t>The following table summarizes the payments and benefits that would be made by the Company to the Named Executive Officers as of September 29, 2023, in the following circumstances as of such date:</w:t>
      </w:r>
    </w:p>
    <w:p>
      <w:pPr>
        <w:spacing w:after="0" w:line="203"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without cause outside of a change in control;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without cause or for good reason in connection with a change in control; and</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termination of employment because of death or disability.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1" w:name="page32"/>
    <w:bookmarkEnd w:id="31"/>
    <w:p>
      <w:pPr>
        <w:ind w:firstLine="389"/>
        <w:spacing w:after="0" w:line="313" w:lineRule="auto"/>
        <w:rPr>
          <w:sz w:val="20"/>
          <w:szCs w:val="20"/>
          <w:color w:val="auto"/>
        </w:rPr>
      </w:pPr>
      <w:r>
        <w:rPr>
          <w:rFonts w:ascii="Times New Roman" w:cs="Times New Roman" w:eastAsia="Times New Roman" w:hAnsi="Times New Roman"/>
          <w:sz w:val="18"/>
          <w:szCs w:val="18"/>
          <w:color w:val="auto"/>
        </w:rPr>
        <w:t>The accelerated equity values in the table reflect a price of $98.59 per share, which was the closing sale price of the Company’s common stock on the Nasdaq Global Select Market on September 29, 2023. The table does not reflect any equity awards made after September 29, 2023.</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04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7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040" w:type="dxa"/>
            <w:vAlign w:val="bottom"/>
            <w:vMerge w:val="continue"/>
          </w:tcPr>
          <w:p>
            <w:pPr>
              <w:spacing w:after="0"/>
              <w:rPr>
                <w:sz w:val="16"/>
                <w:szCs w:val="16"/>
                <w:color w:val="auto"/>
              </w:rPr>
            </w:pPr>
          </w:p>
        </w:tc>
        <w:tc>
          <w:tcPr>
            <w:tcW w:w="1760" w:type="dxa"/>
            <w:vAlign w:val="bottom"/>
          </w:tcPr>
          <w:p>
            <w:pPr>
              <w:jc w:val="center"/>
              <w:ind w:right="270"/>
              <w:spacing w:after="0" w:line="184" w:lineRule="exact"/>
              <w:rPr>
                <w:sz w:val="20"/>
                <w:szCs w:val="20"/>
                <w:color w:val="auto"/>
              </w:rPr>
            </w:pPr>
            <w:r>
              <w:rPr>
                <w:rFonts w:ascii="Times New Roman" w:cs="Times New Roman" w:eastAsia="Times New Roman" w:hAnsi="Times New Roman"/>
                <w:sz w:val="18"/>
                <w:szCs w:val="18"/>
                <w:b w:val="1"/>
                <w:bCs w:val="1"/>
                <w:color w:val="auto"/>
              </w:rPr>
              <w:t>w/o Cause</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0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w/o Cause</w:t>
            </w:r>
          </w:p>
        </w:tc>
        <w:tc>
          <w:tcPr>
            <w:tcW w:w="1760" w:type="dxa"/>
            <w:vAlign w:val="bottom"/>
          </w:tcPr>
          <w:p>
            <w:pPr>
              <w:jc w:val="center"/>
              <w:ind w:right="270"/>
              <w:spacing w:after="0" w:line="176" w:lineRule="exact"/>
              <w:rPr>
                <w:sz w:val="20"/>
                <w:szCs w:val="20"/>
                <w:color w:val="auto"/>
              </w:rPr>
            </w:pPr>
            <w:r>
              <w:rPr>
                <w:rFonts w:ascii="Times New Roman" w:cs="Times New Roman" w:eastAsia="Times New Roman" w:hAnsi="Times New Roman"/>
                <w:sz w:val="18"/>
                <w:szCs w:val="18"/>
                <w:b w:val="1"/>
                <w:bCs w:val="1"/>
                <w:color w:val="auto"/>
              </w:rPr>
              <w:t>or for Good</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04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Outside</w:t>
            </w:r>
          </w:p>
        </w:tc>
        <w:tc>
          <w:tcPr>
            <w:tcW w:w="1760" w:type="dxa"/>
            <w:vAlign w:val="bottom"/>
          </w:tcPr>
          <w:p>
            <w:pPr>
              <w:jc w:val="center"/>
              <w:ind w:right="2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Reason,</w:t>
            </w:r>
          </w:p>
        </w:tc>
        <w:tc>
          <w:tcPr>
            <w:tcW w:w="12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Death/</w:t>
            </w:r>
          </w:p>
        </w:tc>
        <w:tc>
          <w:tcPr>
            <w:tcW w:w="0" w:type="dxa"/>
            <w:vAlign w:val="bottom"/>
          </w:tcPr>
          <w:p>
            <w:pPr>
              <w:spacing w:after="0"/>
              <w:rPr>
                <w:sz w:val="1"/>
                <w:szCs w:val="1"/>
                <w:color w:val="auto"/>
              </w:rPr>
            </w:pPr>
          </w:p>
        </w:tc>
      </w:tr>
      <w:tr>
        <w:trPr>
          <w:trHeight w:val="189"/>
        </w:trPr>
        <w:tc>
          <w:tcPr>
            <w:tcW w:w="24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04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1760" w:type="dxa"/>
            <w:vAlign w:val="bottom"/>
          </w:tcPr>
          <w:p>
            <w:pPr>
              <w:jc w:val="center"/>
              <w:ind w:right="270"/>
              <w:spacing w:after="0" w:line="189" w:lineRule="exact"/>
              <w:rPr>
                <w:sz w:val="20"/>
                <w:szCs w:val="20"/>
                <w:color w:val="auto"/>
              </w:rPr>
            </w:pPr>
            <w:r>
              <w:rPr>
                <w:rFonts w:ascii="Times New Roman" w:cs="Times New Roman" w:eastAsia="Times New Roman" w:hAnsi="Times New Roman"/>
                <w:sz w:val="18"/>
                <w:szCs w:val="18"/>
                <w:b w:val="1"/>
                <w:bCs w:val="1"/>
                <w:color w:val="auto"/>
                <w:w w:val="97"/>
              </w:rPr>
              <w:t>After</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04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Control</w:t>
            </w:r>
          </w:p>
        </w:tc>
        <w:tc>
          <w:tcPr>
            <w:tcW w:w="1760" w:type="dxa"/>
            <w:vAlign w:val="bottom"/>
          </w:tcPr>
          <w:p>
            <w:pPr>
              <w:jc w:val="center"/>
              <w:ind w:right="270"/>
              <w:spacing w:after="0" w:line="176" w:lineRule="exact"/>
              <w:rPr>
                <w:sz w:val="20"/>
                <w:szCs w:val="20"/>
                <w:color w:val="auto"/>
              </w:rPr>
            </w:pPr>
            <w:r>
              <w:rPr>
                <w:rFonts w:ascii="Times New Roman" w:cs="Times New Roman" w:eastAsia="Times New Roman" w:hAnsi="Times New Roman"/>
                <w:sz w:val="18"/>
                <w:szCs w:val="18"/>
                <w:b w:val="1"/>
                <w:bCs w:val="1"/>
                <w:color w:val="auto"/>
              </w:rPr>
              <w:t>Change in</w:t>
            </w:r>
          </w:p>
        </w:tc>
        <w:tc>
          <w:tcPr>
            <w:tcW w:w="12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Disability</w:t>
            </w:r>
          </w:p>
        </w:tc>
        <w:tc>
          <w:tcPr>
            <w:tcW w:w="0" w:type="dxa"/>
            <w:vAlign w:val="bottom"/>
          </w:tcPr>
          <w:p>
            <w:pPr>
              <w:spacing w:after="0"/>
              <w:rPr>
                <w:sz w:val="1"/>
                <w:szCs w:val="1"/>
                <w:color w:val="auto"/>
              </w:rPr>
            </w:pPr>
          </w:p>
        </w:tc>
      </w:tr>
      <w:tr>
        <w:trPr>
          <w:trHeight w:val="265"/>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84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20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17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Control ($)</w:t>
            </w: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Liam K. Griffin(2)</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Salary and Short-Term Incentive</w:t>
            </w:r>
          </w:p>
        </w:tc>
        <w:tc>
          <w:tcPr>
            <w:tcW w:w="2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7,307,804(3)</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9,134,755(4)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00" w:type="dxa"/>
            <w:vAlign w:val="bottom"/>
            <w:shd w:val="clear" w:color="auto" w:fill="DBDBDB"/>
          </w:tcPr>
          <w:p>
            <w:pPr>
              <w:spacing w:after="0"/>
              <w:rPr>
                <w:sz w:val="19"/>
                <w:szCs w:val="19"/>
                <w:color w:val="auto"/>
              </w:rPr>
            </w:pPr>
          </w:p>
        </w:tc>
        <w:tc>
          <w:tcPr>
            <w:tcW w:w="38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Accelerated RSUs</w:t>
            </w:r>
          </w:p>
        </w:tc>
        <w:tc>
          <w:tcPr>
            <w:tcW w:w="204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10,640,818</w:t>
            </w:r>
          </w:p>
        </w:tc>
        <w:tc>
          <w:tcPr>
            <w:tcW w:w="1760" w:type="dxa"/>
            <w:vAlign w:val="bottom"/>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10,640,818</w:t>
            </w: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10,640,818</w:t>
            </w:r>
          </w:p>
        </w:tc>
        <w:tc>
          <w:tcPr>
            <w:tcW w:w="0" w:type="dxa"/>
            <w:vAlign w:val="bottom"/>
          </w:tcPr>
          <w:p>
            <w:pPr>
              <w:spacing w:after="0"/>
              <w:rPr>
                <w:sz w:val="1"/>
                <w:szCs w:val="1"/>
                <w:color w:val="auto"/>
              </w:rPr>
            </w:pPr>
          </w:p>
        </w:tc>
      </w:tr>
      <w:tr>
        <w:trPr>
          <w:trHeight w:val="229"/>
        </w:trPr>
        <w:tc>
          <w:tcPr>
            <w:tcW w:w="240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Accelerated PSAs (5)</w:t>
            </w:r>
          </w:p>
        </w:tc>
        <w:tc>
          <w:tcPr>
            <w:tcW w:w="2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21,367,114</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21,367,114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21,367,114</w:t>
            </w:r>
          </w:p>
        </w:tc>
        <w:tc>
          <w:tcPr>
            <w:tcW w:w="0" w:type="dxa"/>
            <w:vAlign w:val="bottom"/>
          </w:tcPr>
          <w:p>
            <w:pPr>
              <w:spacing w:after="0"/>
              <w:rPr>
                <w:sz w:val="1"/>
                <w:szCs w:val="1"/>
                <w:color w:val="auto"/>
              </w:rPr>
            </w:pPr>
          </w:p>
        </w:tc>
      </w:tr>
      <w:tr>
        <w:trPr>
          <w:trHeight w:val="229"/>
        </w:trPr>
        <w:tc>
          <w:tcPr>
            <w:tcW w:w="2400" w:type="dxa"/>
            <w:vAlign w:val="bottom"/>
            <w:shd w:val="clear" w:color="auto" w:fill="DBDBDB"/>
          </w:tcPr>
          <w:p>
            <w:pPr>
              <w:spacing w:after="0"/>
              <w:rPr>
                <w:sz w:val="19"/>
                <w:szCs w:val="19"/>
                <w:color w:val="auto"/>
              </w:rPr>
            </w:pPr>
          </w:p>
        </w:tc>
        <w:tc>
          <w:tcPr>
            <w:tcW w:w="38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Medical</w:t>
            </w:r>
          </w:p>
        </w:tc>
        <w:tc>
          <w:tcPr>
            <w:tcW w:w="2040" w:type="dxa"/>
            <w:vAlign w:val="bottom"/>
            <w:tcBorders>
              <w:bottom w:val="single" w:sz="8" w:color="auto"/>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35,842</w:t>
            </w:r>
          </w:p>
        </w:tc>
        <w:tc>
          <w:tcPr>
            <w:tcW w:w="1760" w:type="dxa"/>
            <w:vAlign w:val="bottom"/>
            <w:tcBorders>
              <w:bottom w:val="single" w:sz="8" w:color="auto"/>
            </w:tcBorders>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43,010</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0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39,351,578</w:t>
            </w:r>
          </w:p>
        </w:tc>
        <w:tc>
          <w:tcPr>
            <w:tcW w:w="1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41,185,697</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32,007,932</w:t>
            </w:r>
          </w:p>
        </w:tc>
        <w:tc>
          <w:tcPr>
            <w:tcW w:w="0" w:type="dxa"/>
            <w:vAlign w:val="bottom"/>
          </w:tcPr>
          <w:p>
            <w:pPr>
              <w:spacing w:after="0"/>
              <w:rPr>
                <w:sz w:val="1"/>
                <w:szCs w:val="1"/>
                <w:color w:val="auto"/>
              </w:rPr>
            </w:pPr>
          </w:p>
        </w:tc>
      </w:tr>
      <w:tr>
        <w:trPr>
          <w:trHeight w:val="20"/>
        </w:trPr>
        <w:tc>
          <w:tcPr>
            <w:tcW w:w="2400" w:type="dxa"/>
            <w:vAlign w:val="bottom"/>
            <w:tcBorders>
              <w:bottom w:val="single" w:sz="8" w:color="DBDBDB"/>
            </w:tcBorders>
          </w:tcPr>
          <w:p>
            <w:pPr>
              <w:spacing w:after="0" w:line="20" w:lineRule="exact"/>
              <w:rPr>
                <w:sz w:val="1"/>
                <w:szCs w:val="1"/>
                <w:color w:val="auto"/>
              </w:rPr>
            </w:pPr>
          </w:p>
        </w:tc>
        <w:tc>
          <w:tcPr>
            <w:tcW w:w="3840" w:type="dxa"/>
            <w:vAlign w:val="bottom"/>
            <w:tcBorders>
              <w:bottom w:val="single" w:sz="8" w:color="DBDBDB"/>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Kris Sennesael(2)</w:t>
            </w:r>
          </w:p>
        </w:tc>
        <w:tc>
          <w:tcPr>
            <w:tcW w:w="38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Salary and Short-Term Incentive</w:t>
            </w:r>
          </w:p>
        </w:tc>
        <w:tc>
          <w:tcPr>
            <w:tcW w:w="204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606,000(6)</w:t>
            </w:r>
          </w:p>
        </w:tc>
        <w:tc>
          <w:tcPr>
            <w:tcW w:w="1760" w:type="dxa"/>
            <w:vAlign w:val="bottom"/>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2,113,153(7)</w:t>
            </w: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0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Accelerated RSUs</w:t>
            </w:r>
          </w:p>
        </w:tc>
        <w:tc>
          <w:tcPr>
            <w:tcW w:w="2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3,173,711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3,173,711</w:t>
            </w:r>
          </w:p>
        </w:tc>
        <w:tc>
          <w:tcPr>
            <w:tcW w:w="0" w:type="dxa"/>
            <w:vAlign w:val="bottom"/>
          </w:tcPr>
          <w:p>
            <w:pPr>
              <w:spacing w:after="0"/>
              <w:rPr>
                <w:sz w:val="1"/>
                <w:szCs w:val="1"/>
                <w:color w:val="auto"/>
              </w:rPr>
            </w:pPr>
          </w:p>
        </w:tc>
      </w:tr>
      <w:tr>
        <w:trPr>
          <w:trHeight w:val="230"/>
        </w:trPr>
        <w:tc>
          <w:tcPr>
            <w:tcW w:w="2400" w:type="dxa"/>
            <w:vAlign w:val="bottom"/>
            <w:shd w:val="clear" w:color="auto" w:fill="DBDBDB"/>
          </w:tcPr>
          <w:p>
            <w:pPr>
              <w:spacing w:after="0"/>
              <w:rPr>
                <w:sz w:val="19"/>
                <w:szCs w:val="19"/>
                <w:color w:val="auto"/>
              </w:rPr>
            </w:pPr>
          </w:p>
        </w:tc>
        <w:tc>
          <w:tcPr>
            <w:tcW w:w="38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Accelerated PSAs (5)</w:t>
            </w:r>
          </w:p>
        </w:tc>
        <w:tc>
          <w:tcPr>
            <w:tcW w:w="204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6,331,351</w:t>
            </w: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6,331,351</w:t>
            </w:r>
          </w:p>
        </w:tc>
        <w:tc>
          <w:tcPr>
            <w:tcW w:w="0" w:type="dxa"/>
            <w:vAlign w:val="bottom"/>
          </w:tcPr>
          <w:p>
            <w:pPr>
              <w:spacing w:after="0"/>
              <w:rPr>
                <w:sz w:val="1"/>
                <w:szCs w:val="1"/>
                <w:color w:val="auto"/>
              </w:rPr>
            </w:pPr>
          </w:p>
        </w:tc>
      </w:tr>
      <w:tr>
        <w:trPr>
          <w:trHeight w:val="229"/>
        </w:trPr>
        <w:tc>
          <w:tcPr>
            <w:tcW w:w="2400" w:type="dxa"/>
            <w:vAlign w:val="bottom"/>
            <w:tcBorders>
              <w:bottom w:val="single" w:sz="8" w:color="DBDBDB"/>
            </w:tcBorders>
          </w:tcPr>
          <w:p>
            <w:pPr>
              <w:spacing w:after="0"/>
              <w:rPr>
                <w:sz w:val="19"/>
                <w:szCs w:val="19"/>
                <w:color w:val="auto"/>
              </w:rPr>
            </w:pPr>
          </w:p>
        </w:tc>
        <w:tc>
          <w:tcPr>
            <w:tcW w:w="384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8"/>
                <w:szCs w:val="18"/>
                <w:color w:val="auto"/>
              </w:rPr>
              <w:t>Medical</w:t>
            </w:r>
          </w:p>
        </w:tc>
        <w:tc>
          <w:tcPr>
            <w:tcW w:w="2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28,673</w:t>
            </w:r>
          </w:p>
        </w:tc>
        <w:tc>
          <w:tcPr>
            <w:tcW w:w="1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43,010</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400" w:type="dxa"/>
            <w:vAlign w:val="bottom"/>
            <w:tcBorders>
              <w:bottom w:val="single" w:sz="8" w:color="DBDBDB"/>
            </w:tcBorders>
            <w:shd w:val="clear" w:color="auto" w:fill="DBDBDB"/>
          </w:tcPr>
          <w:p>
            <w:pPr>
              <w:spacing w:after="0"/>
              <w:rPr>
                <w:sz w:val="21"/>
                <w:szCs w:val="21"/>
                <w:color w:val="auto"/>
              </w:rPr>
            </w:pPr>
          </w:p>
        </w:tc>
        <w:tc>
          <w:tcPr>
            <w:tcW w:w="38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40" w:type="dxa"/>
            <w:vAlign w:val="bottom"/>
            <w:tcBorders>
              <w:bottom w:val="single" w:sz="8" w:color="auto"/>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634,673</w:t>
            </w:r>
          </w:p>
        </w:tc>
        <w:tc>
          <w:tcPr>
            <w:tcW w:w="1760" w:type="dxa"/>
            <w:vAlign w:val="bottom"/>
            <w:tcBorders>
              <w:bottom w:val="single" w:sz="8" w:color="auto"/>
            </w:tcBorders>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11,661,225</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b w:val="1"/>
                <w:bCs w:val="1"/>
                <w:color w:val="auto"/>
              </w:rPr>
              <w:t>9,505,062</w:t>
            </w:r>
          </w:p>
        </w:tc>
        <w:tc>
          <w:tcPr>
            <w:tcW w:w="0" w:type="dxa"/>
            <w:vAlign w:val="bottom"/>
          </w:tcPr>
          <w:p>
            <w:pPr>
              <w:spacing w:after="0"/>
              <w:rPr>
                <w:sz w:val="1"/>
                <w:szCs w:val="1"/>
                <w:color w:val="auto"/>
              </w:rPr>
            </w:pPr>
          </w:p>
        </w:tc>
      </w:tr>
      <w:tr>
        <w:trPr>
          <w:trHeight w:val="20"/>
        </w:trPr>
        <w:tc>
          <w:tcPr>
            <w:tcW w:w="2400" w:type="dxa"/>
            <w:vAlign w:val="bottom"/>
            <w:tcBorders>
              <w:top w:val="single" w:sz="8" w:color="DBDBDB"/>
              <w:bottom w:val="single" w:sz="8" w:color="DBDBDB"/>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Reza Kasnavi(2)</w:t>
            </w:r>
          </w:p>
        </w:tc>
        <w:tc>
          <w:tcPr>
            <w:tcW w:w="3840" w:type="dxa"/>
            <w:vAlign w:val="bottom"/>
            <w:tcBorders>
              <w:top w:val="single" w:sz="8" w:color="DBDBDB"/>
              <w:bottom w:val="single" w:sz="8" w:color="DBDBDB"/>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Salary and Short-Term Incentive</w:t>
            </w:r>
          </w:p>
        </w:tc>
        <w:tc>
          <w:tcPr>
            <w:tcW w:w="2040" w:type="dxa"/>
            <w:vAlign w:val="bottom"/>
            <w:tcBorders>
              <w:top w:val="single" w:sz="8" w:color="DBDBDB"/>
              <w:bottom w:val="single" w:sz="8" w:color="auto"/>
            </w:tcBorders>
          </w:tcPr>
          <w:p>
            <w:pPr>
              <w:spacing w:after="0" w:line="20" w:lineRule="exact"/>
              <w:rPr>
                <w:sz w:val="1"/>
                <w:szCs w:val="1"/>
                <w:color w:val="auto"/>
              </w:rPr>
            </w:pPr>
          </w:p>
        </w:tc>
        <w:tc>
          <w:tcPr>
            <w:tcW w:w="17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0" w:type="dxa"/>
            <w:vAlign w:val="bottom"/>
            <w:vMerge w:val="continue"/>
          </w:tcPr>
          <w:p>
            <w:pPr>
              <w:spacing w:after="0"/>
              <w:rPr>
                <w:sz w:val="17"/>
                <w:szCs w:val="17"/>
                <w:color w:val="auto"/>
              </w:rPr>
            </w:pPr>
          </w:p>
        </w:tc>
        <w:tc>
          <w:tcPr>
            <w:tcW w:w="3840" w:type="dxa"/>
            <w:vAlign w:val="bottom"/>
            <w:vMerge w:val="continue"/>
          </w:tcPr>
          <w:p>
            <w:pPr>
              <w:spacing w:after="0"/>
              <w:rPr>
                <w:sz w:val="17"/>
                <w:szCs w:val="17"/>
                <w:color w:val="auto"/>
              </w:rPr>
            </w:pPr>
          </w:p>
        </w:tc>
        <w:tc>
          <w:tcPr>
            <w:tcW w:w="20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576,000(6)</w:t>
            </w:r>
          </w:p>
        </w:tc>
        <w:tc>
          <w:tcPr>
            <w:tcW w:w="176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1,752,698(7)</w:t>
            </w: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00" w:type="dxa"/>
            <w:vAlign w:val="bottom"/>
            <w:shd w:val="clear" w:color="auto" w:fill="DBDBDB"/>
          </w:tcPr>
          <w:p>
            <w:pPr>
              <w:spacing w:after="0"/>
              <w:rPr>
                <w:sz w:val="19"/>
                <w:szCs w:val="19"/>
                <w:color w:val="auto"/>
              </w:rPr>
            </w:pPr>
          </w:p>
        </w:tc>
        <w:tc>
          <w:tcPr>
            <w:tcW w:w="38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Accelerated RSUs</w:t>
            </w:r>
          </w:p>
        </w:tc>
        <w:tc>
          <w:tcPr>
            <w:tcW w:w="204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3,182,288</w:t>
            </w: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3,182,288</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Accelerated PSAs (5)</w:t>
            </w:r>
          </w:p>
        </w:tc>
        <w:tc>
          <w:tcPr>
            <w:tcW w:w="2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6,461,687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6,461,687</w:t>
            </w:r>
          </w:p>
        </w:tc>
        <w:tc>
          <w:tcPr>
            <w:tcW w:w="0" w:type="dxa"/>
            <w:vAlign w:val="bottom"/>
          </w:tcPr>
          <w:p>
            <w:pPr>
              <w:spacing w:after="0"/>
              <w:rPr>
                <w:sz w:val="1"/>
                <w:szCs w:val="1"/>
                <w:color w:val="auto"/>
              </w:rPr>
            </w:pPr>
          </w:p>
        </w:tc>
      </w:tr>
      <w:tr>
        <w:trPr>
          <w:trHeight w:val="229"/>
        </w:trPr>
        <w:tc>
          <w:tcPr>
            <w:tcW w:w="2400" w:type="dxa"/>
            <w:vAlign w:val="bottom"/>
            <w:shd w:val="clear" w:color="auto" w:fill="DBDBDB"/>
          </w:tcPr>
          <w:p>
            <w:pPr>
              <w:spacing w:after="0"/>
              <w:rPr>
                <w:sz w:val="19"/>
                <w:szCs w:val="19"/>
                <w:color w:val="auto"/>
              </w:rPr>
            </w:pPr>
          </w:p>
        </w:tc>
        <w:tc>
          <w:tcPr>
            <w:tcW w:w="38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Medical</w:t>
            </w:r>
          </w:p>
        </w:tc>
        <w:tc>
          <w:tcPr>
            <w:tcW w:w="2040" w:type="dxa"/>
            <w:vAlign w:val="bottom"/>
            <w:tcBorders>
              <w:bottom w:val="single" w:sz="8" w:color="auto"/>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$8,956</w:t>
            </w:r>
          </w:p>
        </w:tc>
        <w:tc>
          <w:tcPr>
            <w:tcW w:w="1760" w:type="dxa"/>
            <w:vAlign w:val="bottom"/>
            <w:tcBorders>
              <w:bottom w:val="single" w:sz="8" w:color="auto"/>
            </w:tcBorders>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13,434</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0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584,956</w:t>
            </w:r>
          </w:p>
        </w:tc>
        <w:tc>
          <w:tcPr>
            <w:tcW w:w="1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11,410,107</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9,643,975</w:t>
            </w:r>
          </w:p>
        </w:tc>
        <w:tc>
          <w:tcPr>
            <w:tcW w:w="0" w:type="dxa"/>
            <w:vAlign w:val="bottom"/>
          </w:tcPr>
          <w:p>
            <w:pPr>
              <w:spacing w:after="0"/>
              <w:rPr>
                <w:sz w:val="1"/>
                <w:szCs w:val="1"/>
                <w:color w:val="auto"/>
              </w:rPr>
            </w:pPr>
          </w:p>
        </w:tc>
      </w:tr>
      <w:tr>
        <w:trPr>
          <w:trHeight w:val="20"/>
        </w:trPr>
        <w:tc>
          <w:tcPr>
            <w:tcW w:w="2400" w:type="dxa"/>
            <w:vAlign w:val="bottom"/>
            <w:tcBorders>
              <w:bottom w:val="single" w:sz="8" w:color="DBDBDB"/>
            </w:tcBorders>
          </w:tcPr>
          <w:p>
            <w:pPr>
              <w:spacing w:after="0" w:line="20" w:lineRule="exact"/>
              <w:rPr>
                <w:sz w:val="1"/>
                <w:szCs w:val="1"/>
                <w:color w:val="auto"/>
              </w:rPr>
            </w:pPr>
          </w:p>
        </w:tc>
        <w:tc>
          <w:tcPr>
            <w:tcW w:w="3840" w:type="dxa"/>
            <w:vAlign w:val="bottom"/>
            <w:tcBorders>
              <w:bottom w:val="single" w:sz="8" w:color="DBDBDB"/>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Carlos S. Bori(2)</w:t>
            </w:r>
          </w:p>
        </w:tc>
        <w:tc>
          <w:tcPr>
            <w:tcW w:w="38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Salary and Short-Term Incentive</w:t>
            </w:r>
          </w:p>
        </w:tc>
        <w:tc>
          <w:tcPr>
            <w:tcW w:w="204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541,000(6)</w:t>
            </w:r>
          </w:p>
        </w:tc>
        <w:tc>
          <w:tcPr>
            <w:tcW w:w="1760" w:type="dxa"/>
            <w:vAlign w:val="bottom"/>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1,645,956(7)</w:t>
            </w: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0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Accelerated RSUs</w:t>
            </w:r>
          </w:p>
        </w:tc>
        <w:tc>
          <w:tcPr>
            <w:tcW w:w="2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3,127,472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3,127,472</w:t>
            </w:r>
          </w:p>
        </w:tc>
        <w:tc>
          <w:tcPr>
            <w:tcW w:w="0" w:type="dxa"/>
            <w:vAlign w:val="bottom"/>
          </w:tcPr>
          <w:p>
            <w:pPr>
              <w:spacing w:after="0"/>
              <w:rPr>
                <w:sz w:val="1"/>
                <w:szCs w:val="1"/>
                <w:color w:val="auto"/>
              </w:rPr>
            </w:pPr>
          </w:p>
        </w:tc>
      </w:tr>
      <w:tr>
        <w:trPr>
          <w:trHeight w:val="230"/>
        </w:trPr>
        <w:tc>
          <w:tcPr>
            <w:tcW w:w="2400" w:type="dxa"/>
            <w:vAlign w:val="bottom"/>
            <w:shd w:val="clear" w:color="auto" w:fill="D9D9D9"/>
          </w:tcPr>
          <w:p>
            <w:pPr>
              <w:spacing w:after="0"/>
              <w:rPr>
                <w:sz w:val="19"/>
                <w:szCs w:val="19"/>
                <w:color w:val="auto"/>
              </w:rPr>
            </w:pPr>
          </w:p>
        </w:tc>
        <w:tc>
          <w:tcPr>
            <w:tcW w:w="38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Accelerated PSAs (5)</w:t>
            </w:r>
          </w:p>
        </w:tc>
        <w:tc>
          <w:tcPr>
            <w:tcW w:w="204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6,379,463</w:t>
            </w: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6,379,463</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DBDBDB"/>
            </w:tcBorders>
          </w:tcPr>
          <w:p>
            <w:pPr>
              <w:spacing w:after="0"/>
              <w:rPr>
                <w:sz w:val="19"/>
                <w:szCs w:val="19"/>
                <w:color w:val="auto"/>
              </w:rPr>
            </w:pPr>
          </w:p>
        </w:tc>
        <w:tc>
          <w:tcPr>
            <w:tcW w:w="384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8"/>
                <w:szCs w:val="18"/>
                <w:color w:val="auto"/>
              </w:rPr>
              <w:t>Medical</w:t>
            </w:r>
          </w:p>
        </w:tc>
        <w:tc>
          <w:tcPr>
            <w:tcW w:w="2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28,673</w:t>
            </w:r>
          </w:p>
        </w:tc>
        <w:tc>
          <w:tcPr>
            <w:tcW w:w="1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43,010</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400" w:type="dxa"/>
            <w:vAlign w:val="bottom"/>
            <w:tcBorders>
              <w:bottom w:val="single" w:sz="8" w:color="DBDBDB"/>
            </w:tcBorders>
            <w:shd w:val="clear" w:color="auto" w:fill="DBDBDB"/>
          </w:tcPr>
          <w:p>
            <w:pPr>
              <w:spacing w:after="0"/>
              <w:rPr>
                <w:sz w:val="21"/>
                <w:szCs w:val="21"/>
                <w:color w:val="auto"/>
              </w:rPr>
            </w:pPr>
          </w:p>
        </w:tc>
        <w:tc>
          <w:tcPr>
            <w:tcW w:w="38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40" w:type="dxa"/>
            <w:vAlign w:val="bottom"/>
            <w:tcBorders>
              <w:bottom w:val="single" w:sz="8" w:color="auto"/>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569,673</w:t>
            </w:r>
          </w:p>
        </w:tc>
        <w:tc>
          <w:tcPr>
            <w:tcW w:w="1760" w:type="dxa"/>
            <w:vAlign w:val="bottom"/>
            <w:tcBorders>
              <w:bottom w:val="single" w:sz="8" w:color="auto"/>
            </w:tcBorders>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11,195,901</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b w:val="1"/>
                <w:bCs w:val="1"/>
                <w:color w:val="auto"/>
              </w:rPr>
              <w:t>9,506,935</w:t>
            </w:r>
          </w:p>
        </w:tc>
        <w:tc>
          <w:tcPr>
            <w:tcW w:w="0" w:type="dxa"/>
            <w:vAlign w:val="bottom"/>
          </w:tcPr>
          <w:p>
            <w:pPr>
              <w:spacing w:after="0"/>
              <w:rPr>
                <w:sz w:val="1"/>
                <w:szCs w:val="1"/>
                <w:color w:val="auto"/>
              </w:rPr>
            </w:pPr>
          </w:p>
        </w:tc>
      </w:tr>
      <w:tr>
        <w:trPr>
          <w:trHeight w:val="20"/>
        </w:trPr>
        <w:tc>
          <w:tcPr>
            <w:tcW w:w="2400" w:type="dxa"/>
            <w:vAlign w:val="bottom"/>
            <w:tcBorders>
              <w:top w:val="single" w:sz="8" w:color="DBDBDB"/>
            </w:tcBorders>
          </w:tcPr>
          <w:p>
            <w:pPr>
              <w:spacing w:after="0" w:line="20" w:lineRule="exact"/>
              <w:rPr>
                <w:sz w:val="1"/>
                <w:szCs w:val="1"/>
                <w:color w:val="auto"/>
              </w:rPr>
            </w:pPr>
          </w:p>
        </w:tc>
        <w:tc>
          <w:tcPr>
            <w:tcW w:w="3840" w:type="dxa"/>
            <w:vAlign w:val="bottom"/>
            <w:tcBorders>
              <w:top w:val="single" w:sz="8" w:color="DBDBDB"/>
            </w:tcBorders>
          </w:tcPr>
          <w:p>
            <w:pPr>
              <w:spacing w:after="0" w:line="20" w:lineRule="exact"/>
              <w:rPr>
                <w:sz w:val="1"/>
                <w:szCs w:val="1"/>
                <w:color w:val="auto"/>
              </w:rPr>
            </w:pPr>
          </w:p>
        </w:tc>
        <w:tc>
          <w:tcPr>
            <w:tcW w:w="2040" w:type="dxa"/>
            <w:vAlign w:val="bottom"/>
            <w:tcBorders>
              <w:top w:val="single" w:sz="8" w:color="DBDBDB"/>
              <w:bottom w:val="single" w:sz="8" w:color="auto"/>
            </w:tcBorders>
          </w:tcPr>
          <w:p>
            <w:pPr>
              <w:spacing w:after="0" w:line="20" w:lineRule="exact"/>
              <w:rPr>
                <w:sz w:val="1"/>
                <w:szCs w:val="1"/>
                <w:color w:val="auto"/>
              </w:rPr>
            </w:pPr>
          </w:p>
        </w:tc>
        <w:tc>
          <w:tcPr>
            <w:tcW w:w="17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J. Terry(2)</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Salary and Short-Term Incentive</w:t>
            </w:r>
          </w:p>
        </w:tc>
        <w:tc>
          <w:tcPr>
            <w:tcW w:w="2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540,000(6)</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1,665,129(7)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00" w:type="dxa"/>
            <w:vAlign w:val="bottom"/>
            <w:shd w:val="clear" w:color="auto" w:fill="DBDBDB"/>
          </w:tcPr>
          <w:p>
            <w:pPr>
              <w:spacing w:after="0"/>
              <w:rPr>
                <w:sz w:val="19"/>
                <w:szCs w:val="19"/>
                <w:color w:val="auto"/>
              </w:rPr>
            </w:pPr>
          </w:p>
        </w:tc>
        <w:tc>
          <w:tcPr>
            <w:tcW w:w="38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Accelerated RSUs</w:t>
            </w:r>
          </w:p>
        </w:tc>
        <w:tc>
          <w:tcPr>
            <w:tcW w:w="2040" w:type="dxa"/>
            <w:vAlign w:val="bottom"/>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2,655,719</w:t>
            </w: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2,655,719</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Accelerated PSAs (5)</w:t>
            </w:r>
          </w:p>
        </w:tc>
        <w:tc>
          <w:tcPr>
            <w:tcW w:w="2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5,317,846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5,317,846</w:t>
            </w:r>
          </w:p>
        </w:tc>
        <w:tc>
          <w:tcPr>
            <w:tcW w:w="0" w:type="dxa"/>
            <w:vAlign w:val="bottom"/>
          </w:tcPr>
          <w:p>
            <w:pPr>
              <w:spacing w:after="0"/>
              <w:rPr>
                <w:sz w:val="1"/>
                <w:szCs w:val="1"/>
                <w:color w:val="auto"/>
              </w:rPr>
            </w:pPr>
          </w:p>
        </w:tc>
      </w:tr>
      <w:tr>
        <w:trPr>
          <w:trHeight w:val="230"/>
        </w:trPr>
        <w:tc>
          <w:tcPr>
            <w:tcW w:w="2400" w:type="dxa"/>
            <w:vAlign w:val="bottom"/>
            <w:shd w:val="clear" w:color="auto" w:fill="DBDBDB"/>
          </w:tcPr>
          <w:p>
            <w:pPr>
              <w:spacing w:after="0"/>
              <w:rPr>
                <w:sz w:val="19"/>
                <w:szCs w:val="19"/>
                <w:color w:val="auto"/>
              </w:rPr>
            </w:pPr>
          </w:p>
        </w:tc>
        <w:tc>
          <w:tcPr>
            <w:tcW w:w="38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Medical</w:t>
            </w:r>
          </w:p>
        </w:tc>
        <w:tc>
          <w:tcPr>
            <w:tcW w:w="2040" w:type="dxa"/>
            <w:vAlign w:val="bottom"/>
            <w:tcBorders>
              <w:bottom w:val="single" w:sz="8" w:color="auto"/>
            </w:tcBorders>
            <w:shd w:val="clear" w:color="auto" w:fill="DBDBDB"/>
          </w:tcPr>
          <w:p>
            <w:pPr>
              <w:jc w:val="right"/>
              <w:ind w:right="150"/>
              <w:spacing w:after="0"/>
              <w:rPr>
                <w:sz w:val="20"/>
                <w:szCs w:val="20"/>
                <w:color w:val="auto"/>
              </w:rPr>
            </w:pPr>
            <w:r>
              <w:rPr>
                <w:rFonts w:ascii="Times New Roman" w:cs="Times New Roman" w:eastAsia="Times New Roman" w:hAnsi="Times New Roman"/>
                <w:sz w:val="18"/>
                <w:szCs w:val="18"/>
                <w:color w:val="auto"/>
              </w:rPr>
              <w:t>28,673</w:t>
            </w:r>
          </w:p>
        </w:tc>
        <w:tc>
          <w:tcPr>
            <w:tcW w:w="1760" w:type="dxa"/>
            <w:vAlign w:val="bottom"/>
            <w:tcBorders>
              <w:bottom w:val="single" w:sz="8" w:color="auto"/>
            </w:tcBorders>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43,010</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0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568,673</w:t>
            </w:r>
          </w:p>
        </w:tc>
        <w:tc>
          <w:tcPr>
            <w:tcW w:w="1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9,681,704</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7,973,565</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50" w:lineRule="exact"/>
        <w:rPr>
          <w:sz w:val="20"/>
          <w:szCs w:val="20"/>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Griffin, includes amounts payable pursuant to a termination for good reason outside of a change in control.</w:t>
      </w:r>
    </w:p>
    <w:p>
      <w:pPr>
        <w:spacing w:after="0" w:line="3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value of accrued vacation/paid time off required by law to be paid upon termination.</w:t>
      </w:r>
    </w:p>
    <w:p>
      <w:pPr>
        <w:spacing w:after="0" w:line="49" w:lineRule="exact"/>
        <w:rPr>
          <w:rFonts w:ascii="Times New Roman" w:cs="Times New Roman" w:eastAsia="Times New Roman" w:hAnsi="Times New Roman"/>
          <w:sz w:val="18"/>
          <w:szCs w:val="18"/>
          <w:color w:val="auto"/>
        </w:rPr>
      </w:pPr>
    </w:p>
    <w:p>
      <w:pPr>
        <w:jc w:val="both"/>
        <w:ind w:left="260" w:hanging="252"/>
        <w:spacing w:after="0" w:line="292" w:lineRule="auto"/>
        <w:tabs>
          <w:tab w:leader="none" w:pos="29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amount equal to two (2) times the sum of (A) Mr. Griffin’s annual base salary as of September 29, 2023, and (B) an Incentive Plan payment, which is equal to the three (3) year average of the actual incentive payments made to Mr. Griffin for fiscal years 2020, 2021, and 2022, since such average is greater than the “target” short-term cash incentive award for fiscal year 2023.</w:t>
      </w:r>
    </w:p>
    <w:p>
      <w:pPr>
        <w:jc w:val="both"/>
        <w:ind w:left="260" w:hanging="252"/>
        <w:spacing w:after="0" w:line="286" w:lineRule="auto"/>
        <w:tabs>
          <w:tab w:leader="none" w:pos="29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amount equal to two and one-half (2½) times the sum of (A) Mr. Griffin’s annual base salary as of September 29, 2023, and (B) an Incentive Plan payment, which is equal to the three (3) year average of the actual incentive payments made to Mr. Griffin for fiscal years 2020, 2021, and 2022, since such average is greater than the “target” short-term cash incentive award for fiscal year 2023.</w:t>
      </w:r>
    </w:p>
    <w:p>
      <w:pPr>
        <w:spacing w:after="0" w:line="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value of PSAs that were unvested and outstanding as of September 29, 2023, in accordance with Item 402(j) of Regulation S-K, using</w:t>
      </w:r>
    </w:p>
    <w:p>
      <w:pPr>
        <w:spacing w:after="0" w:line="49" w:lineRule="exact"/>
        <w:rPr>
          <w:rFonts w:ascii="Times New Roman" w:cs="Times New Roman" w:eastAsia="Times New Roman" w:hAnsi="Times New Roman"/>
          <w:sz w:val="18"/>
          <w:szCs w:val="18"/>
          <w:color w:val="auto"/>
        </w:rPr>
      </w:pPr>
    </w:p>
    <w:p>
      <w:pPr>
        <w:ind w:left="26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assumptions: (a) achievement at the “target” level of performance for the FY21 PSAs (3-year TSR percentile ranking metric) scheduled to vest on November 11, 2023, based on the Company’s TSR relative to the applicable peer group for fiscal years 2021 and 2022 tracking</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2" w:name="page33"/>
    <w:bookmarkEnd w:id="32"/>
    <w:p>
      <w:pPr>
        <w:jc w:val="both"/>
        <w:ind w:left="260"/>
        <w:spacing w:after="0" w:line="290" w:lineRule="auto"/>
        <w:rPr>
          <w:sz w:val="20"/>
          <w:szCs w:val="20"/>
          <w:color w:val="auto"/>
        </w:rPr>
      </w:pPr>
      <w:r>
        <w:rPr>
          <w:rFonts w:ascii="Times New Roman" w:cs="Times New Roman" w:eastAsia="Times New Roman" w:hAnsi="Times New Roman"/>
          <w:sz w:val="18"/>
          <w:szCs w:val="18"/>
          <w:color w:val="auto"/>
        </w:rPr>
        <w:t>below the “target” level of performance; (b) achievement at 200% of the “target” level of performance for the FY22 PSAs emerging revenue growth metric scheduled to vest on November 10, 2023, based on the Company’s actual achievement at the “maximum” level of performance with respect to the performance metric measured over a one-year performance period consisting of the Company’s fiscal year 2022; (c) achievement at 133% of the “target” level of performance for the FY22 PSAs EBITDA margin percentile ranking metric scheduled to vest on November 10, 2023, based on the Company’s tracking of achievement between the “target” and “maximum” levels of performance with respect to the metric measured over a two-year performance period consisting of the Company’s fiscal year 2022 and fiscal year 2023; (d) achievement at the “target” level of performance for the FY22 PSAs (3-year TSR percentile ranking metric) scheduled to vest on November 10, 2024, based on the Company’s TSR relative to the applicable peer group for fiscal year 2022 tracking below the “target” level of performance; (e) achievement at 200% of the “target” level of performance for the FY23 PSAs emerging revenue growth metric scheduled to vest on November 8, 2024, based on the Company’s actual achievement at the “maximum” level of performance with respect to the performance metric measured over a one-year performance period consisting of the Company’s fiscal year 2023; (f) achievement at 192% of the “target” level of performance for the FY23 PSAs EBITDA margin percentile ranking metric scheduled to vest on November 8, 2024, based on the Company’s tracking of achievement between the “target” and “maximum” levels of performance with respect to the metric measured over a two-year performance period consisting of the Company’s fiscal year 2023 and fiscal year 2024; and (g) achievement at the “target” level of performance for the FY23 PSAs (3-year TSR percentile ranking metric) scheduled to vest on November 8, 2025, based on the Company’s TSR relative to the applicable peer group for fiscal year 2023 tracking below the “target” level of performance.</w:t>
      </w:r>
    </w:p>
    <w:p>
      <w:pPr>
        <w:spacing w:after="0" w:line="1" w:lineRule="exact"/>
        <w:rPr>
          <w:sz w:val="20"/>
          <w:szCs w:val="20"/>
          <w:color w:val="auto"/>
        </w:rPr>
      </w:pPr>
    </w:p>
    <w:p>
      <w:pPr>
        <w:ind w:left="260" w:hanging="252"/>
        <w:spacing w:after="0"/>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amount equal to the Named Executive Officer’s annual base salary as of September 29, 2023.</w:t>
      </w:r>
    </w:p>
    <w:p>
      <w:pPr>
        <w:spacing w:after="0" w:line="3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amount equal to one and one-half (1½) times the sum of (A) the Named Executive Officer’s annual base salary as of September 29, 2023,</w:t>
      </w:r>
    </w:p>
    <w:p>
      <w:pPr>
        <w:spacing w:after="0" w:line="49" w:lineRule="exact"/>
        <w:rPr>
          <w:rFonts w:ascii="Times New Roman" w:cs="Times New Roman" w:eastAsia="Times New Roman" w:hAnsi="Times New Roman"/>
          <w:sz w:val="18"/>
          <w:szCs w:val="18"/>
          <w:color w:val="auto"/>
        </w:rPr>
      </w:pPr>
    </w:p>
    <w:p>
      <w:pPr>
        <w:jc w:val="both"/>
        <w:ind w:left="2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an Incentive Plan payment, which is equal to the three (3) year average of the actual incentive payments made to the Named Executive Officer for fiscal years 2020, 2021, and 2022, since such average is greater than the Named Executive Officer’s “target” short-term cash incentive award for fiscal year 2023.</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CEO Pay Ratio</w:t>
      </w:r>
    </w:p>
    <w:p>
      <w:pPr>
        <w:spacing w:after="0" w:line="270" w:lineRule="exact"/>
        <w:rPr>
          <w:sz w:val="20"/>
          <w:szCs w:val="20"/>
          <w:color w:val="auto"/>
        </w:rPr>
      </w:pPr>
    </w:p>
    <w:p>
      <w:pPr>
        <w:ind w:firstLine="389"/>
        <w:spacing w:after="0" w:line="313" w:lineRule="auto"/>
        <w:rPr>
          <w:sz w:val="20"/>
          <w:szCs w:val="20"/>
          <w:color w:val="auto"/>
        </w:rPr>
      </w:pPr>
      <w:r>
        <w:rPr>
          <w:rFonts w:ascii="Times New Roman" w:cs="Times New Roman" w:eastAsia="Times New Roman" w:hAnsi="Times New Roman"/>
          <w:sz w:val="18"/>
          <w:szCs w:val="18"/>
          <w:color w:val="auto"/>
        </w:rPr>
        <w:t>Following is an estimate, prepared under applicable SEC rules, of the ratio of the annual total compensation of our Chief Executive Officer to the median of the annual total compensation of our other employees. For fiscal year 2023:</w:t>
      </w:r>
    </w:p>
    <w:p>
      <w:pPr>
        <w:spacing w:after="0" w:line="68"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our Chief Executive Officer was $17,261,436.</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our median compensated employee was $32,457.</w:t>
      </w:r>
    </w:p>
    <w:p>
      <w:pPr>
        <w:spacing w:after="0" w:line="157" w:lineRule="exact"/>
        <w:rPr>
          <w:rFonts w:ascii="Times New Roman" w:cs="Times New Roman" w:eastAsia="Times New Roman" w:hAnsi="Times New Roman"/>
          <w:sz w:val="18"/>
          <w:szCs w:val="18"/>
          <w:color w:val="auto"/>
        </w:rPr>
      </w:pPr>
    </w:p>
    <w:p>
      <w:pPr>
        <w:ind w:left="660" w:right="20" w:hanging="328"/>
        <w:spacing w:after="0" w:line="313"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foregoing, we estimate that our Chief Executive Officer’s total annual compensation was approximately 532 times that of our median employee.</w:t>
      </w:r>
    </w:p>
    <w:p>
      <w:pPr>
        <w:spacing w:after="0" w:line="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 determine the median of the annual total compensation of our employees, we applied the following methodology and material assumptions:</w:t>
      </w:r>
    </w:p>
    <w:p>
      <w:pPr>
        <w:spacing w:after="0" w:line="144" w:lineRule="exact"/>
        <w:rPr>
          <w:sz w:val="20"/>
          <w:szCs w:val="20"/>
          <w:color w:val="auto"/>
        </w:rPr>
      </w:pPr>
    </w:p>
    <w:p>
      <w:pPr>
        <w:jc w:val="both"/>
        <w:ind w:left="660" w:hanging="328"/>
        <w:spacing w:after="0" w:line="297"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use the de minimis exception to exclude any non-U.S. employees. We have a globally diverse workforce with total headcount of approximately 9,750 as of September 29, 2023, of which approximately 76% are located outside the United States, primarily in locations</w:t>
      </w:r>
    </w:p>
    <w:p>
      <w:pPr>
        <w:jc w:val="both"/>
        <w:ind w:left="6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employing large direct labor forces such as Mexico and Singapore where wages are significantly lower than in the United States. The median employee within our employee population was identified, consistent with prior years, as of the last day of our fiscal year, or September 29, 2023, and is a full-time employee in our Mexicali, Mexico facility.</w:t>
      </w:r>
    </w:p>
    <w:p>
      <w:pPr>
        <w:spacing w:after="0" w:line="19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identify the median employee, we used a consistently applied compensation measure that included total taxable earnings paid to our employees</w:t>
      </w:r>
    </w:p>
    <w:p>
      <w:pPr>
        <w:spacing w:after="0" w:line="49" w:lineRule="exact"/>
        <w:rPr>
          <w:rFonts w:ascii="Times New Roman" w:cs="Times New Roman" w:eastAsia="Times New Roman" w:hAnsi="Times New Roman"/>
          <w:sz w:val="18"/>
          <w:szCs w:val="18"/>
          <w:color w:val="auto"/>
        </w:rPr>
      </w:pPr>
    </w:p>
    <w:p>
      <w:pPr>
        <w:ind w:left="6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most recently completed taxable year in their respective jurisdictions. This included base salary, overtime pay, shift premiums, recognition bonuses, annual cash</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3" w:name="page34"/>
    <w:bookmarkEnd w:id="33"/>
    <w:p>
      <w:pPr>
        <w:ind w:left="660" w:right="20"/>
        <w:spacing w:after="0" w:line="313" w:lineRule="auto"/>
        <w:rPr>
          <w:sz w:val="20"/>
          <w:szCs w:val="20"/>
          <w:color w:val="auto"/>
        </w:rPr>
      </w:pPr>
      <w:r>
        <w:rPr>
          <w:rFonts w:ascii="Times New Roman" w:cs="Times New Roman" w:eastAsia="Times New Roman" w:hAnsi="Times New Roman"/>
          <w:sz w:val="18"/>
          <w:szCs w:val="18"/>
          <w:color w:val="auto"/>
        </w:rPr>
        <w:t>incentive awards, and long-term stock-based incentive awards. We annualized the compensation of permanent, full-time, and part-time employees who were hired after the beginning of the most recently completed taxable year in their respective jurisdictions.</w:t>
      </w:r>
    </w:p>
    <w:p>
      <w:pPr>
        <w:spacing w:after="0" w:line="68" w:lineRule="exact"/>
        <w:rPr>
          <w:sz w:val="20"/>
          <w:szCs w:val="20"/>
          <w:color w:val="auto"/>
        </w:rPr>
      </w:pPr>
    </w:p>
    <w:p>
      <w:pPr>
        <w:ind w:left="660" w:hanging="328"/>
        <w:spacing w:after="0" w:line="313"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this consistently applied compensation measure, we identified an employee at the median and calculated such employee’s total compensation for fiscal year 2023 in accordance with Item 402(c)(2)(x) of Regulation S-K.</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use any cost-of-living adjustments in identifying the median employee.</w:t>
      </w:r>
    </w:p>
    <w:p>
      <w:pPr>
        <w:spacing w:after="0" w:line="144"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our Chief Executive Officer is the amount reported in the “Total” column of our Summary Compensation Table for fiscal year 2023.</w:t>
      </w:r>
    </w:p>
    <w:p>
      <w:pPr>
        <w:spacing w:after="0" w:line="40"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We believe our pay ratio presented above is a reasonable estimate calculated in a manner consistent with Item 402(u) of Regulation S-K. The SEC rules for identifying the median compensated employee and calculating the pay ratio based on that employee’s annual total compensation allow companies to adopt a variety of methodologies, to apply certain exclusions, and to make reasonable estimates and assumptions. As a result,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 Compensation</w:t>
      </w:r>
    </w:p>
    <w:p>
      <w:pPr>
        <w:spacing w:after="0" w:line="260" w:lineRule="exact"/>
        <w:rPr>
          <w:sz w:val="20"/>
          <w:szCs w:val="20"/>
          <w:color w:val="auto"/>
        </w:rPr>
      </w:pPr>
    </w:p>
    <w:p>
      <w:pPr>
        <w:jc w:val="both"/>
        <w:ind w:firstLine="389"/>
        <w:spacing w:after="0" w:line="302" w:lineRule="auto"/>
        <w:rPr>
          <w:sz w:val="20"/>
          <w:szCs w:val="20"/>
          <w:color w:val="auto"/>
        </w:rPr>
      </w:pPr>
      <w:r>
        <w:rPr>
          <w:rFonts w:ascii="Times New Roman" w:cs="Times New Roman" w:eastAsia="Times New Roman" w:hAnsi="Times New Roman"/>
          <w:sz w:val="18"/>
          <w:szCs w:val="18"/>
          <w:color w:val="auto"/>
        </w:rPr>
        <w:t>The Board of Directors sets the compensation for the Company’s non-employee directors, after receiving the recommendations of the Compensation Committee. In formulating its recommendations, the Compensation Committee seeks and receives input from Aon related to the amounts, terms, and conditions of director cash compensation and stock-based compensation awards, with the goal of establishing non-employee director compensation that is similar to, and competitive with, the compensation of non-employee directors at peer companies in the semiconductor industry.</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270" w:lineRule="exact"/>
        <w:rPr>
          <w:sz w:val="20"/>
          <w:szCs w:val="20"/>
          <w:color w:val="auto"/>
        </w:rPr>
      </w:pPr>
    </w:p>
    <w:p>
      <w:pPr>
        <w:jc w:val="both"/>
        <w:ind w:firstLine="389"/>
        <w:spacing w:after="0" w:line="294" w:lineRule="auto"/>
        <w:rPr>
          <w:sz w:val="20"/>
          <w:szCs w:val="20"/>
          <w:color w:val="auto"/>
        </w:rPr>
      </w:pPr>
      <w:r>
        <w:rPr>
          <w:rFonts w:ascii="Times New Roman" w:cs="Times New Roman" w:eastAsia="Times New Roman" w:hAnsi="Times New Roman"/>
          <w:sz w:val="18"/>
          <w:szCs w:val="18"/>
          <w:color w:val="auto"/>
        </w:rPr>
        <w:t>Non-employee directors are paid, in quarterly installments, an annual retainer of $80,000. Additional annual retainers for Chairman, Lead Independent Director, and/or committee service (paid in quarterly installments) are as follows: any non-employee Chairman of the Board ($130,000); the Lead Independent Director, if one has been appointed ($50,000); the Chairman of the Audit Committee ($30,000); the Chairman of the Compensation Committee ($20,000); the Chairman of the Nominating and Corporate Governance Committee ($15,000); non-chair member of Audit Committee ($15,000); non-chair member of Compensation Committee ($10,000); and non-chair member of Nominating and Corporate Governance Committee ($7,500). In addition, the Compensation Committee continues to retain discretion to recommend to the full Board of Directors that additional cash payments be made to a non-employee director for extraordinary service during a fiscal year.</w:t>
      </w:r>
    </w:p>
    <w:p>
      <w:pPr>
        <w:spacing w:after="0" w:line="2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56" w:lineRule="exact"/>
        <w:rPr>
          <w:sz w:val="20"/>
          <w:szCs w:val="20"/>
          <w:color w:val="auto"/>
        </w:rPr>
      </w:pPr>
    </w:p>
    <w:p>
      <w:pPr>
        <w:jc w:val="both"/>
        <w:ind w:firstLine="389"/>
        <w:spacing w:after="0" w:line="294" w:lineRule="auto"/>
        <w:rPr>
          <w:sz w:val="20"/>
          <w:szCs w:val="20"/>
          <w:color w:val="auto"/>
        </w:rPr>
      </w:pPr>
      <w:r>
        <w:rPr>
          <w:rFonts w:ascii="Times New Roman" w:cs="Times New Roman" w:eastAsia="Times New Roman" w:hAnsi="Times New Roman"/>
          <w:sz w:val="18"/>
          <w:szCs w:val="18"/>
          <w:color w:val="auto"/>
        </w:rPr>
        <w:t>Currently, following each annual meeting of stockholders, each non-employee director who is reelected will receive a grant of RSUs having a value of approximately $225,000. Any newly appointed non-employee director will receive an initial equity grant of RSUs having a value of approximately $225,000. The number of shares subject to a non-employee director’s initial RSU award or annual award is determined by dividing the approximate value of the award, as stated above, by the average closing price per share of the Company’s common stock as reported on the Nasdaq Global Select Market (or if the common stock is not then traded on such market, such other market on which the common stock is traded) for each trading day during the 30 consecutive trading day period ending on, and including, the grant date. Unless otherwise determined by the Board of Directors, (a) a non-employee director’s initial equity grant of RSUs will vest in three (3) equal annual installments on the first three anniversaries of the date</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4" w:name="page35"/>
    <w:bookmarkEnd w:id="34"/>
    <w:p>
      <w:pPr>
        <w:jc w:val="both"/>
        <w:spacing w:after="0" w:line="305" w:lineRule="auto"/>
        <w:rPr>
          <w:sz w:val="20"/>
          <w:szCs w:val="20"/>
          <w:color w:val="auto"/>
        </w:rPr>
      </w:pPr>
      <w:r>
        <w:rPr>
          <w:rFonts w:ascii="Times New Roman" w:cs="Times New Roman" w:eastAsia="Times New Roman" w:hAnsi="Times New Roman"/>
          <w:sz w:val="18"/>
          <w:szCs w:val="18"/>
          <w:color w:val="auto"/>
        </w:rPr>
        <w:t>of grant, and (b) a non-employee director’s annual equity grant of RSUs will vest on the first anniversary of the date of grant. In the event of a change in control of the Company, any outstanding options and RSUs awarded under the 2008 Director Long-Term Incentive Plan will become fully exercisable and deemed fully vested, respectively.</w:t>
      </w:r>
    </w:p>
    <w:p>
      <w:pPr>
        <w:spacing w:after="0" w:line="196" w:lineRule="exact"/>
        <w:rPr>
          <w:sz w:val="20"/>
          <w:szCs w:val="20"/>
          <w:color w:val="auto"/>
        </w:rPr>
      </w:pPr>
    </w:p>
    <w:p>
      <w:pPr>
        <w:jc w:val="both"/>
        <w:ind w:firstLine="389"/>
        <w:spacing w:after="0" w:line="329" w:lineRule="auto"/>
        <w:rPr>
          <w:sz w:val="20"/>
          <w:szCs w:val="20"/>
          <w:color w:val="auto"/>
        </w:rPr>
      </w:pPr>
      <w:r>
        <w:rPr>
          <w:rFonts w:ascii="Times New Roman" w:cs="Times New Roman" w:eastAsia="Times New Roman" w:hAnsi="Times New Roman"/>
          <w:sz w:val="18"/>
          <w:szCs w:val="18"/>
          <w:color w:val="auto"/>
        </w:rPr>
        <w:t>No director who is also an employee receives separate compensation for services rendered as a director. Mr. Griffin is currently the only director who is also an employee of the Company.</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Table</w:t>
      </w:r>
    </w:p>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compensation paid to the Company’s non-employee directors for fiscal year 2023.</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tcPr>
          <w:p>
            <w:pPr>
              <w:spacing w:after="0"/>
              <w:rPr>
                <w:sz w:val="17"/>
                <w:szCs w:val="17"/>
                <w:color w:val="auto"/>
              </w:rPr>
            </w:pPr>
          </w:p>
        </w:tc>
        <w:tc>
          <w:tcPr>
            <w:tcW w:w="352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4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16"/>
                <w:szCs w:val="16"/>
                <w:color w:val="auto"/>
              </w:rPr>
            </w:pPr>
          </w:p>
        </w:tc>
        <w:tc>
          <w:tcPr>
            <w:tcW w:w="3520" w:type="dxa"/>
            <w:vAlign w:val="bottom"/>
          </w:tcPr>
          <w:p>
            <w:pPr>
              <w:jc w:val="center"/>
              <w:ind w:left="1110"/>
              <w:spacing w:after="0" w:line="189" w:lineRule="exact"/>
              <w:rPr>
                <w:sz w:val="20"/>
                <w:szCs w:val="20"/>
                <w:color w:val="auto"/>
              </w:rPr>
            </w:pPr>
            <w:r>
              <w:rPr>
                <w:rFonts w:ascii="Times New Roman" w:cs="Times New Roman" w:eastAsia="Times New Roman" w:hAnsi="Times New Roman"/>
                <w:sz w:val="18"/>
                <w:szCs w:val="18"/>
                <w:b w:val="1"/>
                <w:bCs w:val="1"/>
                <w:color w:val="auto"/>
              </w:rPr>
              <w:t>or Paid in Cash</w:t>
            </w:r>
          </w:p>
        </w:tc>
        <w:tc>
          <w:tcPr>
            <w:tcW w:w="1600" w:type="dxa"/>
            <w:vAlign w:val="bottom"/>
          </w:tcPr>
          <w:p>
            <w:pPr>
              <w:jc w:val="center"/>
              <w:ind w:right="410"/>
              <w:spacing w:after="0" w:line="189" w:lineRule="exact"/>
              <w:rPr>
                <w:sz w:val="20"/>
                <w:szCs w:val="20"/>
                <w:color w:val="auto"/>
              </w:rPr>
            </w:pPr>
            <w:r>
              <w:rPr>
                <w:rFonts w:ascii="Times New Roman" w:cs="Times New Roman" w:eastAsia="Times New Roman" w:hAnsi="Times New Roman"/>
                <w:sz w:val="18"/>
                <w:szCs w:val="18"/>
                <w:b w:val="1"/>
                <w:bCs w:val="1"/>
                <w:color w:val="auto"/>
                <w:w w:val="96"/>
              </w:rPr>
              <w:t>Awards</w:t>
            </w: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52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8"/>
              </w:rPr>
              <w:t>($)(1)(2)</w:t>
            </w:r>
          </w:p>
        </w:tc>
        <w:tc>
          <w:tcPr>
            <w:tcW w:w="12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Christine King, Lead Independent Director</w:t>
            </w:r>
          </w:p>
        </w:tc>
        <w:tc>
          <w:tcPr>
            <w:tcW w:w="3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165,000</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225,006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390,006</w:t>
            </w:r>
          </w:p>
        </w:tc>
        <w:tc>
          <w:tcPr>
            <w:tcW w:w="0" w:type="dxa"/>
            <w:vAlign w:val="bottom"/>
          </w:tcPr>
          <w:p>
            <w:pPr>
              <w:spacing w:after="0"/>
              <w:rPr>
                <w:sz w:val="1"/>
                <w:szCs w:val="1"/>
                <w:color w:val="auto"/>
              </w:rPr>
            </w:pPr>
          </w:p>
        </w:tc>
      </w:tr>
      <w:tr>
        <w:trPr>
          <w:trHeight w:val="229"/>
        </w:trPr>
        <w:tc>
          <w:tcPr>
            <w:tcW w:w="488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Alan S. Batey</w:t>
            </w:r>
          </w:p>
        </w:tc>
        <w:tc>
          <w:tcPr>
            <w:tcW w:w="3520" w:type="dxa"/>
            <w:vAlign w:val="bottom"/>
            <w:shd w:val="clear" w:color="auto" w:fill="D9D9D9"/>
          </w:tcPr>
          <w:p>
            <w:pPr>
              <w:jc w:val="right"/>
              <w:ind w:right="150"/>
              <w:spacing w:after="0"/>
              <w:rPr>
                <w:sz w:val="20"/>
                <w:szCs w:val="20"/>
                <w:color w:val="auto"/>
              </w:rPr>
            </w:pPr>
            <w:r>
              <w:rPr>
                <w:rFonts w:ascii="Times New Roman" w:cs="Times New Roman" w:eastAsia="Times New Roman" w:hAnsi="Times New Roman"/>
                <w:sz w:val="18"/>
                <w:szCs w:val="18"/>
                <w:color w:val="auto"/>
              </w:rPr>
              <w:t>90,000</w:t>
            </w:r>
          </w:p>
        </w:tc>
        <w:tc>
          <w:tcPr>
            <w:tcW w:w="1600" w:type="dxa"/>
            <w:vAlign w:val="bottom"/>
            <w:shd w:val="clear" w:color="auto" w:fill="D9D9D9"/>
          </w:tcPr>
          <w:p>
            <w:pPr>
              <w:jc w:val="right"/>
              <w:ind w:right="210"/>
              <w:spacing w:after="0"/>
              <w:rPr>
                <w:sz w:val="20"/>
                <w:szCs w:val="20"/>
                <w:color w:val="auto"/>
              </w:rPr>
            </w:pPr>
            <w:r>
              <w:rPr>
                <w:rFonts w:ascii="Times New Roman" w:cs="Times New Roman" w:eastAsia="Times New Roman" w:hAnsi="Times New Roman"/>
                <w:sz w:val="18"/>
                <w:szCs w:val="18"/>
                <w:color w:val="auto"/>
              </w:rPr>
              <w:t>225,006</w:t>
            </w:r>
          </w:p>
        </w:tc>
        <w:tc>
          <w:tcPr>
            <w:tcW w:w="12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315,006</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L. Beebe</w:t>
            </w:r>
          </w:p>
        </w:tc>
        <w:tc>
          <w:tcPr>
            <w:tcW w:w="3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95,000</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225,006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320,006</w:t>
            </w:r>
          </w:p>
        </w:tc>
        <w:tc>
          <w:tcPr>
            <w:tcW w:w="0" w:type="dxa"/>
            <w:vAlign w:val="bottom"/>
          </w:tcPr>
          <w:p>
            <w:pPr>
              <w:spacing w:after="0"/>
              <w:rPr>
                <w:sz w:val="1"/>
                <w:szCs w:val="1"/>
                <w:color w:val="auto"/>
              </w:rPr>
            </w:pPr>
          </w:p>
        </w:tc>
      </w:tr>
      <w:tr>
        <w:trPr>
          <w:trHeight w:val="230"/>
        </w:trPr>
        <w:tc>
          <w:tcPr>
            <w:tcW w:w="488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Eric J. Guerin</w:t>
            </w:r>
          </w:p>
        </w:tc>
        <w:tc>
          <w:tcPr>
            <w:tcW w:w="3520" w:type="dxa"/>
            <w:vAlign w:val="bottom"/>
            <w:shd w:val="clear" w:color="auto" w:fill="D9D9D9"/>
          </w:tcPr>
          <w:p>
            <w:pPr>
              <w:jc w:val="right"/>
              <w:ind w:right="150"/>
              <w:spacing w:after="0"/>
              <w:rPr>
                <w:sz w:val="20"/>
                <w:szCs w:val="20"/>
                <w:color w:val="auto"/>
              </w:rPr>
            </w:pPr>
            <w:r>
              <w:rPr>
                <w:rFonts w:ascii="Times New Roman" w:cs="Times New Roman" w:eastAsia="Times New Roman" w:hAnsi="Times New Roman"/>
                <w:sz w:val="18"/>
                <w:szCs w:val="18"/>
                <w:color w:val="auto"/>
              </w:rPr>
              <w:t>90,426</w:t>
            </w:r>
          </w:p>
        </w:tc>
        <w:tc>
          <w:tcPr>
            <w:tcW w:w="1600" w:type="dxa"/>
            <w:vAlign w:val="bottom"/>
            <w:shd w:val="clear" w:color="auto" w:fill="D9D9D9"/>
          </w:tcPr>
          <w:p>
            <w:pPr>
              <w:jc w:val="right"/>
              <w:ind w:right="210"/>
              <w:spacing w:after="0"/>
              <w:rPr>
                <w:sz w:val="20"/>
                <w:szCs w:val="20"/>
                <w:color w:val="auto"/>
              </w:rPr>
            </w:pPr>
            <w:r>
              <w:rPr>
                <w:rFonts w:ascii="Times New Roman" w:cs="Times New Roman" w:eastAsia="Times New Roman" w:hAnsi="Times New Roman"/>
                <w:sz w:val="18"/>
                <w:szCs w:val="18"/>
                <w:color w:val="auto"/>
              </w:rPr>
              <w:t>225,006</w:t>
            </w:r>
          </w:p>
        </w:tc>
        <w:tc>
          <w:tcPr>
            <w:tcW w:w="12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315,432</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Suzanne E. McBride</w:t>
            </w:r>
          </w:p>
        </w:tc>
        <w:tc>
          <w:tcPr>
            <w:tcW w:w="3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87,500</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225,006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312,506</w:t>
            </w:r>
          </w:p>
        </w:tc>
        <w:tc>
          <w:tcPr>
            <w:tcW w:w="0" w:type="dxa"/>
            <w:vAlign w:val="bottom"/>
          </w:tcPr>
          <w:p>
            <w:pPr>
              <w:spacing w:after="0"/>
              <w:rPr>
                <w:sz w:val="1"/>
                <w:szCs w:val="1"/>
                <w:color w:val="auto"/>
              </w:rPr>
            </w:pPr>
          </w:p>
        </w:tc>
      </w:tr>
      <w:tr>
        <w:trPr>
          <w:trHeight w:val="229"/>
        </w:trPr>
        <w:tc>
          <w:tcPr>
            <w:tcW w:w="488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David P. McGlade</w:t>
            </w:r>
          </w:p>
        </w:tc>
        <w:tc>
          <w:tcPr>
            <w:tcW w:w="3520" w:type="dxa"/>
            <w:vAlign w:val="bottom"/>
            <w:shd w:val="clear" w:color="auto" w:fill="D9D9D9"/>
          </w:tcPr>
          <w:p>
            <w:pPr>
              <w:jc w:val="right"/>
              <w:ind w:right="150"/>
              <w:spacing w:after="0"/>
              <w:rPr>
                <w:sz w:val="20"/>
                <w:szCs w:val="20"/>
                <w:color w:val="auto"/>
              </w:rPr>
            </w:pPr>
            <w:r>
              <w:rPr>
                <w:rFonts w:ascii="Times New Roman" w:cs="Times New Roman" w:eastAsia="Times New Roman" w:hAnsi="Times New Roman"/>
                <w:sz w:val="18"/>
                <w:szCs w:val="18"/>
                <w:color w:val="auto"/>
              </w:rPr>
              <w:t>117,500</w:t>
            </w:r>
          </w:p>
        </w:tc>
        <w:tc>
          <w:tcPr>
            <w:tcW w:w="1600" w:type="dxa"/>
            <w:vAlign w:val="bottom"/>
            <w:shd w:val="clear" w:color="auto" w:fill="D9D9D9"/>
          </w:tcPr>
          <w:p>
            <w:pPr>
              <w:jc w:val="right"/>
              <w:ind w:right="210"/>
              <w:spacing w:after="0"/>
              <w:rPr>
                <w:sz w:val="20"/>
                <w:szCs w:val="20"/>
                <w:color w:val="auto"/>
              </w:rPr>
            </w:pPr>
            <w:r>
              <w:rPr>
                <w:rFonts w:ascii="Times New Roman" w:cs="Times New Roman" w:eastAsia="Times New Roman" w:hAnsi="Times New Roman"/>
                <w:sz w:val="18"/>
                <w:szCs w:val="18"/>
                <w:color w:val="auto"/>
              </w:rPr>
              <w:t>225,006</w:t>
            </w:r>
          </w:p>
        </w:tc>
        <w:tc>
          <w:tcPr>
            <w:tcW w:w="12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342,506</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A. Schriesheim</w:t>
            </w:r>
          </w:p>
        </w:tc>
        <w:tc>
          <w:tcPr>
            <w:tcW w:w="3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105,000</w:t>
            </w: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225,006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330,006</w:t>
            </w:r>
          </w:p>
        </w:tc>
        <w:tc>
          <w:tcPr>
            <w:tcW w:w="0" w:type="dxa"/>
            <w:vAlign w:val="bottom"/>
          </w:tcPr>
          <w:p>
            <w:pPr>
              <w:spacing w:after="0"/>
              <w:rPr>
                <w:sz w:val="1"/>
                <w:szCs w:val="1"/>
                <w:color w:val="auto"/>
              </w:rPr>
            </w:pPr>
          </w:p>
        </w:tc>
      </w:tr>
      <w:tr>
        <w:trPr>
          <w:trHeight w:val="229"/>
        </w:trPr>
        <w:tc>
          <w:tcPr>
            <w:tcW w:w="488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Maryann Turcke</w:t>
            </w:r>
          </w:p>
        </w:tc>
        <w:tc>
          <w:tcPr>
            <w:tcW w:w="3520" w:type="dxa"/>
            <w:vAlign w:val="bottom"/>
            <w:shd w:val="clear" w:color="auto" w:fill="D9D9D9"/>
          </w:tcPr>
          <w:p>
            <w:pPr>
              <w:jc w:val="right"/>
              <w:ind w:right="150"/>
              <w:spacing w:after="0"/>
              <w:rPr>
                <w:sz w:val="20"/>
                <w:szCs w:val="20"/>
                <w:color w:val="auto"/>
              </w:rPr>
            </w:pPr>
            <w:r>
              <w:rPr>
                <w:rFonts w:ascii="Times New Roman" w:cs="Times New Roman" w:eastAsia="Times New Roman" w:hAnsi="Times New Roman"/>
                <w:sz w:val="18"/>
                <w:szCs w:val="18"/>
                <w:color w:val="auto"/>
              </w:rPr>
              <w:t>54,481</w:t>
            </w:r>
          </w:p>
        </w:tc>
        <w:tc>
          <w:tcPr>
            <w:tcW w:w="1600" w:type="dxa"/>
            <w:vAlign w:val="bottom"/>
            <w:shd w:val="clear" w:color="auto" w:fill="D9D9D9"/>
          </w:tcPr>
          <w:p>
            <w:pPr>
              <w:jc w:val="right"/>
              <w:ind w:right="210"/>
              <w:spacing w:after="0"/>
              <w:rPr>
                <w:sz w:val="20"/>
                <w:szCs w:val="20"/>
                <w:color w:val="auto"/>
              </w:rPr>
            </w:pPr>
            <w:r>
              <w:rPr>
                <w:rFonts w:ascii="Times New Roman" w:cs="Times New Roman" w:eastAsia="Times New Roman" w:hAnsi="Times New Roman"/>
                <w:sz w:val="18"/>
                <w:szCs w:val="18"/>
                <w:color w:val="auto"/>
              </w:rPr>
              <w:t>225,006</w:t>
            </w:r>
          </w:p>
        </w:tc>
        <w:tc>
          <w:tcPr>
            <w:tcW w:w="12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279,487</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50" w:lineRule="exact"/>
        <w:rPr>
          <w:sz w:val="20"/>
          <w:szCs w:val="20"/>
          <w:color w:val="auto"/>
        </w:rPr>
      </w:pPr>
    </w:p>
    <w:p>
      <w:pPr>
        <w:ind w:left="260" w:hanging="252"/>
        <w:spacing w:after="0" w:line="313" w:lineRule="auto"/>
        <w:tabs>
          <w:tab w:leader="none" w:pos="55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non-employee members of the Board of Directors who were directors on September 29, 2023 held the following aggregate number of unexercised stock options and unvested RSU awards as of such date:</w:t>
      </w: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402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r>
      <w:tr>
        <w:trPr>
          <w:trHeight w:val="180"/>
        </w:trPr>
        <w:tc>
          <w:tcPr>
            <w:tcW w:w="5200" w:type="dxa"/>
            <w:vAlign w:val="bottom"/>
          </w:tcPr>
          <w:p>
            <w:pPr>
              <w:spacing w:after="0"/>
              <w:rPr>
                <w:sz w:val="15"/>
                <w:szCs w:val="15"/>
                <w:color w:val="auto"/>
              </w:rPr>
            </w:pPr>
          </w:p>
        </w:tc>
        <w:tc>
          <w:tcPr>
            <w:tcW w:w="4020" w:type="dxa"/>
            <w:vAlign w:val="bottom"/>
          </w:tcPr>
          <w:p>
            <w:pPr>
              <w:jc w:val="center"/>
              <w:ind w:left="1730"/>
              <w:spacing w:after="0" w:line="180" w:lineRule="exact"/>
              <w:rPr>
                <w:sz w:val="20"/>
                <w:szCs w:val="20"/>
                <w:color w:val="auto"/>
              </w:rPr>
            </w:pPr>
            <w:r>
              <w:rPr>
                <w:rFonts w:ascii="Times New Roman" w:cs="Times New Roman" w:eastAsia="Times New Roman" w:hAnsi="Times New Roman"/>
                <w:sz w:val="18"/>
                <w:szCs w:val="18"/>
                <w:b w:val="1"/>
                <w:bCs w:val="1"/>
                <w:color w:val="auto"/>
              </w:rPr>
              <w:t>Securities Underlying</w:t>
            </w:r>
          </w:p>
        </w:tc>
        <w:tc>
          <w:tcPr>
            <w:tcW w:w="20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Subject to</w:t>
            </w:r>
          </w:p>
        </w:tc>
      </w:tr>
      <w:tr>
        <w:trPr>
          <w:trHeight w:val="27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2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rPr>
              <w:t>Unexercised Options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Unvested RSUs</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Christine King, Lead Independent Director</w:t>
            </w:r>
          </w:p>
        </w:tc>
        <w:tc>
          <w:tcPr>
            <w:tcW w:w="402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2,078</w:t>
            </w:r>
          </w:p>
        </w:tc>
      </w:tr>
      <w:tr>
        <w:trPr>
          <w:trHeight w:val="230"/>
        </w:trPr>
        <w:tc>
          <w:tcPr>
            <w:tcW w:w="52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Alan S. Batey</w:t>
            </w:r>
          </w:p>
        </w:tc>
        <w:tc>
          <w:tcPr>
            <w:tcW w:w="4020" w:type="dxa"/>
            <w:vAlign w:val="bottom"/>
            <w:shd w:val="clear" w:color="auto" w:fill="DBDBDB"/>
          </w:tcPr>
          <w:p>
            <w:pPr>
              <w:jc w:val="center"/>
              <w:ind w:left="1750"/>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2,078</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L. Beebe</w:t>
            </w:r>
          </w:p>
        </w:tc>
        <w:tc>
          <w:tcPr>
            <w:tcW w:w="402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2,078</w:t>
            </w:r>
          </w:p>
        </w:tc>
      </w:tr>
      <w:tr>
        <w:trPr>
          <w:trHeight w:val="230"/>
        </w:trPr>
        <w:tc>
          <w:tcPr>
            <w:tcW w:w="52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Eric J. Guerin</w:t>
            </w:r>
          </w:p>
        </w:tc>
        <w:tc>
          <w:tcPr>
            <w:tcW w:w="4020" w:type="dxa"/>
            <w:vAlign w:val="bottom"/>
            <w:shd w:val="clear" w:color="auto" w:fill="DBDBDB"/>
          </w:tcPr>
          <w:p>
            <w:pPr>
              <w:jc w:val="center"/>
              <w:ind w:left="1750"/>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2,971</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Suzanne E. McBride</w:t>
            </w:r>
          </w:p>
        </w:tc>
        <w:tc>
          <w:tcPr>
            <w:tcW w:w="402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2,976</w:t>
            </w:r>
          </w:p>
        </w:tc>
      </w:tr>
      <w:tr>
        <w:trPr>
          <w:trHeight w:val="230"/>
        </w:trPr>
        <w:tc>
          <w:tcPr>
            <w:tcW w:w="52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David P. McGlade</w:t>
            </w:r>
          </w:p>
        </w:tc>
        <w:tc>
          <w:tcPr>
            <w:tcW w:w="4020" w:type="dxa"/>
            <w:vAlign w:val="bottom"/>
            <w:shd w:val="clear" w:color="auto" w:fill="DBDBDB"/>
          </w:tcPr>
          <w:p>
            <w:pPr>
              <w:jc w:val="center"/>
              <w:ind w:left="1750"/>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8"/>
              </w:rPr>
              <w:t>2,078</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A. Schriesheim</w:t>
            </w:r>
          </w:p>
        </w:tc>
        <w:tc>
          <w:tcPr>
            <w:tcW w:w="402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2,078</w:t>
            </w:r>
          </w:p>
        </w:tc>
      </w:tr>
      <w:tr>
        <w:trPr>
          <w:trHeight w:val="230"/>
        </w:trPr>
        <w:tc>
          <w:tcPr>
            <w:tcW w:w="520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Maryann Turcke</w:t>
            </w:r>
          </w:p>
        </w:tc>
        <w:tc>
          <w:tcPr>
            <w:tcW w:w="4020" w:type="dxa"/>
            <w:vAlign w:val="bottom"/>
            <w:shd w:val="clear" w:color="auto" w:fill="D9D9D9"/>
          </w:tcPr>
          <w:p>
            <w:pPr>
              <w:jc w:val="center"/>
              <w:ind w:left="1750"/>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8"/>
              </w:rPr>
              <w:t>4,155</w:t>
            </w:r>
          </w:p>
        </w:tc>
      </w:tr>
    </w:tbl>
    <w:p>
      <w:pPr>
        <w:spacing w:after="0" w:line="292" w:lineRule="exact"/>
        <w:rPr>
          <w:sz w:val="20"/>
          <w:szCs w:val="20"/>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for each non-employee director elected at the 2023 Annual Meeting of Stockholders (i.e., Mses. King, McBride, and Turcke and Messrs.</w:t>
      </w:r>
    </w:p>
    <w:p>
      <w:pPr>
        <w:spacing w:after="0" w:line="49" w:lineRule="exact"/>
        <w:rPr>
          <w:rFonts w:ascii="Times New Roman" w:cs="Times New Roman" w:eastAsia="Times New Roman" w:hAnsi="Times New Roman"/>
          <w:sz w:val="18"/>
          <w:szCs w:val="18"/>
          <w:color w:val="auto"/>
        </w:rPr>
      </w:pPr>
    </w:p>
    <w:p>
      <w:pPr>
        <w:jc w:val="both"/>
        <w:ind w:left="26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Batey, Beebe, Guerin, McGlade, and Schriesheim), the grant date fair value of 2,078 RSUs granted on May 10, 2023, computed in accordance with the provisions of ASC 718 using a price of $98.56 per share, which was the closing sale price of the Company’s common stock on the Nasdaq Global Select</w:t>
      </w:r>
    </w:p>
    <w:p>
      <w:pPr>
        <w:spacing w:after="0" w:line="1" w:lineRule="exact"/>
        <w:rPr>
          <w:rFonts w:ascii="Times New Roman" w:cs="Times New Roman" w:eastAsia="Times New Roman" w:hAnsi="Times New Roman"/>
          <w:sz w:val="18"/>
          <w:szCs w:val="18"/>
          <w:color w:val="auto"/>
        </w:rPr>
      </w:pPr>
    </w:p>
    <w:p>
      <w:pPr>
        <w:jc w:val="both"/>
        <w:ind w:left="2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on May 10, 2023. Upon first being elected to serve as a director, new directors received a grant having a grant date fair value approximating $225,000, vesting annually over three years, where the grant date fair value was based on the 30-day average of the stock price on the fifth business day</w:t>
      </w:r>
    </w:p>
    <w:p>
      <w:pPr>
        <w:spacing w:after="0" w:line="1" w:lineRule="exact"/>
        <w:rPr>
          <w:rFonts w:ascii="Times New Roman" w:cs="Times New Roman" w:eastAsia="Times New Roman" w:hAnsi="Times New Roman"/>
          <w:sz w:val="18"/>
          <w:szCs w:val="18"/>
          <w:color w:val="auto"/>
        </w:rPr>
      </w:pPr>
    </w:p>
    <w:p>
      <w:pPr>
        <w:ind w:left="2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director’s appointment. The value in this column also reflects the grant date fair value of 2,077 RSUs granted to Ms. Turcke on February 15, 2023 with a price of $121.73 per share on the grant date.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5" w:name="page36"/>
    <w:bookmarkEnd w:id="35"/>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Director Stock Ownership Requirements</w:t>
      </w:r>
    </w:p>
    <w:p>
      <w:pPr>
        <w:spacing w:after="0" w:line="256" w:lineRule="exact"/>
        <w:rPr>
          <w:sz w:val="20"/>
          <w:szCs w:val="20"/>
          <w:color w:val="auto"/>
        </w:rPr>
      </w:pPr>
    </w:p>
    <w:p>
      <w:pPr>
        <w:jc w:val="both"/>
        <w:ind w:firstLine="389"/>
        <w:spacing w:after="0" w:line="293" w:lineRule="auto"/>
        <w:rPr>
          <w:sz w:val="20"/>
          <w:szCs w:val="20"/>
          <w:color w:val="auto"/>
        </w:rPr>
      </w:pPr>
      <w:r>
        <w:rPr>
          <w:rFonts w:ascii="Times New Roman" w:cs="Times New Roman" w:eastAsia="Times New Roman" w:hAnsi="Times New Roman"/>
          <w:sz w:val="18"/>
          <w:szCs w:val="18"/>
          <w:color w:val="auto"/>
        </w:rPr>
        <w:t>We have adopted Director Stock Ownership guidelines with the objective of more closely aligning the interests of our directors with those of our stockholders. The minimum number of shares of the Company’s common stock that the Director Stock Ownership guidelines require non-employee directors to hold while serving in their capacity as directors is the director base compensation (currently $80,000) multiplied by five (5), divided by the fair market value of the Company’s common stock (rounded to the nearest 100 shares). For purposes of the Director Stock Ownership guidelines, the fair market value of the Company’s common stock is the average closing price per share of the Company’s common stock as reported on the Nasdaq Global Select Market (or if the common stock is not then traded on such market, such other market on which the common stock is traded) for the twelve (12) month period ending with the determination date. All of our directors have met the stock ownership guidelines as of the date hereof (with the exception of Mr. Guerin, Ms. McBride, and Ms. Turcke, who are not required to comply with the guidelines until the fifth anniversary of their respective appointments to the Board of Directors).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Compensation Committee Interlocks and Insider Participation</w:t>
      </w:r>
    </w:p>
    <w:p>
      <w:pPr>
        <w:spacing w:after="0" w:line="260"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The Compensation Committee of the Board of Directors currently consists of Ms. King (Chairman), Mr. Batey, and Mr. Schriesheim. No member of this committee was at any time during fiscal year 2023 an officer or employee of the Company, was formerly an officer of the Company or any of its subsidiaries, or had any employment relationship with the Company or any of its subsidiaries. No executive officer of the Company has served as a director or member of the compensation committee (or other committee serving an equivalent function) of any other entity, where one of such entity’s executive officers served as a director of the Company or a member of the Compensation Committee.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Compensation Committee Report</w:t>
      </w:r>
    </w:p>
    <w:p>
      <w:pPr>
        <w:spacing w:after="0" w:line="260" w:lineRule="exact"/>
        <w:rPr>
          <w:sz w:val="20"/>
          <w:szCs w:val="20"/>
          <w:color w:val="auto"/>
        </w:rPr>
      </w:pPr>
    </w:p>
    <w:p>
      <w:pPr>
        <w:jc w:val="both"/>
        <w:ind w:firstLine="389"/>
        <w:spacing w:after="0" w:line="305"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included herein with management, and based on the review and discussions, the Compensation Committee recommended to the Board of Directors that the Compensation Discussion and Analysis be included in the annual report on this Form 10-K for the year ended September 29, 2023.</w:t>
      </w:r>
    </w:p>
    <w:p>
      <w:pPr>
        <w:spacing w:after="0" w:line="21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THE COMPENSATION COMMITTEE</w:t>
      </w:r>
    </w:p>
    <w:p>
      <w:pPr>
        <w:spacing w:after="0" w:line="3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Christine King, Chairman</w:t>
      </w:r>
    </w:p>
    <w:p>
      <w:pPr>
        <w:spacing w:after="0" w:line="5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Alan S. Batey</w:t>
      </w:r>
    </w:p>
    <w:p>
      <w:pPr>
        <w:spacing w:after="0" w:line="3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Robert A. Schriesheim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6" w:name="page37"/>
    <w:bookmarkEnd w:id="36"/>
    <w:p>
      <w:pPr>
        <w:ind w:right="560"/>
        <w:spacing w:after="0" w:line="318"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Security Ownership of Certain Beneficial Owners and Management</w:t>
      </w:r>
    </w:p>
    <w:p>
      <w:pPr>
        <w:spacing w:after="0" w:line="260"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To the Company’s knowledge, the following table sets forth the beneficial ownership of the Company’s common stock as of January 24, 2024, by the following individuals or entities: (i) each person or entity who beneficially owns five percent (5%) or more of the outstanding shares of the Company’s common stock as of January 24, 2024; (ii) the Named Executive Officers (as defined above in Item 11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(iii) each director and nominee for director; and (iv) all current executive officers and directors of the Company, as a group.</w:t>
      </w:r>
    </w:p>
    <w:p>
      <w:pPr>
        <w:spacing w:after="0" w:line="217" w:lineRule="exact"/>
        <w:rPr>
          <w:sz w:val="20"/>
          <w:szCs w:val="20"/>
          <w:color w:val="auto"/>
        </w:rPr>
      </w:pPr>
    </w:p>
    <w:p>
      <w:pPr>
        <w:jc w:val="both"/>
        <w:ind w:firstLine="389"/>
        <w:spacing w:after="0" w:line="305"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is not necessarily indicative of beneficial ownership for any other purpose, and does not constitute an admission that the named stockholder is a direct or indirect beneficial owner of those shares. As of January 24, 2024, there were 160,225,891 shares of the Company’s common stock outstanding.</w:t>
      </w:r>
    </w:p>
    <w:p>
      <w:pPr>
        <w:spacing w:after="0" w:line="210"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In computing the number of shares of Company common stock beneficially owned by a person and the percentage ownership of that person, shares of Company common stock that are subject to stock options or other rights held by that person that are currently exercisable or that will become exercisable within sixty (60) days of January 24, 2024, are deemed outstanding. These shares are not, however, deemed outstanding for the purpose of computing the percentage ownership of any other person.</w:t>
      </w:r>
    </w:p>
    <w:p>
      <w:pPr>
        <w:spacing w:after="0" w:line="263"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25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300" w:type="dxa"/>
            <w:vAlign w:val="bottom"/>
          </w:tcPr>
          <w:p>
            <w:pPr>
              <w:spacing w:after="0"/>
              <w:rPr>
                <w:sz w:val="17"/>
                <w:szCs w:val="17"/>
                <w:color w:val="auto"/>
              </w:rPr>
            </w:pPr>
          </w:p>
        </w:tc>
      </w:tr>
      <w:tr>
        <w:trPr>
          <w:trHeight w:val="265"/>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Names and Addresses of Beneficial Owners(1)</w:t>
            </w:r>
          </w:p>
        </w:tc>
        <w:tc>
          <w:tcPr>
            <w:tcW w:w="25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Beneficially Owned(2)</w:t>
            </w:r>
          </w:p>
        </w:tc>
        <w:tc>
          <w:tcPr>
            <w:tcW w:w="23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Percent of Class</w:t>
            </w:r>
          </w:p>
        </w:tc>
      </w:tr>
      <w:tr>
        <w:trPr>
          <w:trHeight w:val="270"/>
        </w:trPr>
        <w:tc>
          <w:tcPr>
            <w:tcW w:w="51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The Vanguard Group, Inc.</w:t>
            </w:r>
          </w:p>
        </w:tc>
        <w:tc>
          <w:tcPr>
            <w:tcW w:w="2560" w:type="dxa"/>
            <w:vAlign w:val="bottom"/>
            <w:shd w:val="clear" w:color="auto" w:fill="DBDBDB"/>
          </w:tcPr>
          <w:p>
            <w:pPr>
              <w:jc w:val="right"/>
              <w:ind w:right="250"/>
              <w:spacing w:after="0"/>
              <w:rPr>
                <w:sz w:val="20"/>
                <w:szCs w:val="20"/>
                <w:color w:val="auto"/>
              </w:rPr>
            </w:pPr>
            <w:r>
              <w:rPr>
                <w:rFonts w:ascii="Times New Roman" w:cs="Times New Roman" w:eastAsia="Times New Roman" w:hAnsi="Times New Roman"/>
                <w:sz w:val="18"/>
                <w:szCs w:val="18"/>
                <w:color w:val="auto"/>
              </w:rPr>
              <w:t>18,248,544(3)</w:t>
            </w:r>
          </w:p>
        </w:tc>
        <w:tc>
          <w:tcPr>
            <w:tcW w:w="2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11.4 %</w:t>
            </w:r>
          </w:p>
        </w:tc>
      </w:tr>
      <w:tr>
        <w:trPr>
          <w:trHeight w:val="27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BlackRock, Inc.</w:t>
            </w:r>
          </w:p>
        </w:tc>
        <w:tc>
          <w:tcPr>
            <w:tcW w:w="2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14,750,420(4)</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30"/>
        </w:trPr>
        <w:tc>
          <w:tcPr>
            <w:tcW w:w="51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Alan S. Batey</w:t>
            </w:r>
          </w:p>
        </w:tc>
        <w:tc>
          <w:tcPr>
            <w:tcW w:w="2560" w:type="dxa"/>
            <w:vAlign w:val="bottom"/>
            <w:shd w:val="clear" w:color="auto" w:fill="DBDBDB"/>
          </w:tcPr>
          <w:p>
            <w:pPr>
              <w:jc w:val="right"/>
              <w:ind w:right="250"/>
              <w:spacing w:after="0"/>
              <w:rPr>
                <w:sz w:val="20"/>
                <w:szCs w:val="20"/>
                <w:color w:val="auto"/>
              </w:rPr>
            </w:pPr>
            <w:r>
              <w:rPr>
                <w:rFonts w:ascii="Times New Roman" w:cs="Times New Roman" w:eastAsia="Times New Roman" w:hAnsi="Times New Roman"/>
                <w:sz w:val="18"/>
                <w:szCs w:val="18"/>
                <w:color w:val="auto"/>
              </w:rPr>
              <w:t>7,645</w:t>
            </w:r>
          </w:p>
        </w:tc>
        <w:tc>
          <w:tcPr>
            <w:tcW w:w="2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L. Beebe</w:t>
            </w:r>
          </w:p>
        </w:tc>
        <w:tc>
          <w:tcPr>
            <w:tcW w:w="2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51,855</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Carlos S. Bori</w:t>
            </w:r>
          </w:p>
        </w:tc>
        <w:tc>
          <w:tcPr>
            <w:tcW w:w="2560" w:type="dxa"/>
            <w:vAlign w:val="bottom"/>
            <w:shd w:val="clear" w:color="auto" w:fill="DBDBDB"/>
          </w:tcPr>
          <w:p>
            <w:pPr>
              <w:jc w:val="right"/>
              <w:ind w:right="250"/>
              <w:spacing w:after="0"/>
              <w:rPr>
                <w:sz w:val="20"/>
                <w:szCs w:val="20"/>
                <w:color w:val="auto"/>
              </w:rPr>
            </w:pPr>
            <w:r>
              <w:rPr>
                <w:rFonts w:ascii="Times New Roman" w:cs="Times New Roman" w:eastAsia="Times New Roman" w:hAnsi="Times New Roman"/>
                <w:sz w:val="18"/>
                <w:szCs w:val="18"/>
                <w:color w:val="auto"/>
              </w:rPr>
              <w:t>47,935(5)</w:t>
            </w:r>
          </w:p>
        </w:tc>
        <w:tc>
          <w:tcPr>
            <w:tcW w:w="2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Eric J. Guerin</w:t>
            </w:r>
          </w:p>
        </w:tc>
        <w:tc>
          <w:tcPr>
            <w:tcW w:w="2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2,794</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Liam K. Griffin</w:t>
            </w:r>
          </w:p>
        </w:tc>
        <w:tc>
          <w:tcPr>
            <w:tcW w:w="2560" w:type="dxa"/>
            <w:vAlign w:val="bottom"/>
            <w:shd w:val="clear" w:color="auto" w:fill="DBDBDB"/>
          </w:tcPr>
          <w:p>
            <w:pPr>
              <w:jc w:val="right"/>
              <w:ind w:right="250"/>
              <w:spacing w:after="0"/>
              <w:rPr>
                <w:sz w:val="20"/>
                <w:szCs w:val="20"/>
                <w:color w:val="auto"/>
              </w:rPr>
            </w:pPr>
            <w:r>
              <w:rPr>
                <w:rFonts w:ascii="Times New Roman" w:cs="Times New Roman" w:eastAsia="Times New Roman" w:hAnsi="Times New Roman"/>
                <w:sz w:val="18"/>
                <w:szCs w:val="18"/>
                <w:color w:val="auto"/>
              </w:rPr>
              <w:t>142,186(5)</w:t>
            </w:r>
          </w:p>
        </w:tc>
        <w:tc>
          <w:tcPr>
            <w:tcW w:w="2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Reza Kasnavi</w:t>
            </w:r>
          </w:p>
        </w:tc>
        <w:tc>
          <w:tcPr>
            <w:tcW w:w="2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20,084</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Christine King</w:t>
            </w:r>
          </w:p>
        </w:tc>
        <w:tc>
          <w:tcPr>
            <w:tcW w:w="2560" w:type="dxa"/>
            <w:vAlign w:val="bottom"/>
            <w:shd w:val="clear" w:color="auto" w:fill="DBDBDB"/>
          </w:tcPr>
          <w:p>
            <w:pPr>
              <w:jc w:val="right"/>
              <w:ind w:right="250"/>
              <w:spacing w:after="0"/>
              <w:rPr>
                <w:sz w:val="20"/>
                <w:szCs w:val="20"/>
                <w:color w:val="auto"/>
              </w:rPr>
            </w:pPr>
            <w:r>
              <w:rPr>
                <w:rFonts w:ascii="Times New Roman" w:cs="Times New Roman" w:eastAsia="Times New Roman" w:hAnsi="Times New Roman"/>
                <w:sz w:val="18"/>
                <w:szCs w:val="18"/>
                <w:color w:val="auto"/>
              </w:rPr>
              <w:t>20,979</w:t>
            </w:r>
          </w:p>
        </w:tc>
        <w:tc>
          <w:tcPr>
            <w:tcW w:w="2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Suzanne E. McBride</w:t>
            </w:r>
          </w:p>
        </w:tc>
        <w:tc>
          <w:tcPr>
            <w:tcW w:w="2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2,799</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David P. McGlade</w:t>
            </w:r>
          </w:p>
        </w:tc>
        <w:tc>
          <w:tcPr>
            <w:tcW w:w="2560" w:type="dxa"/>
            <w:vAlign w:val="bottom"/>
            <w:shd w:val="clear" w:color="auto" w:fill="DBDBDB"/>
          </w:tcPr>
          <w:p>
            <w:pPr>
              <w:jc w:val="right"/>
              <w:ind w:right="250"/>
              <w:spacing w:after="0"/>
              <w:rPr>
                <w:sz w:val="20"/>
                <w:szCs w:val="20"/>
                <w:color w:val="auto"/>
              </w:rPr>
            </w:pPr>
            <w:r>
              <w:rPr>
                <w:rFonts w:ascii="Times New Roman" w:cs="Times New Roman" w:eastAsia="Times New Roman" w:hAnsi="Times New Roman"/>
                <w:sz w:val="18"/>
                <w:szCs w:val="18"/>
                <w:color w:val="auto"/>
              </w:rPr>
              <w:t>42,916</w:t>
            </w:r>
          </w:p>
        </w:tc>
        <w:tc>
          <w:tcPr>
            <w:tcW w:w="2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A. Schriesheim</w:t>
            </w:r>
          </w:p>
        </w:tc>
        <w:tc>
          <w:tcPr>
            <w:tcW w:w="2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84,236</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Kris Sennesael</w:t>
            </w:r>
          </w:p>
        </w:tc>
        <w:tc>
          <w:tcPr>
            <w:tcW w:w="2560" w:type="dxa"/>
            <w:vAlign w:val="bottom"/>
            <w:shd w:val="clear" w:color="auto" w:fill="DBDBDB"/>
          </w:tcPr>
          <w:p>
            <w:pPr>
              <w:jc w:val="right"/>
              <w:ind w:right="250"/>
              <w:spacing w:after="0"/>
              <w:rPr>
                <w:sz w:val="20"/>
                <w:szCs w:val="20"/>
                <w:color w:val="auto"/>
              </w:rPr>
            </w:pPr>
            <w:r>
              <w:rPr>
                <w:rFonts w:ascii="Times New Roman" w:cs="Times New Roman" w:eastAsia="Times New Roman" w:hAnsi="Times New Roman"/>
                <w:sz w:val="18"/>
                <w:szCs w:val="18"/>
                <w:color w:val="auto"/>
              </w:rPr>
              <w:t>100,365</w:t>
            </w:r>
          </w:p>
        </w:tc>
        <w:tc>
          <w:tcPr>
            <w:tcW w:w="2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J. Terry</w:t>
            </w:r>
          </w:p>
        </w:tc>
        <w:tc>
          <w:tcPr>
            <w:tcW w:w="2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17,109(5)</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0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Maryann Turcke</w:t>
            </w:r>
          </w:p>
        </w:tc>
        <w:tc>
          <w:tcPr>
            <w:tcW w:w="2560" w:type="dxa"/>
            <w:vAlign w:val="bottom"/>
            <w:shd w:val="clear" w:color="auto" w:fill="D9D9D9"/>
          </w:tcPr>
          <w:p>
            <w:pPr>
              <w:jc w:val="right"/>
              <w:ind w:right="250"/>
              <w:spacing w:after="0"/>
              <w:rPr>
                <w:sz w:val="20"/>
                <w:szCs w:val="20"/>
                <w:color w:val="auto"/>
              </w:rPr>
            </w:pPr>
            <w:r>
              <w:rPr>
                <w:rFonts w:ascii="Times New Roman" w:cs="Times New Roman" w:eastAsia="Times New Roman" w:hAnsi="Times New Roman"/>
                <w:sz w:val="18"/>
                <w:szCs w:val="18"/>
                <w:color w:val="auto"/>
              </w:rPr>
              <w:t>693</w:t>
            </w:r>
          </w:p>
        </w:tc>
        <w:tc>
          <w:tcPr>
            <w:tcW w:w="230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(14 persons)</w:t>
            </w:r>
          </w:p>
        </w:tc>
        <w:tc>
          <w:tcPr>
            <w:tcW w:w="2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558,919(5)</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5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Less than 1%</w:t>
      </w:r>
    </w:p>
    <w:p>
      <w:pPr>
        <w:spacing w:after="0" w:line="252" w:lineRule="exact"/>
        <w:rPr>
          <w:sz w:val="20"/>
          <w:szCs w:val="20"/>
          <w:color w:val="auto"/>
        </w:rPr>
      </w:pPr>
    </w:p>
    <w:p>
      <w:pPr>
        <w:jc w:val="both"/>
        <w:ind w:left="260" w:hanging="252"/>
        <w:spacing w:after="0" w:line="289" w:lineRule="auto"/>
        <w:tabs>
          <w:tab w:leader="none" w:pos="2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set forth in the following notes, each person’s address is the address of our principal executive offices at Skyworks Solutions, Inc., 5260 California Avenue, Irvine, CA 92617, and stockholders have sole voting and sole investment power with respect to the shares, except to the extent such power may be shared by a spouse or otherwise subject to applicable community property laws.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7" w:name="page38"/>
    <w:bookmarkEnd w:id="37"/>
    <w:p>
      <w:pPr>
        <w:jc w:val="both"/>
        <w:ind w:left="260" w:hanging="252"/>
        <w:spacing w:after="0" w:line="271" w:lineRule="auto"/>
        <w:tabs>
          <w:tab w:leader="none" w:pos="29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does not reflect the number of shares of Company common stock to be issued pursuant to unvested restricted stock units (the “Unvested RSUs”) and earned, but unissued, performance share awards subject to time-based vesting only (the “Unvested PSAs”) that are not scheduled to vest within sixty (60) days of January 24, 2024, as follows: Mr. Batey—2,078 shares under Unvested RSUs; Mr. Beebe—2,078 shares under Unvested RSUs; Mr. Bori—38,028 shares under Unvested RSUs and 13,230 shares under Unvested PSAs; Mr. Guerin—2,524 shares under Unvested RSUs; Mr. Griffin—130,206 shares under Unvested RSUs and 43,988 shares under Unvested PSAs; Mr. Kasnavi—38,306 shares under Unvested RSUs and 13,230 shares under Unvested PSAs; Ms. King—2,078 shares under Unvested RSUs; Ms. McBride—2,527 shares under Unvested RSUs; Mr. McGlade</w:t>
      </w:r>
    </w:p>
    <w:p>
      <w:pPr>
        <w:spacing w:after="0" w:line="1" w:lineRule="exact"/>
        <w:rPr>
          <w:rFonts w:ascii="Times New Roman" w:cs="Times New Roman" w:eastAsia="Times New Roman" w:hAnsi="Times New Roman"/>
          <w:sz w:val="18"/>
          <w:szCs w:val="18"/>
          <w:color w:val="auto"/>
        </w:rPr>
      </w:pPr>
    </w:p>
    <w:p>
      <w:pPr>
        <w:jc w:val="both"/>
        <w:ind w:left="26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2,078 shares under Unvested RSUs; Mr. Schriesheim—2,078 shares under Unvested RSUs; Mr. Sennesael—36,912 shares under Unvested RSUs and 12,520 shares under Unvested PSAs; Mr. Terry—31,558 shares under Unvested RSUs and 10,896 shares under Unvested PSAs; Ms. Turcke—3,462 shares under Unvested RSUs; current directors and executive officers as a group (14 persons)—313,901 shares under Unvested RSUs and 100,632 shares under Unvested PSAs.</w:t>
      </w:r>
    </w:p>
    <w:p>
      <w:pPr>
        <w:spacing w:after="0" w:line="1" w:lineRule="exact"/>
        <w:rPr>
          <w:rFonts w:ascii="Times New Roman" w:cs="Times New Roman" w:eastAsia="Times New Roman" w:hAnsi="Times New Roman"/>
          <w:sz w:val="18"/>
          <w:szCs w:val="18"/>
          <w:color w:val="auto"/>
        </w:rPr>
      </w:pPr>
    </w:p>
    <w:p>
      <w:pPr>
        <w:jc w:val="both"/>
        <w:ind w:left="260" w:hanging="252"/>
        <w:spacing w:after="0" w:line="270" w:lineRule="auto"/>
        <w:tabs>
          <w:tab w:leader="none" w:pos="29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beneficially owned by The Vanguard Group, Inc. (“Vanguard”), which has sole voting power with respect to zero shares, shared voting power with respect to 228,432 shares, sole dispositive power with respect to 17,587,130 shares, and shared dispositive power with respect to 661,414 shares. With respect to the information relating to Vanguard, we have relied on information disclosed by Vanguard on a Schedule 13G/A filed with the SEC on February 9, 2023. The address of Vanguard is 100 Vanguard Blvd., Malvern, PA 19355.</w:t>
      </w:r>
    </w:p>
    <w:p>
      <w:pPr>
        <w:jc w:val="both"/>
        <w:ind w:left="260" w:hanging="252"/>
        <w:spacing w:after="0" w:line="286" w:lineRule="auto"/>
        <w:tabs>
          <w:tab w:leader="none" w:pos="29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shares beneficially owned by BlackRock, Inc. (“BlackRock”), in its capacity as a parent holding company of various subsidiaries under Rule 13d1(b)(1)(ii)(G). In its capacity as a parent holding company or control person, BlackRock has sole voting power with respect to 13,506,111 shares and sole dispositive power with respect to 14,750,420 shares which are held by the following of its subsidiaries: BlackRock Life Limited, BlackRock International Limited, BlackRock Advisors, LLC, Aperio Group, LLC, BlackRock (Netherlands) B.V.,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BlackRock (Luxembourg) S.A., BlackRock Investment Management (Australia) Limited, BlackRock Advisors (UK) Limited, BlackRock Fund Advisors, BlackRock Asset Management North Asia Limited, BlackRock (Singapore) Limited, and BlackRock Fund Managers Ltd. With respect to the information relating to BlackRock and its affiliated entities, we have relied on information disclosed by BlackRock on a Schedule 13G filed with the SEC on January 24, 2024. The address of BlackRock is 50 Hudson Yards, New York, NY 10001.</w:t>
      </w:r>
    </w:p>
    <w:p>
      <w:pPr>
        <w:spacing w:after="0" w:line="5" w:lineRule="exact"/>
        <w:rPr>
          <w:rFonts w:ascii="Times New Roman" w:cs="Times New Roman" w:eastAsia="Times New Roman" w:hAnsi="Times New Roman"/>
          <w:sz w:val="17"/>
          <w:szCs w:val="17"/>
          <w:color w:val="auto"/>
        </w:rPr>
      </w:pPr>
    </w:p>
    <w:p>
      <w:pPr>
        <w:ind w:left="260" w:hanging="252"/>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held in the Company’s 401(k) Savings and Investment Plan as of January 24, 2024.</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b w:val="1"/>
          <w:bCs w:val="1"/>
          <w:color w:val="auto"/>
        </w:rPr>
        <w:t>Equity Compensation Plan Information</w:t>
      </w:r>
    </w:p>
    <w:p>
      <w:pPr>
        <w:spacing w:after="0" w:line="260" w:lineRule="exact"/>
        <w:rPr>
          <w:sz w:val="20"/>
          <w:szCs w:val="20"/>
          <w:color w:val="auto"/>
        </w:rPr>
      </w:pPr>
    </w:p>
    <w:p>
      <w:pPr>
        <w:ind w:firstLine="389"/>
        <w:spacing w:after="0" w:line="313" w:lineRule="auto"/>
        <w:rPr>
          <w:sz w:val="20"/>
          <w:szCs w:val="20"/>
          <w:color w:val="auto"/>
        </w:rPr>
      </w:pPr>
      <w:r>
        <w:rPr>
          <w:rFonts w:ascii="Times New Roman" w:cs="Times New Roman" w:eastAsia="Times New Roman" w:hAnsi="Times New Roman"/>
          <w:sz w:val="18"/>
          <w:szCs w:val="18"/>
          <w:color w:val="auto"/>
        </w:rPr>
        <w:t>As of September 29, 2023, the Company has the following equity compensation plans under which its equity securities were authorized for issuance to its employees and/or directors:</w:t>
      </w:r>
    </w:p>
    <w:p>
      <w:pPr>
        <w:spacing w:after="0" w:line="68" w:lineRule="exact"/>
        <w:rPr>
          <w:sz w:val="20"/>
          <w:szCs w:val="20"/>
          <w:color w:val="auto"/>
        </w:rPr>
      </w:pPr>
    </w:p>
    <w:p>
      <w:pPr>
        <w:ind w:left="760" w:hanging="104"/>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2002 Employee Stock Purchase Plan</w:t>
      </w:r>
    </w:p>
    <w:p>
      <w:pPr>
        <w:spacing w:after="0" w:line="144"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Non-Qualified Employee Stock Purchase Plan</w:t>
      </w:r>
    </w:p>
    <w:p>
      <w:pPr>
        <w:spacing w:after="0" w:line="157"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2005 Long-Term Incentive Plan</w:t>
      </w:r>
    </w:p>
    <w:p>
      <w:pPr>
        <w:spacing w:after="0" w:line="144"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2008 Director Long-Term Incentive Plan</w:t>
      </w:r>
    </w:p>
    <w:p>
      <w:pPr>
        <w:spacing w:after="0" w:line="157"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2015 Long-Term Incentive Plan</w:t>
      </w:r>
    </w:p>
    <w:p>
      <w:pPr>
        <w:spacing w:after="0" w:line="158" w:lineRule="exact"/>
        <w:rPr>
          <w:sz w:val="20"/>
          <w:szCs w:val="20"/>
          <w:color w:val="auto"/>
        </w:rPr>
      </w:pPr>
    </w:p>
    <w:p>
      <w:pPr>
        <w:jc w:val="both"/>
        <w:ind w:firstLine="389"/>
        <w:spacing w:after="0" w:line="305" w:lineRule="auto"/>
        <w:rPr>
          <w:sz w:val="20"/>
          <w:szCs w:val="20"/>
          <w:color w:val="auto"/>
        </w:rPr>
      </w:pPr>
      <w:r>
        <w:rPr>
          <w:rFonts w:ascii="Times New Roman" w:cs="Times New Roman" w:eastAsia="Times New Roman" w:hAnsi="Times New Roman"/>
          <w:sz w:val="18"/>
          <w:szCs w:val="18"/>
          <w:color w:val="auto"/>
        </w:rPr>
        <w:t>Except for the Non-Qualified Employee Stock Purchase Plan (the “Non-Qualified ESPP”), each of the foregoing equity compensation plans was approved by the Company’s stockholders. A description of the material features of the Non-Qualified ESPP is provided below under the heading “</w:t>
      </w:r>
      <w:r>
        <w:rPr>
          <w:rFonts w:ascii="Times New Roman" w:cs="Times New Roman" w:eastAsia="Times New Roman" w:hAnsi="Times New Roman"/>
          <w:sz w:val="18"/>
          <w:szCs w:val="18"/>
          <w:i w:val="1"/>
          <w:iCs w:val="1"/>
          <w:color w:val="auto"/>
        </w:rPr>
        <w:t>Non-Qualified Employee Stock Purchase Plan</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information about these plans as of September 29, 2023.</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184"/>
        </w:trPr>
        <w:tc>
          <w:tcPr>
            <w:tcW w:w="47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0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2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 to be</w:t>
            </w:r>
          </w:p>
        </w:tc>
        <w:tc>
          <w:tcPr>
            <w:tcW w:w="2080" w:type="dxa"/>
            <w:vAlign w:val="bottom"/>
            <w:vMerge w:val="continue"/>
          </w:tcPr>
          <w:p>
            <w:pPr>
              <w:spacing w:after="0"/>
              <w:rPr>
                <w:sz w:val="15"/>
                <w:szCs w:val="15"/>
                <w:color w:val="auto"/>
              </w:rPr>
            </w:pPr>
          </w:p>
        </w:tc>
        <w:tc>
          <w:tcPr>
            <w:tcW w:w="2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Future Issuance Under</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2300" w:type="dxa"/>
            <w:vAlign w:val="bottom"/>
            <w:vMerge w:val="continue"/>
          </w:tcPr>
          <w:p>
            <w:pPr>
              <w:spacing w:after="0"/>
              <w:rPr>
                <w:sz w:val="16"/>
                <w:szCs w:val="16"/>
                <w:color w:val="auto"/>
              </w:rPr>
            </w:pPr>
          </w:p>
        </w:tc>
        <w:tc>
          <w:tcPr>
            <w:tcW w:w="20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Exercise Price of</w:t>
            </w:r>
          </w:p>
        </w:tc>
        <w:tc>
          <w:tcPr>
            <w:tcW w:w="20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Equity Compensation</w:t>
            </w: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2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Issued Upon Exercise of</w:t>
            </w:r>
          </w:p>
        </w:tc>
        <w:tc>
          <w:tcPr>
            <w:tcW w:w="20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Plans (Excluding</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2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0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Warrants, and Rights ($)</w:t>
            </w:r>
          </w:p>
        </w:tc>
        <w:tc>
          <w:tcPr>
            <w:tcW w:w="2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Securities Reflected in</w:t>
            </w:r>
          </w:p>
        </w:tc>
        <w:tc>
          <w:tcPr>
            <w:tcW w:w="0" w:type="dxa"/>
            <w:vAlign w:val="bottom"/>
          </w:tcPr>
          <w:p>
            <w:pPr>
              <w:spacing w:after="0"/>
              <w:rPr>
                <w:sz w:val="1"/>
                <w:szCs w:val="1"/>
                <w:color w:val="auto"/>
              </w:rPr>
            </w:pPr>
          </w:p>
        </w:tc>
      </w:tr>
      <w:tr>
        <w:trPr>
          <w:trHeight w:val="270"/>
        </w:trPr>
        <w:tc>
          <w:tcPr>
            <w:tcW w:w="474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 (#)(a)</w:t>
            </w: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Column (a)) (#)(c)</w:t>
            </w:r>
          </w:p>
        </w:tc>
        <w:tc>
          <w:tcPr>
            <w:tcW w:w="0" w:type="dxa"/>
            <w:vAlign w:val="bottom"/>
          </w:tcPr>
          <w:p>
            <w:pPr>
              <w:spacing w:after="0"/>
              <w:rPr>
                <w:sz w:val="1"/>
                <w:szCs w:val="1"/>
                <w:color w:val="auto"/>
              </w:rPr>
            </w:pPr>
          </w:p>
        </w:tc>
      </w:tr>
      <w:tr>
        <w:trPr>
          <w:trHeight w:val="223"/>
        </w:trPr>
        <w:tc>
          <w:tcPr>
            <w:tcW w:w="47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3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27,123(1)</w:t>
            </w:r>
          </w:p>
        </w:tc>
        <w:tc>
          <w:tcPr>
            <w:tcW w:w="20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2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10,296,058(2)</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173,128(3)</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27,123</w:t>
            </w:r>
          </w:p>
        </w:tc>
        <w:tc>
          <w:tcPr>
            <w:tcW w:w="20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20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b w:val="1"/>
                <w:bCs w:val="1"/>
                <w:color w:val="auto"/>
              </w:rPr>
              <w:t>10,469,186</w:t>
            </w:r>
          </w:p>
        </w:tc>
        <w:tc>
          <w:tcPr>
            <w:tcW w:w="0" w:type="dxa"/>
            <w:vAlign w:val="bottom"/>
          </w:tcPr>
          <w:p>
            <w:pPr>
              <w:spacing w:after="0"/>
              <w:rPr>
                <w:sz w:val="1"/>
                <w:szCs w:val="1"/>
                <w:color w:val="auto"/>
              </w:rPr>
            </w:pPr>
          </w:p>
        </w:tc>
      </w:tr>
      <w:tr>
        <w:trPr>
          <w:trHeight w:val="20"/>
        </w:trPr>
        <w:tc>
          <w:tcPr>
            <w:tcW w:w="4740" w:type="dxa"/>
            <w:vAlign w:val="bottom"/>
            <w:tcBorders>
              <w:top w:val="single" w:sz="8" w:color="DBDBDB"/>
              <w:bottom w:val="single" w:sz="8" w:color="DBDBDB"/>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2300" w:type="dxa"/>
            <w:vAlign w:val="bottom"/>
            <w:tcBorders>
              <w:top w:val="single" w:sz="8" w:color="DBDBDB"/>
              <w:bottom w:val="single" w:sz="8" w:color="auto"/>
            </w:tcBorders>
          </w:tcPr>
          <w:p>
            <w:pPr>
              <w:spacing w:after="0" w:line="20" w:lineRule="exact"/>
              <w:rPr>
                <w:sz w:val="1"/>
                <w:szCs w:val="1"/>
                <w:color w:val="auto"/>
              </w:rPr>
            </w:pPr>
          </w:p>
        </w:tc>
        <w:tc>
          <w:tcPr>
            <w:tcW w:w="2080" w:type="dxa"/>
            <w:vAlign w:val="bottom"/>
            <w:tcBorders>
              <w:top w:val="single" w:sz="8" w:color="DBDBDB"/>
              <w:bottom w:val="single" w:sz="8" w:color="auto"/>
            </w:tcBorders>
          </w:tcPr>
          <w:p>
            <w:pPr>
              <w:spacing w:after="0" w:line="20" w:lineRule="exact"/>
              <w:rPr>
                <w:sz w:val="1"/>
                <w:szCs w:val="1"/>
                <w:color w:val="auto"/>
              </w:rPr>
            </w:pPr>
          </w:p>
        </w:tc>
        <w:tc>
          <w:tcPr>
            <w:tcW w:w="20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4740" w:type="dxa"/>
            <w:vAlign w:val="bottom"/>
            <w:vMerge w:val="continue"/>
          </w:tcPr>
          <w:p>
            <w:pPr>
              <w:spacing w:after="0"/>
              <w:rPr>
                <w:sz w:val="24"/>
                <w:szCs w:val="24"/>
                <w:color w:val="auto"/>
              </w:rPr>
            </w:pPr>
          </w:p>
        </w:tc>
        <w:tc>
          <w:tcPr>
            <w:tcW w:w="2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60" w:hanging="252"/>
        <w:spacing w:after="0" w:line="273" w:lineRule="auto"/>
        <w:tabs>
          <w:tab w:leader="none" w:pos="49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2,167,957 unvested shares under restricted stock and RSU awards and 1,192,371 unvested shares under PSAs, which number assumes achievement of performance goals under outstanding PSAs at target levels.</w:t>
      </w:r>
    </w:p>
    <w:p>
      <w:pPr>
        <w:spacing w:after="0" w:line="1" w:lineRule="exact"/>
        <w:rPr>
          <w:rFonts w:ascii="Times New Roman" w:cs="Times New Roman" w:eastAsia="Times New Roman" w:hAnsi="Times New Roman"/>
          <w:sz w:val="18"/>
          <w:szCs w:val="18"/>
          <w:color w:val="auto"/>
        </w:rPr>
      </w:pPr>
    </w:p>
    <w:p>
      <w:pPr>
        <w:jc w:val="both"/>
        <w:ind w:left="260" w:hanging="252"/>
        <w:spacing w:after="0" w:line="271" w:lineRule="auto"/>
        <w:tabs>
          <w:tab w:leader="none" w:pos="29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857,399 shares available for future issuance under the 2002 Employee Stock Purchase Plan, 8,909,012 shares available for future issuance under the 2015 Long-Term Incentive Plan, and 529,647 shares available for future issuance under the 2008 Director Long-Term Incentive Plan. No further grants will be made under the 2005 Long-Term Incentive Plan.</w:t>
      </w:r>
    </w:p>
    <w:p>
      <w:pPr>
        <w:ind w:left="260" w:hanging="252"/>
        <w:spacing w:after="0"/>
        <w:tabs>
          <w:tab w:leader="none" w:pos="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available under the Non-Qualified ESPP.</w:t>
      </w:r>
    </w:p>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Non-Qualified Employee Stock Purchase Plan</w:t>
      </w:r>
    </w:p>
    <w:p>
      <w:pPr>
        <w:spacing w:after="0" w:line="189" w:lineRule="exact"/>
        <w:rPr>
          <w:sz w:val="20"/>
          <w:szCs w:val="20"/>
          <w:color w:val="auto"/>
        </w:rPr>
      </w:pPr>
    </w:p>
    <w:p>
      <w:pPr>
        <w:jc w:val="both"/>
        <w:ind w:firstLine="389"/>
        <w:spacing w:after="0" w:line="297" w:lineRule="auto"/>
        <w:rPr>
          <w:sz w:val="20"/>
          <w:szCs w:val="20"/>
          <w:color w:val="auto"/>
        </w:rPr>
      </w:pPr>
      <w:r>
        <w:rPr>
          <w:rFonts w:ascii="Times New Roman" w:cs="Times New Roman" w:eastAsia="Times New Roman" w:hAnsi="Times New Roman"/>
          <w:sz w:val="18"/>
          <w:szCs w:val="18"/>
          <w:color w:val="auto"/>
        </w:rPr>
        <w:t>We maintain the Non-Qualified ESPP to provide employees of the Company and participating subsidiaries with an opportunity to acquire a proprietary interest in the Company through the purchase, by means of payroll deductions, of shares of the Company’s common stock at a discount from the market price of the common stock at the time of purchase. The Non-Qualified ESPP is intended for use primarily by employees located outside the United States. Under the plan, eligible employees may purchase common stock through payroll deductions of up to 15% of eligible compensation. The price per share is the lower of 85% of the market price at the beginning or end of each six-month offering period.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4" w:lineRule="exact"/>
        <w:rPr>
          <w:sz w:val="20"/>
          <w:szCs w:val="20"/>
          <w:color w:val="auto"/>
        </w:rPr>
      </w:pPr>
    </w:p>
    <w:p>
      <w:pPr>
        <w:jc w:val="both"/>
        <w:ind w:firstLine="389"/>
        <w:spacing w:after="0" w:line="294" w:lineRule="auto"/>
        <w:rPr>
          <w:sz w:val="20"/>
          <w:szCs w:val="20"/>
          <w:color w:val="auto"/>
        </w:rPr>
      </w:pPr>
      <w:r>
        <w:rPr>
          <w:rFonts w:ascii="Times New Roman" w:cs="Times New Roman" w:eastAsia="Times New Roman" w:hAnsi="Times New Roman"/>
          <w:sz w:val="18"/>
          <w:szCs w:val="18"/>
          <w:i w:val="1"/>
          <w:iCs w:val="1"/>
          <w:color w:val="auto"/>
        </w:rPr>
        <w:t>Certain Relationships and Related Transactions</w:t>
      </w:r>
      <w:r>
        <w:rPr>
          <w:rFonts w:ascii="Times New Roman" w:cs="Times New Roman" w:eastAsia="Times New Roman" w:hAnsi="Times New Roman"/>
          <w:sz w:val="18"/>
          <w:szCs w:val="18"/>
          <w:color w:val="auto"/>
        </w:rPr>
        <w:t>: Other than compensation agreements and other arrangements which are described above in Item 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Compensation,” since October 1, 2022, there has not been a transaction or series of related transactions to which the Company was or is a party involving an amount in excess of $120,000 and in which any director, executive officer, holder of more than five percent (5%) of any class of our voting securities, or any member of the immediate family of any of the foregoing persons, had or will have a direct or indirect material interest. Our Board of Directors has adopted a written related person transaction approval policy that sets forth the Company’s policies and procedures for the review, approval, or ratification of any transaction required to be reported in its filings with the SEC. The Company’s policy with regard to related person transactions is that all related person transactions between the Company and any related person (as defined in Item 404 of Regulation S-K) or their affiliates, in which the amount involved is equal to or greater than $120,000, be reviewed by the Company’s General Counsel and approved by the Audit Committee. In addition, the Company’s Code of Business Conduct and Ethics requires that employees discuss with the Company’s Compliance Officer any significant relationship (or transaction) that might raise doubt about such employee’s ability to act in the best interest of the Company.</w:t>
      </w:r>
    </w:p>
    <w:p>
      <w:pPr>
        <w:spacing w:after="0" w:line="205" w:lineRule="exact"/>
        <w:rPr>
          <w:sz w:val="20"/>
          <w:szCs w:val="20"/>
          <w:color w:val="auto"/>
        </w:rPr>
      </w:pPr>
    </w:p>
    <w:p>
      <w:pPr>
        <w:jc w:val="both"/>
        <w:ind w:firstLine="389"/>
        <w:spacing w:after="0" w:line="294" w:lineRule="auto"/>
        <w:rPr>
          <w:sz w:val="20"/>
          <w:szCs w:val="20"/>
          <w:color w:val="auto"/>
        </w:rPr>
      </w:pPr>
      <w:r>
        <w:rPr>
          <w:rFonts w:ascii="Times New Roman" w:cs="Times New Roman" w:eastAsia="Times New Roman" w:hAnsi="Times New Roman"/>
          <w:sz w:val="18"/>
          <w:szCs w:val="18"/>
          <w:i w:val="1"/>
          <w:iCs w:val="1"/>
          <w:color w:val="auto"/>
        </w:rPr>
        <w:t>Director Independence</w:t>
      </w:r>
      <w:r>
        <w:rPr>
          <w:rFonts w:ascii="Times New Roman" w:cs="Times New Roman" w:eastAsia="Times New Roman" w:hAnsi="Times New Roman"/>
          <w:sz w:val="18"/>
          <w:szCs w:val="18"/>
          <w:color w:val="auto"/>
        </w:rPr>
        <w:t>: Each year, the Board of Directors reviews the relationships that each director has with the Company and with other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those directors who do not have any of the categorical relationships that preclude them from being independent within the meaning of applicable Nasdaq Rules and who the Board of Directors affirmatively determines have no relationships that would interfere with the exercise of independent judgment in carrying out the responsibilities of a director are considered to be independent directors. The Board of Directors has reviewed a number of factors to evaluate the independence of each of its members. These factors include its members’ current and historic relationships with the Company and its competitors, suppliers, and customers; their relationships with management and other directors; the relationships their current and former employers have with the Company; and the relationships between the Company and other companies of which a member of the Company’s Board of Directors is a director or executive officer. After evaluating these factors, the Board of Directors has determined that eight of the nine members of the Board of Directors, namely, Alan S. Batey, Kevin L. Beebe, Eric J. Guerin, Christine King, Suzanne E. McBride, David P. McGlade, Robert A. Schriesheim, and Maryann Turcke, do not have any relationships that would interfere with the exercise of independent judgment in carrying out their responsibilities as directors and that each such director is an independent director of the Company within the meaning of applicable Nasdaq Rules.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56" w:lineRule="exact"/>
        <w:rPr>
          <w:sz w:val="20"/>
          <w:szCs w:val="20"/>
          <w:color w:val="auto"/>
        </w:rPr>
      </w:pPr>
    </w:p>
    <w:p>
      <w:pPr>
        <w:jc w:val="both"/>
        <w:ind w:firstLine="389"/>
        <w:spacing w:after="0" w:line="302" w:lineRule="auto"/>
        <w:rPr>
          <w:sz w:val="20"/>
          <w:szCs w:val="20"/>
          <w:color w:val="auto"/>
        </w:rPr>
      </w:pPr>
      <w:r>
        <w:rPr>
          <w:rFonts w:ascii="Times New Roman" w:cs="Times New Roman" w:eastAsia="Times New Roman" w:hAnsi="Times New Roman"/>
          <w:sz w:val="18"/>
          <w:szCs w:val="18"/>
          <w:color w:val="auto"/>
        </w:rPr>
        <w:t>KPMG LLP (Irvine, California, Auditor Firm ID: 185) provided audit services to the Company consisting of the annual audit of the Company’s 2023 consolidated financial statements contained in the Company’s Annual Report on Form 10-K and reviews of the financial statements contained in the Company’s Quarterly Reports on Form 10-Q for fiscal year 2023. The following table summarizes the fees of KPMG LLP billed to the Company for the last two fiscal years.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Pr>
          <w:p>
            <w:pPr>
              <w:spacing w:after="0"/>
              <w:rPr>
                <w:sz w:val="17"/>
                <w:szCs w:val="17"/>
                <w:color w:val="auto"/>
              </w:rPr>
            </w:pPr>
          </w:p>
        </w:tc>
        <w:tc>
          <w:tcPr>
            <w:tcW w:w="14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3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 of</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56"/>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14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 ($)</w:t>
            </w:r>
          </w:p>
        </w:tc>
        <w:tc>
          <w:tcPr>
            <w:tcW w:w="13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 ($)</w:t>
            </w:r>
          </w:p>
        </w:tc>
        <w:tc>
          <w:tcPr>
            <w:tcW w:w="12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23"/>
        </w:trPr>
        <w:tc>
          <w:tcPr>
            <w:tcW w:w="59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Audit Fees(1)</w:t>
            </w:r>
          </w:p>
        </w:tc>
        <w:tc>
          <w:tcPr>
            <w:tcW w:w="1480" w:type="dxa"/>
            <w:vAlign w:val="bottom"/>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2,421,240</w:t>
            </w:r>
          </w:p>
        </w:tc>
        <w:tc>
          <w:tcPr>
            <w:tcW w:w="1300" w:type="dxa"/>
            <w:vAlign w:val="bottom"/>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rPr>
              <w:t>97.0</w:t>
            </w:r>
          </w:p>
        </w:tc>
        <w:tc>
          <w:tcPr>
            <w:tcW w:w="1360" w:type="dxa"/>
            <w:vAlign w:val="bottom"/>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2,479,240</w:t>
            </w:r>
          </w:p>
        </w:tc>
        <w:tc>
          <w:tcPr>
            <w:tcW w:w="12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Fees(2)</w:t>
            </w: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43,974</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Tax Fees(3)</w:t>
            </w:r>
          </w:p>
        </w:tc>
        <w:tc>
          <w:tcPr>
            <w:tcW w:w="1480" w:type="dxa"/>
            <w:vAlign w:val="bottom"/>
            <w:tcBorders>
              <w:bottom w:val="single" w:sz="8" w:color="auto"/>
            </w:tcBorders>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32,000</w:t>
            </w:r>
          </w:p>
        </w:tc>
        <w:tc>
          <w:tcPr>
            <w:tcW w:w="1300" w:type="dxa"/>
            <w:vAlign w:val="bottom"/>
            <w:tcBorders>
              <w:bottom w:val="single" w:sz="8" w:color="auto"/>
            </w:tcBorders>
            <w:shd w:val="clear" w:color="auto" w:fill="DBDBDB"/>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1360" w:type="dxa"/>
            <w:vAlign w:val="bottom"/>
            <w:tcBorders>
              <w:bottom w:val="single" w:sz="8" w:color="auto"/>
            </w:tcBorders>
            <w:shd w:val="clear" w:color="auto" w:fill="DBDBDB"/>
          </w:tcPr>
          <w:p>
            <w:pPr>
              <w:jc w:val="right"/>
              <w:ind w:right="70"/>
              <w:spacing w:after="0"/>
              <w:rPr>
                <w:sz w:val="20"/>
                <w:szCs w:val="20"/>
                <w:color w:val="auto"/>
              </w:rPr>
            </w:pPr>
            <w:r>
              <w:rPr>
                <w:rFonts w:ascii="Times New Roman" w:cs="Times New Roman" w:eastAsia="Times New Roman" w:hAnsi="Times New Roman"/>
                <w:sz w:val="18"/>
                <w:szCs w:val="18"/>
                <w:color w:val="auto"/>
              </w:rPr>
              <w:t>38,838</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14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2,497,214</w:t>
            </w: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100</w:t>
            </w: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2,518,078</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21"/>
        </w:trPr>
        <w:tc>
          <w:tcPr>
            <w:tcW w:w="59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36" w:lineRule="exact"/>
        <w:rPr>
          <w:sz w:val="20"/>
          <w:szCs w:val="20"/>
          <w:color w:val="auto"/>
        </w:rPr>
      </w:pPr>
    </w:p>
    <w:p>
      <w:pPr>
        <w:jc w:val="both"/>
        <w:ind w:left="260" w:hanging="252"/>
        <w:spacing w:after="0" w:line="273" w:lineRule="auto"/>
        <w:tabs>
          <w:tab w:leader="none" w:pos="27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the audit of our annual financial statements, review of the interim financial statements included in our quarterly reports on Form 10-Q, statutory audits and related filings in various foreign locations, and audit procedures related to acquisition activity during fiscal years 2023 and 2022. Fiscal year 2023 and 2022 audit fees included fees for services incurred in connection with rendering an opinion under Section 404 of the Sarbanes-Oxley Act.</w:t>
      </w:r>
    </w:p>
    <w:p>
      <w:pPr>
        <w:spacing w:after="0" w:line="3" w:lineRule="exact"/>
        <w:rPr>
          <w:rFonts w:ascii="Times New Roman" w:cs="Times New Roman" w:eastAsia="Times New Roman" w:hAnsi="Times New Roman"/>
          <w:sz w:val="18"/>
          <w:szCs w:val="18"/>
          <w:color w:val="auto"/>
        </w:rPr>
      </w:pPr>
    </w:p>
    <w:p>
      <w:pPr>
        <w:ind w:left="260" w:hanging="252"/>
        <w:spacing w:after="0" w:line="268" w:lineRule="auto"/>
        <w:tabs>
          <w:tab w:leader="none" w:pos="30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fees relating to the Company’s real-time system implementation assessment of certain enterprise resource planning software.</w:t>
      </w:r>
    </w:p>
    <w:p>
      <w:pPr>
        <w:spacing w:after="0" w:line="1" w:lineRule="exact"/>
        <w:rPr>
          <w:rFonts w:ascii="Times New Roman" w:cs="Times New Roman" w:eastAsia="Times New Roman" w:hAnsi="Times New Roman"/>
          <w:sz w:val="18"/>
          <w:szCs w:val="18"/>
          <w:color w:val="auto"/>
        </w:rPr>
      </w:pPr>
    </w:p>
    <w:p>
      <w:pPr>
        <w:jc w:val="both"/>
        <w:ind w:left="260" w:right="20" w:hanging="252"/>
        <w:spacing w:after="0" w:line="286" w:lineRule="auto"/>
        <w:tabs>
          <w:tab w:leader="none" w:pos="27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tax compliance, tax advice, and tax planning services. Tax compliance services, which primarily relate to the review of our U.S. tax returns and certain trade and customs forms, accounted for $32,000 and $38,838 of the total tax fees for fiscal years 2023 and 2022, respectively.</w:t>
      </w:r>
    </w:p>
    <w:p>
      <w:pPr>
        <w:spacing w:after="0" w:line="200" w:lineRule="exact"/>
        <w:rPr>
          <w:sz w:val="20"/>
          <w:szCs w:val="20"/>
          <w:color w:val="auto"/>
        </w:rPr>
      </w:pPr>
    </w:p>
    <w:p>
      <w:pPr>
        <w:jc w:val="both"/>
        <w:ind w:firstLine="389"/>
        <w:spacing w:after="0" w:line="302" w:lineRule="auto"/>
        <w:rPr>
          <w:sz w:val="20"/>
          <w:szCs w:val="20"/>
          <w:color w:val="auto"/>
        </w:rPr>
      </w:pPr>
      <w:r>
        <w:rPr>
          <w:rFonts w:ascii="Times New Roman" w:cs="Times New Roman" w:eastAsia="Times New Roman" w:hAnsi="Times New Roman"/>
          <w:sz w:val="18"/>
          <w:szCs w:val="18"/>
          <w:color w:val="auto"/>
        </w:rPr>
        <w:t>In 2003, the Audit Committee adopted a formal policy concerning approval of audit and non-audit services to be provided to the Company by its independent registered public accounting firm, KPMG LLP. The policy requires that all services provided by KPMG LLP, including audit services and permitted audit-related and non-audit services, be preapproved by the Audit Committee. The Audit Committee preapproved all audit and non-audit services provided by KPMG LLP during fiscal year 2023 and fiscal year 2022.</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7580" w:type="dxa"/>
            <w:vAlign w:val="bottom"/>
          </w:tcPr>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2700" w:type="dxa"/>
            <w:vAlign w:val="bottom"/>
          </w:tcPr>
          <w:p>
            <w:pPr>
              <w:spacing w:after="0"/>
              <w:rPr>
                <w:sz w:val="20"/>
                <w:szCs w:val="20"/>
                <w:color w:val="auto"/>
              </w:rPr>
            </w:pPr>
          </w:p>
        </w:tc>
      </w:tr>
      <w:tr>
        <w:trPr>
          <w:trHeight w:val="459"/>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tc>
        <w:tc>
          <w:tcPr>
            <w:tcW w:w="2700" w:type="dxa"/>
            <w:vAlign w:val="bottom"/>
          </w:tcPr>
          <w:p>
            <w:pPr>
              <w:spacing w:after="0"/>
              <w:rPr>
                <w:sz w:val="24"/>
                <w:szCs w:val="24"/>
                <w:color w:val="auto"/>
              </w:rPr>
            </w:pPr>
          </w:p>
        </w:tc>
      </w:tr>
      <w:tr>
        <w:trPr>
          <w:trHeight w:val="47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  The following are filed as part of this Annual Report on Form 10-K:</w:t>
            </w:r>
          </w:p>
        </w:tc>
        <w:tc>
          <w:tcPr>
            <w:tcW w:w="2700" w:type="dxa"/>
            <w:vAlign w:val="bottom"/>
          </w:tcPr>
          <w:p>
            <w:pPr>
              <w:spacing w:after="0"/>
              <w:rPr>
                <w:sz w:val="24"/>
                <w:szCs w:val="24"/>
                <w:color w:val="auto"/>
              </w:rPr>
            </w:pPr>
          </w:p>
        </w:tc>
      </w:tr>
      <w:tr>
        <w:trPr>
          <w:trHeight w:val="27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   Index to Financial Statements</w:t>
            </w:r>
          </w:p>
        </w:tc>
        <w:tc>
          <w:tcPr>
            <w:tcW w:w="27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Page number of the Original Filing</w:t>
            </w:r>
          </w:p>
        </w:tc>
      </w:tr>
      <w:tr>
        <w:trPr>
          <w:trHeight w:val="454"/>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27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Page 38</w:t>
            </w:r>
          </w:p>
        </w:tc>
      </w:tr>
      <w:tr>
        <w:trPr>
          <w:trHeight w:val="229"/>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Consolidated Statements of Operations for the three years ended September 29, 2023</w:t>
            </w:r>
          </w:p>
        </w:tc>
        <w:tc>
          <w:tcPr>
            <w:tcW w:w="27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Page 40</w:t>
            </w:r>
          </w:p>
        </w:tc>
      </w:tr>
      <w:tr>
        <w:trPr>
          <w:trHeight w:val="230"/>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three years ended September 29, 2023</w:t>
            </w:r>
          </w:p>
        </w:tc>
        <w:tc>
          <w:tcPr>
            <w:tcW w:w="27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Page 41</w:t>
            </w:r>
          </w:p>
        </w:tc>
      </w:tr>
      <w:tr>
        <w:trPr>
          <w:trHeight w:val="229"/>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Consolidated Balance Sheets at September 29, 2023 and September 30, 2022</w:t>
            </w:r>
          </w:p>
        </w:tc>
        <w:tc>
          <w:tcPr>
            <w:tcW w:w="27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Page 42</w:t>
            </w:r>
          </w:p>
        </w:tc>
      </w:tr>
      <w:tr>
        <w:trPr>
          <w:trHeight w:val="229"/>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Consolidated Statements of Cash Flows for the three years ended September 29, 2023</w:t>
            </w:r>
          </w:p>
        </w:tc>
        <w:tc>
          <w:tcPr>
            <w:tcW w:w="27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Page 43</w:t>
            </w:r>
          </w:p>
        </w:tc>
      </w:tr>
      <w:tr>
        <w:trPr>
          <w:trHeight w:val="230"/>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Consolidated Statements of Stockholders’ Equity for the three years ended September 29, 2023</w:t>
            </w:r>
          </w:p>
        </w:tc>
        <w:tc>
          <w:tcPr>
            <w:tcW w:w="27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Page 44</w:t>
            </w:r>
          </w:p>
        </w:tc>
      </w:tr>
      <w:tr>
        <w:trPr>
          <w:trHeight w:val="234"/>
        </w:trPr>
        <w:tc>
          <w:tcPr>
            <w:tcW w:w="7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270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Pages 45 through 63</w:t>
            </w:r>
          </w:p>
        </w:tc>
      </w:tr>
    </w:tbl>
    <w:p>
      <w:pPr>
        <w:spacing w:after="0" w:line="225" w:lineRule="exact"/>
        <w:rPr>
          <w:sz w:val="20"/>
          <w:szCs w:val="20"/>
          <w:color w:val="auto"/>
        </w:rPr>
      </w:pPr>
    </w:p>
    <w:p>
      <w:pPr>
        <w:ind w:left="380" w:hanging="354"/>
        <w:spacing w:after="0"/>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 listed below is filed as part of this Annual Report on Form 10-K:</w:t>
      </w:r>
    </w:p>
    <w:p>
      <w:pPr>
        <w:spacing w:after="0" w:line="27" w:lineRule="exact"/>
        <w:rPr>
          <w:rFonts w:ascii="Times New Roman" w:cs="Times New Roman" w:eastAsia="Times New Roman" w:hAnsi="Times New Roman"/>
          <w:sz w:val="18"/>
          <w:szCs w:val="18"/>
          <w:color w:val="auto"/>
        </w:rPr>
      </w:pPr>
    </w:p>
    <w:p>
      <w:pPr>
        <w:ind w:left="380" w:right="3560"/>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required schedule information is included in the Notes to Consolidated Financial Statements or is omitted because it is either not required or not applicable.</w:t>
      </w:r>
    </w:p>
    <w:p>
      <w:pPr>
        <w:spacing w:after="0" w:line="1" w:lineRule="exact"/>
        <w:rPr>
          <w:rFonts w:ascii="Times New Roman" w:cs="Times New Roman" w:eastAsia="Times New Roman" w:hAnsi="Times New Roman"/>
          <w:sz w:val="18"/>
          <w:szCs w:val="18"/>
          <w:color w:val="auto"/>
        </w:rPr>
      </w:pPr>
    </w:p>
    <w:p>
      <w:pPr>
        <w:ind w:left="380" w:right="3620" w:hanging="354"/>
        <w:spacing w:after="0" w:line="245" w:lineRule="auto"/>
        <w:tabs>
          <w:tab w:leader="none" w:pos="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in the Exhibit Index immediately following this Item 15 are filed as a part of this Annual Report on Form 10-K.</w:t>
      </w:r>
    </w:p>
    <w:p>
      <w:pPr>
        <w:spacing w:after="0" w:line="329" w:lineRule="exact"/>
        <w:rPr>
          <w:sz w:val="20"/>
          <w:szCs w:val="20"/>
          <w:color w:val="auto"/>
        </w:rPr>
      </w:pPr>
    </w:p>
    <w:p>
      <w:pPr>
        <w:ind w:left="400" w:hanging="392"/>
        <w:spacing w:after="0"/>
        <w:tabs>
          <w:tab w:leader="none" w:pos="4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9"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The exhibits required by Item 601 of Regulation S-K are filed herewith and incorporated by reference herein. The response to this portion of Item 15 is submitted under Item 15(a)(3).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4" w:right="35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50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50"/>
        </w:trPr>
        <w:tc>
          <w:tcPr>
            <w:tcW w:w="136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160" w:type="dxa"/>
            <w:vAlign w:val="bottom"/>
            <w:gridSpan w:val="29"/>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40" w:type="dxa"/>
            <w:vAlign w:val="bottom"/>
            <w:vMerge w:val="restart"/>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29"/>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2"/>
        </w:trPr>
        <w:tc>
          <w:tcPr>
            <w:tcW w:w="13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4620" w:type="dxa"/>
            <w:vAlign w:val="bottom"/>
            <w:gridSpan w:val="35"/>
          </w:tcPr>
          <w:p>
            <w:pPr>
              <w:spacing w:after="0" w:line="182"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Asset Purchase Agreement, dated as of April 22, 2021, by</w:t>
              </w:r>
            </w:hyperlink>
          </w:p>
        </w:tc>
        <w:tc>
          <w:tcPr>
            <w:tcW w:w="840" w:type="dxa"/>
            <w:vAlign w:val="bottom"/>
          </w:tcPr>
          <w:p>
            <w:pPr>
              <w:jc w:val="center"/>
              <w:ind w:right="31"/>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12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4/22/2021</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420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and between Skyworks Solutions, Inc., and Silicon</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12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Laboratories Inc.</w:t>
              </w:r>
            </w:hyperlink>
          </w:p>
        </w:tc>
        <w:tc>
          <w:tcPr>
            <w:tcW w:w="242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4620" w:type="dxa"/>
            <w:vAlign w:val="bottom"/>
            <w:gridSpan w:val="35"/>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Restated Certificate of Incorporation</w:t>
              </w:r>
            </w:hyperlink>
          </w:p>
        </w:tc>
        <w:tc>
          <w:tcPr>
            <w:tcW w:w="8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8/8/2023</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4620" w:type="dxa"/>
            <w:vAlign w:val="bottom"/>
            <w:gridSpan w:val="35"/>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Fourth Amended and Restated By-laws</w:t>
              </w:r>
            </w:hyperlink>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5/12/2023</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4620" w:type="dxa"/>
            <w:vAlign w:val="bottom"/>
            <w:gridSpan w:val="35"/>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Specimen Certificate of Common Stock</w:t>
              </w:r>
            </w:hyperlink>
          </w:p>
        </w:tc>
        <w:tc>
          <w:tcPr>
            <w:tcW w:w="8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S-3</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333-92394</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7/15/2002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206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Description of Capital Stock</w:t>
              </w:r>
            </w:hyperlink>
          </w:p>
        </w:tc>
        <w:tc>
          <w:tcPr>
            <w:tcW w:w="820" w:type="dxa"/>
            <w:vAlign w:val="bottom"/>
            <w:tcBorders>
              <w:top w:val="single" w:sz="8" w:color="0000FF"/>
            </w:tcBorders>
            <w:gridSpan w:val="3"/>
          </w:tcPr>
          <w:p>
            <w:pPr>
              <w:spacing w:after="0"/>
              <w:rPr>
                <w:sz w:val="18"/>
                <w:szCs w:val="18"/>
                <w:color w:val="auto"/>
              </w:rPr>
            </w:pPr>
          </w:p>
        </w:tc>
        <w:tc>
          <w:tcPr>
            <w:tcW w:w="1740" w:type="dxa"/>
            <w:vAlign w:val="bottom"/>
            <w:gridSpan w:val="24"/>
          </w:tcPr>
          <w:p>
            <w:pPr>
              <w:spacing w:after="0"/>
              <w:rPr>
                <w:sz w:val="18"/>
                <w:szCs w:val="18"/>
                <w:color w:val="auto"/>
              </w:rPr>
            </w:pPr>
          </w:p>
        </w:tc>
        <w:tc>
          <w:tcPr>
            <w:tcW w:w="8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11/14/2019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4620" w:type="dxa"/>
            <w:vAlign w:val="bottom"/>
            <w:gridSpan w:val="35"/>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Indenture, dated as of May 26, 2021, by and between the</w:t>
              </w:r>
            </w:hyperlink>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5/26/2021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3360" w:type="dxa"/>
            <w:vAlign w:val="bottom"/>
            <w:tcBorders>
              <w:top w:val="single" w:sz="8" w:color="0000FF"/>
              <w:bottom w:val="single" w:sz="8" w:color="0000FF"/>
            </w:tcBorders>
            <w:gridSpan w:val="14"/>
          </w:tcPr>
          <w:p>
            <w:pPr>
              <w:spacing w:after="0" w:line="182" w:lineRule="exact"/>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Company and U.S. Bank National Association</w:t>
              </w:r>
            </w:hyperlink>
          </w:p>
        </w:tc>
        <w:tc>
          <w:tcPr>
            <w:tcW w:w="740" w:type="dxa"/>
            <w:vAlign w:val="bottom"/>
            <w:tcBorders>
              <w:top w:val="single" w:sz="8" w:color="0000FF"/>
            </w:tcBorders>
            <w:gridSpan w:val="11"/>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4620" w:type="dxa"/>
            <w:vAlign w:val="bottom"/>
            <w:gridSpan w:val="35"/>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First Supplemental Indenture, dated as of May 26, 2021, by</w:t>
              </w:r>
            </w:hyperlink>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5/26/2021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4280" w:type="dxa"/>
            <w:vAlign w:val="bottom"/>
            <w:tcBorders>
              <w:top w:val="single" w:sz="8" w:color="0000FF"/>
            </w:tcBorders>
            <w:gridSpan w:val="31"/>
          </w:tcPr>
          <w:p>
            <w:pPr>
              <w:spacing w:after="0" w:line="182"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and between the Company and U.S. Bank National</w:t>
              </w:r>
            </w:hyperlink>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86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8"/>
              </w:rPr>
            </w:pPr>
            <w:hyperlink r:id="rId73">
              <w:r>
                <w:rPr>
                  <w:rFonts w:ascii="Times New Roman" w:cs="Times New Roman" w:eastAsia="Times New Roman" w:hAnsi="Times New Roman"/>
                  <w:sz w:val="18"/>
                  <w:szCs w:val="18"/>
                  <w:color w:val="0000FF"/>
                  <w:w w:val="98"/>
                </w:rPr>
                <w:t>Association</w:t>
              </w:r>
            </w:hyperlink>
          </w:p>
        </w:tc>
        <w:tc>
          <w:tcPr>
            <w:tcW w:w="2820" w:type="dxa"/>
            <w:vAlign w:val="bottom"/>
            <w:tcBorders>
              <w:top w:val="single" w:sz="8" w:color="0000FF"/>
            </w:tcBorders>
            <w:gridSpan w:val="15"/>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4620" w:type="dxa"/>
            <w:vAlign w:val="bottom"/>
            <w:gridSpan w:val="35"/>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Second Supplemental Indenture, dated as of May 26, 2021,</w:t>
              </w:r>
            </w:hyperlink>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5/26/2021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4260" w:type="dxa"/>
            <w:vAlign w:val="bottom"/>
            <w:tcBorders>
              <w:top w:val="single" w:sz="8" w:color="0000FF"/>
            </w:tcBorders>
            <w:gridSpan w:val="30"/>
          </w:tcPr>
          <w:p>
            <w:pPr>
              <w:spacing w:after="0" w:line="182"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by and between the Company and U.S. Bank National</w:t>
              </w:r>
            </w:hyperlink>
          </w:p>
        </w:tc>
        <w:tc>
          <w:tcPr>
            <w:tcW w:w="1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86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8"/>
              </w:rPr>
            </w:pPr>
            <w:hyperlink r:id="rId74">
              <w:r>
                <w:rPr>
                  <w:rFonts w:ascii="Times New Roman" w:cs="Times New Roman" w:eastAsia="Times New Roman" w:hAnsi="Times New Roman"/>
                  <w:sz w:val="18"/>
                  <w:szCs w:val="18"/>
                  <w:color w:val="0000FF"/>
                  <w:w w:val="98"/>
                </w:rPr>
                <w:t>Association</w:t>
              </w:r>
            </w:hyperlink>
          </w:p>
        </w:tc>
        <w:tc>
          <w:tcPr>
            <w:tcW w:w="304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4"/>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4620" w:type="dxa"/>
            <w:vAlign w:val="bottom"/>
            <w:gridSpan w:val="35"/>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Third Supplemental Indenture, dated as of May 26, 2021, by</w:t>
              </w:r>
            </w:hyperlink>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5/26/2021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4360" w:type="dxa"/>
            <w:vAlign w:val="bottom"/>
            <w:tcBorders>
              <w:top w:val="single" w:sz="8" w:color="0000FF"/>
            </w:tcBorders>
            <w:gridSpan w:val="32"/>
          </w:tcPr>
          <w:p>
            <w:pPr>
              <w:spacing w:after="0" w:line="182"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and between the Company and U.S. Bank National</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86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8"/>
              </w:rPr>
            </w:pPr>
            <w:hyperlink r:id="rId75">
              <w:r>
                <w:rPr>
                  <w:rFonts w:ascii="Times New Roman" w:cs="Times New Roman" w:eastAsia="Times New Roman" w:hAnsi="Times New Roman"/>
                  <w:sz w:val="18"/>
                  <w:szCs w:val="18"/>
                  <w:color w:val="0000FF"/>
                  <w:w w:val="98"/>
                </w:rPr>
                <w:t>Association</w:t>
              </w:r>
            </w:hyperlink>
          </w:p>
        </w:tc>
        <w:tc>
          <w:tcPr>
            <w:tcW w:w="2820" w:type="dxa"/>
            <w:vAlign w:val="bottom"/>
            <w:tcBorders>
              <w:top w:val="single" w:sz="8" w:color="0000FF"/>
            </w:tcBorders>
            <w:gridSpan w:val="15"/>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4620" w:type="dxa"/>
            <w:vAlign w:val="bottom"/>
            <w:gridSpan w:val="35"/>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Skyworks Solutions, Inc. 2002 Employee Stock Purchase</w:t>
              </w:r>
            </w:hyperlink>
          </w:p>
        </w:tc>
        <w:tc>
          <w:tcPr>
            <w:tcW w:w="8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7/24/2020</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418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Plan, as Amended</w:t>
              </w:r>
            </w:hyperlink>
          </w:p>
        </w:tc>
        <w:tc>
          <w:tcPr>
            <w:tcW w:w="24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4620" w:type="dxa"/>
            <w:vAlign w:val="bottom"/>
            <w:gridSpan w:val="35"/>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Skyworks Solutions, Inc. Non-Qualified Employee Stock</w:t>
              </w:r>
            </w:hyperlink>
          </w:p>
        </w:tc>
        <w:tc>
          <w:tcPr>
            <w:tcW w:w="8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7/24/2020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416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Purchase Plan, as Amended</w:t>
              </w:r>
            </w:hyperlink>
          </w:p>
        </w:tc>
        <w:tc>
          <w:tcPr>
            <w:tcW w:w="26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4620" w:type="dxa"/>
            <w:vAlign w:val="bottom"/>
            <w:gridSpan w:val="35"/>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Skyworks Solutions, Inc. Amended and Restated 2005 Long-</w:t>
              </w:r>
            </w:hyperlink>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5/13/2013</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46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7"/>
              </w:rPr>
            </w:pPr>
            <w:hyperlink r:id="rId78">
              <w:r>
                <w:rPr>
                  <w:rFonts w:ascii="Times New Roman" w:cs="Times New Roman" w:eastAsia="Times New Roman" w:hAnsi="Times New Roman"/>
                  <w:sz w:val="18"/>
                  <w:szCs w:val="18"/>
                  <w:color w:val="0000FF"/>
                  <w:w w:val="97"/>
                </w:rPr>
                <w:t>Term Incentive Plan</w:t>
              </w:r>
            </w:hyperlink>
          </w:p>
        </w:tc>
        <w:tc>
          <w:tcPr>
            <w:tcW w:w="2960" w:type="dxa"/>
            <w:vAlign w:val="bottom"/>
            <w:tcBorders>
              <w:top w:val="single" w:sz="8" w:color="0000FF"/>
            </w:tcBorders>
            <w:gridSpan w:val="27"/>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4620" w:type="dxa"/>
            <w:vAlign w:val="bottom"/>
            <w:gridSpan w:val="35"/>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Form of Nonstatutory Stock Option Agreement under the</w:t>
              </w:r>
            </w:hyperlink>
          </w:p>
        </w:tc>
        <w:tc>
          <w:tcPr>
            <w:tcW w:w="8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10.B</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1/31/2013</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414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Company’s 2005 Long-Term Incentive Plan</w:t>
              </w:r>
            </w:hyperlink>
          </w:p>
        </w:tc>
        <w:tc>
          <w:tcPr>
            <w:tcW w:w="300" w:type="dxa"/>
            <w:vAlign w:val="bottom"/>
            <w:gridSpan w:val="8"/>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20" w:type="dxa"/>
            <w:vAlign w:val="bottom"/>
            <w:gridSpan w:val="9"/>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1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4620" w:type="dxa"/>
            <w:vAlign w:val="bottom"/>
            <w:gridSpan w:val="35"/>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Skyworks Solutions, Inc. Amended and Restated 2008</w:t>
              </w:r>
            </w:hyperlink>
          </w:p>
        </w:tc>
        <w:tc>
          <w:tcPr>
            <w:tcW w:w="8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5/4/2022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394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Director Long-Term Incentive Plan, as Amended</w:t>
              </w:r>
            </w:hyperlink>
          </w:p>
        </w:tc>
        <w:tc>
          <w:tcPr>
            <w:tcW w:w="80" w:type="dxa"/>
            <w:vAlign w:val="bottom"/>
          </w:tcPr>
          <w:p>
            <w:pPr>
              <w:spacing w:after="0"/>
              <w:rPr>
                <w:sz w:val="14"/>
                <w:szCs w:val="14"/>
                <w:color w:val="auto"/>
              </w:rPr>
            </w:pPr>
          </w:p>
        </w:tc>
        <w:tc>
          <w:tcPr>
            <w:tcW w:w="420" w:type="dxa"/>
            <w:vAlign w:val="bottom"/>
            <w:gridSpan w:val="10"/>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20" w:type="dxa"/>
            <w:vAlign w:val="bottom"/>
            <w:gridSpan w:val="9"/>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gridSpan w:val="1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4620" w:type="dxa"/>
            <w:vAlign w:val="bottom"/>
            <w:gridSpan w:val="35"/>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Form of Nonstatutory Stock Option Agreement under the</w:t>
              </w:r>
            </w:hyperlink>
          </w:p>
        </w:tc>
        <w:tc>
          <w:tcPr>
            <w:tcW w:w="8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10.OO</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5/7/2008</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3820" w:type="dxa"/>
            <w:vAlign w:val="bottom"/>
            <w:tcBorders>
              <w:top w:val="single" w:sz="8" w:color="0000FF"/>
              <w:bottom w:val="single" w:sz="8" w:color="0000FF"/>
            </w:tcBorders>
            <w:gridSpan w:val="20"/>
          </w:tcPr>
          <w:p>
            <w:pPr>
              <w:spacing w:after="0" w:line="169"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Company’s 2008 Director Long-Term Incentive Plan</w:t>
              </w:r>
            </w:hyperlink>
          </w:p>
        </w:tc>
        <w:tc>
          <w:tcPr>
            <w:tcW w:w="320" w:type="dxa"/>
            <w:vAlign w:val="bottom"/>
            <w:tcBorders>
              <w:top w:val="single" w:sz="8" w:color="0000FF"/>
            </w:tcBorders>
            <w:gridSpan w:val="6"/>
          </w:tcPr>
          <w:p>
            <w:pPr>
              <w:spacing w:after="0"/>
              <w:rPr>
                <w:sz w:val="14"/>
                <w:szCs w:val="14"/>
                <w:color w:val="auto"/>
              </w:rPr>
            </w:pPr>
          </w:p>
        </w:tc>
        <w:tc>
          <w:tcPr>
            <w:tcW w:w="300" w:type="dxa"/>
            <w:vAlign w:val="bottom"/>
            <w:gridSpan w:val="8"/>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w:t>
            </w:r>
          </w:p>
        </w:tc>
        <w:tc>
          <w:tcPr>
            <w:tcW w:w="4620" w:type="dxa"/>
            <w:vAlign w:val="bottom"/>
            <w:gridSpan w:val="35"/>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Form of Restricted Stock Unit Agreement under the</w:t>
              </w:r>
            </w:hyperlink>
          </w:p>
        </w:tc>
        <w:tc>
          <w:tcPr>
            <w:tcW w:w="8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5/4/2016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3740" w:type="dxa"/>
            <w:vAlign w:val="bottom"/>
            <w:tcBorders>
              <w:top w:val="single" w:sz="8" w:color="0000FF"/>
              <w:bottom w:val="single" w:sz="8" w:color="0000FF"/>
            </w:tcBorders>
            <w:gridSpan w:val="18"/>
          </w:tcPr>
          <w:p>
            <w:pPr>
              <w:spacing w:after="0" w:line="169" w:lineRule="exact"/>
              <w:rPr>
                <w:rFonts w:ascii="Times New Roman" w:cs="Times New Roman" w:eastAsia="Times New Roman" w:hAnsi="Times New Roman"/>
                <w:sz w:val="18"/>
                <w:szCs w:val="18"/>
                <w:color w:val="0000FF"/>
                <w:w w:val="97"/>
              </w:rPr>
            </w:pPr>
            <w:hyperlink r:id="rId82">
              <w:r>
                <w:rPr>
                  <w:rFonts w:ascii="Times New Roman" w:cs="Times New Roman" w:eastAsia="Times New Roman" w:hAnsi="Times New Roman"/>
                  <w:sz w:val="18"/>
                  <w:szCs w:val="18"/>
                  <w:color w:val="0000FF"/>
                  <w:w w:val="97"/>
                </w:rPr>
                <w:t>Company’s 2008 Director Long-Term Incentive Plan</w:t>
              </w:r>
            </w:hyperlink>
          </w:p>
        </w:tc>
        <w:tc>
          <w:tcPr>
            <w:tcW w:w="6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0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420" w:type="dxa"/>
            <w:vAlign w:val="bottom"/>
            <w:gridSpan w:val="10"/>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w:t>
            </w:r>
          </w:p>
        </w:tc>
        <w:tc>
          <w:tcPr>
            <w:tcW w:w="4620" w:type="dxa"/>
            <w:vAlign w:val="bottom"/>
            <w:gridSpan w:val="35"/>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Skyworks Solutions, Inc. Amended and Restated 2015 Long-</w:t>
              </w:r>
            </w:hyperlink>
          </w:p>
        </w:tc>
        <w:tc>
          <w:tcPr>
            <w:tcW w:w="8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7/30/2021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460" w:type="dxa"/>
            <w:vAlign w:val="bottom"/>
            <w:tcBorders>
              <w:top w:val="single" w:sz="8" w:color="0000FF"/>
              <w:bottom w:val="single" w:sz="8" w:color="0000FF"/>
            </w:tcBorders>
            <w:gridSpan w:val="6"/>
          </w:tcPr>
          <w:p>
            <w:pPr>
              <w:spacing w:after="0" w:line="182" w:lineRule="exact"/>
              <w:rPr>
                <w:rFonts w:ascii="Times New Roman" w:cs="Times New Roman" w:eastAsia="Times New Roman" w:hAnsi="Times New Roman"/>
                <w:sz w:val="18"/>
                <w:szCs w:val="18"/>
                <w:color w:val="0000FF"/>
                <w:w w:val="97"/>
              </w:rPr>
            </w:pPr>
            <w:hyperlink r:id="rId83">
              <w:r>
                <w:rPr>
                  <w:rFonts w:ascii="Times New Roman" w:cs="Times New Roman" w:eastAsia="Times New Roman" w:hAnsi="Times New Roman"/>
                  <w:sz w:val="18"/>
                  <w:szCs w:val="18"/>
                  <w:color w:val="0000FF"/>
                  <w:w w:val="97"/>
                </w:rPr>
                <w:t>Term Incentive Plan</w:t>
              </w:r>
            </w:hyperlink>
          </w:p>
        </w:tc>
        <w:tc>
          <w:tcPr>
            <w:tcW w:w="2960" w:type="dxa"/>
            <w:vAlign w:val="bottom"/>
            <w:tcBorders>
              <w:top w:val="single" w:sz="8" w:color="0000FF"/>
            </w:tcBorders>
            <w:gridSpan w:val="27"/>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10.9*</w:t>
            </w:r>
          </w:p>
        </w:tc>
        <w:tc>
          <w:tcPr>
            <w:tcW w:w="4620" w:type="dxa"/>
            <w:vAlign w:val="bottom"/>
            <w:gridSpan w:val="35"/>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Form of Nonstatutory Stock Option Agreement under the</w:t>
              </w:r>
            </w:hyperlink>
          </w:p>
        </w:tc>
        <w:tc>
          <w:tcPr>
            <w:tcW w:w="8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8/5/2015</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414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Company’s 2015 Long-Term Incentive Plan</w:t>
              </w:r>
            </w:hyperlink>
          </w:p>
        </w:tc>
        <w:tc>
          <w:tcPr>
            <w:tcW w:w="300" w:type="dxa"/>
            <w:vAlign w:val="bottom"/>
            <w:gridSpan w:val="8"/>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20" w:type="dxa"/>
            <w:vAlign w:val="bottom"/>
            <w:gridSpan w:val="9"/>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gridSpan w:val="1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4620" w:type="dxa"/>
            <w:vAlign w:val="bottom"/>
            <w:gridSpan w:val="35"/>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Form of Performance Share Agreement under the Company’s</w:t>
              </w:r>
            </w:hyperlink>
          </w:p>
        </w:tc>
        <w:tc>
          <w:tcPr>
            <w:tcW w:w="8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2/4/2022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4020" w:type="dxa"/>
            <w:vAlign w:val="bottom"/>
            <w:tcBorders>
              <w:top w:val="single" w:sz="8" w:color="0000FF"/>
              <w:bottom w:val="single" w:sz="8" w:color="0000FF"/>
            </w:tcBorders>
            <w:gridSpan w:val="24"/>
          </w:tcPr>
          <w:p>
            <w:pPr>
              <w:spacing w:after="0" w:line="169"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Amended and Restated 2015 Long-Term Incentive Plan</w:t>
              </w:r>
            </w:hyperlink>
          </w:p>
        </w:tc>
        <w:tc>
          <w:tcPr>
            <w:tcW w:w="420" w:type="dxa"/>
            <w:vAlign w:val="bottom"/>
            <w:tcBorders>
              <w:top w:val="single" w:sz="8" w:color="0000FF"/>
            </w:tcBorders>
            <w:gridSpan w:val="10"/>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10.11*</w:t>
            </w:r>
          </w:p>
        </w:tc>
        <w:tc>
          <w:tcPr>
            <w:tcW w:w="4620" w:type="dxa"/>
            <w:vAlign w:val="bottom"/>
            <w:gridSpan w:val="35"/>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Form of Restricted Stock Unit Agreement under the</w:t>
              </w:r>
            </w:hyperlink>
          </w:p>
        </w:tc>
        <w:tc>
          <w:tcPr>
            <w:tcW w:w="8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2/4/2022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3740" w:type="dxa"/>
            <w:vAlign w:val="bottom"/>
            <w:tcBorders>
              <w:top w:val="single" w:sz="8" w:color="0000FF"/>
              <w:bottom w:val="single" w:sz="8" w:color="0000FF"/>
            </w:tcBorders>
            <w:gridSpan w:val="18"/>
          </w:tcPr>
          <w:p>
            <w:pPr>
              <w:spacing w:after="0" w:line="169" w:lineRule="exact"/>
              <w:rPr>
                <w:rFonts w:ascii="Times New Roman" w:cs="Times New Roman" w:eastAsia="Times New Roman" w:hAnsi="Times New Roman"/>
                <w:sz w:val="18"/>
                <w:szCs w:val="18"/>
                <w:color w:val="0000FF"/>
                <w:w w:val="97"/>
              </w:rPr>
            </w:pPr>
            <w:hyperlink r:id="rId86">
              <w:r>
                <w:rPr>
                  <w:rFonts w:ascii="Times New Roman" w:cs="Times New Roman" w:eastAsia="Times New Roman" w:hAnsi="Times New Roman"/>
                  <w:sz w:val="18"/>
                  <w:szCs w:val="18"/>
                  <w:color w:val="0000FF"/>
                  <w:w w:val="97"/>
                </w:rPr>
                <w:t>Company’s Amended and Restated 2015 Long-Term</w:t>
              </w:r>
            </w:hyperlink>
          </w:p>
        </w:tc>
        <w:tc>
          <w:tcPr>
            <w:tcW w:w="60" w:type="dxa"/>
            <w:vAlign w:val="bottom"/>
            <w:tcBorders>
              <w:bottom w:val="single" w:sz="8" w:color="0000FF"/>
            </w:tcBorders>
          </w:tcPr>
          <w:p>
            <w:pPr>
              <w:spacing w:after="0"/>
              <w:rPr>
                <w:sz w:val="14"/>
                <w:szCs w:val="14"/>
                <w:color w:val="auto"/>
              </w:rPr>
            </w:pPr>
          </w:p>
        </w:tc>
        <w:tc>
          <w:tcPr>
            <w:tcW w:w="120" w:type="dxa"/>
            <w:vAlign w:val="bottom"/>
            <w:gridSpan w:val="3"/>
          </w:tcPr>
          <w:p>
            <w:pPr>
              <w:spacing w:after="0"/>
              <w:rPr>
                <w:sz w:val="14"/>
                <w:szCs w:val="14"/>
                <w:color w:val="auto"/>
              </w:rPr>
            </w:pPr>
          </w:p>
        </w:tc>
        <w:tc>
          <w:tcPr>
            <w:tcW w:w="700" w:type="dxa"/>
            <w:vAlign w:val="bottom"/>
            <w:gridSpan w:val="13"/>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40" w:type="dxa"/>
            <w:vAlign w:val="bottom"/>
            <w:tcBorders>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86">
              <w:r>
                <w:rPr>
                  <w:rFonts w:ascii="Times New Roman" w:cs="Times New Roman" w:eastAsia="Times New Roman" w:hAnsi="Times New Roman"/>
                  <w:sz w:val="18"/>
                  <w:szCs w:val="18"/>
                  <w:color w:val="0000FF"/>
                  <w:w w:val="98"/>
                </w:rPr>
                <w:t>Incentive Plan</w:t>
              </w:r>
            </w:hyperlink>
          </w:p>
        </w:tc>
        <w:tc>
          <w:tcPr>
            <w:tcW w:w="2760" w:type="dxa"/>
            <w:vAlign w:val="bottom"/>
            <w:gridSpan w:val="16"/>
          </w:tcPr>
          <w:p>
            <w:pPr>
              <w:spacing w:after="0"/>
              <w:rPr>
                <w:sz w:val="13"/>
                <w:szCs w:val="13"/>
                <w:color w:val="auto"/>
              </w:rPr>
            </w:pPr>
          </w:p>
        </w:tc>
        <w:tc>
          <w:tcPr>
            <w:tcW w:w="120" w:type="dxa"/>
            <w:vAlign w:val="bottom"/>
            <w:gridSpan w:val="3"/>
          </w:tcPr>
          <w:p>
            <w:pPr>
              <w:spacing w:after="0"/>
              <w:rPr>
                <w:sz w:val="13"/>
                <w:szCs w:val="13"/>
                <w:color w:val="auto"/>
              </w:rPr>
            </w:pPr>
          </w:p>
        </w:tc>
        <w:tc>
          <w:tcPr>
            <w:tcW w:w="700" w:type="dxa"/>
            <w:vAlign w:val="bottom"/>
            <w:gridSpan w:val="13"/>
          </w:tcPr>
          <w:p>
            <w:pPr>
              <w:spacing w:after="0"/>
              <w:rPr>
                <w:sz w:val="13"/>
                <w:szCs w:val="13"/>
                <w:color w:val="auto"/>
              </w:rPr>
            </w:pPr>
          </w:p>
        </w:tc>
        <w:tc>
          <w:tcPr>
            <w:tcW w:w="8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30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8"/>
              </w:rPr>
            </w:pPr>
            <w:hyperlink r:id="rId87">
              <w:r>
                <w:rPr>
                  <w:rFonts w:ascii="Times New Roman" w:cs="Times New Roman" w:eastAsia="Times New Roman" w:hAnsi="Times New Roman"/>
                  <w:sz w:val="18"/>
                  <w:szCs w:val="18"/>
                  <w:color w:val="0000FF"/>
                  <w:w w:val="98"/>
                </w:rPr>
                <w:t>Fiscal Year 2023 Executive Incentive Plan</w:t>
              </w:r>
            </w:hyperlink>
          </w:p>
        </w:tc>
        <w:tc>
          <w:tcPr>
            <w:tcW w:w="1560" w:type="dxa"/>
            <w:vAlign w:val="bottom"/>
            <w:gridSpan w:val="23"/>
          </w:tcPr>
          <w:p>
            <w:pPr>
              <w:spacing w:after="0"/>
              <w:rPr>
                <w:sz w:val="18"/>
                <w:szCs w:val="18"/>
                <w:color w:val="auto"/>
              </w:rPr>
            </w:pPr>
          </w:p>
        </w:tc>
        <w:tc>
          <w:tcPr>
            <w:tcW w:w="8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2/7/2023</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4620" w:type="dxa"/>
            <w:vAlign w:val="bottom"/>
            <w:gridSpan w:val="35"/>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Skyworks Solutions, Inc. Cash Compensation Plan for</w:t>
              </w:r>
            </w:hyperlink>
          </w:p>
        </w:tc>
        <w:tc>
          <w:tcPr>
            <w:tcW w:w="84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001-05560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5/4/2022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8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88">
              <w:r>
                <w:rPr>
                  <w:rFonts w:ascii="Times New Roman" w:cs="Times New Roman" w:eastAsia="Times New Roman" w:hAnsi="Times New Roman"/>
                  <w:sz w:val="18"/>
                  <w:szCs w:val="18"/>
                  <w:color w:val="0000FF"/>
                  <w:w w:val="98"/>
                </w:rPr>
                <w:t>Directors</w:t>
              </w:r>
            </w:hyperlink>
          </w:p>
        </w:tc>
        <w:tc>
          <w:tcPr>
            <w:tcW w:w="3240" w:type="dxa"/>
            <w:vAlign w:val="bottom"/>
            <w:tcBorders>
              <w:top w:val="single" w:sz="8" w:color="0000FF"/>
            </w:tcBorders>
            <w:gridSpan w:val="21"/>
          </w:tcPr>
          <w:p>
            <w:pPr>
              <w:spacing w:after="0"/>
              <w:rPr>
                <w:sz w:val="14"/>
                <w:szCs w:val="14"/>
                <w:color w:val="auto"/>
              </w:rPr>
            </w:pPr>
          </w:p>
        </w:tc>
        <w:tc>
          <w:tcPr>
            <w:tcW w:w="700" w:type="dxa"/>
            <w:vAlign w:val="bottom"/>
            <w:gridSpan w:val="13"/>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8"/>
        </w:trPr>
        <w:tc>
          <w:tcPr>
            <w:tcW w:w="1360" w:type="dxa"/>
            <w:vAlign w:val="bottom"/>
          </w:tcPr>
          <w:p>
            <w:pPr>
              <w:spacing w:after="0"/>
              <w:rPr>
                <w:sz w:val="24"/>
                <w:szCs w:val="24"/>
                <w:color w:val="auto"/>
              </w:rPr>
            </w:pPr>
          </w:p>
        </w:tc>
        <w:tc>
          <w:tcPr>
            <w:tcW w:w="4360" w:type="dxa"/>
            <w:vAlign w:val="bottom"/>
            <w:gridSpan w:val="32"/>
          </w:tcPr>
          <w:p>
            <w:pPr>
              <w:ind w:left="4180"/>
              <w:spacing w:after="0"/>
              <w:rPr>
                <w:sz w:val="20"/>
                <w:szCs w:val="20"/>
                <w:color w:val="auto"/>
              </w:rPr>
            </w:pPr>
            <w:r>
              <w:rPr>
                <w:rFonts w:ascii="Times New Roman" w:cs="Times New Roman" w:eastAsia="Times New Roman" w:hAnsi="Times New Roman"/>
                <w:sz w:val="18"/>
                <w:szCs w:val="18"/>
                <w:color w:val="auto"/>
                <w:w w:val="88"/>
              </w:rPr>
              <w:t>43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3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3" w:name="page44"/>
    <w:bookmarkEnd w:id="43"/>
    <w:p>
      <w:pPr>
        <w:spacing w:after="0"/>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91">
        <w:r>
          <w:rPr>
            <w:rFonts w:ascii="Times New Roman" w:cs="Times New Roman" w:eastAsia="Times New Roman" w:hAnsi="Times New Roman"/>
            <w:sz w:val="18"/>
            <w:szCs w:val="18"/>
            <w:u w:val="single" w:color="auto"/>
            <w:color w:val="0000FF"/>
          </w:rPr>
          <w:t>Second Amended and Restated Change in Control /</w:t>
        </w:r>
      </w:hyperlink>
    </w:p>
    <w:p>
      <w:pPr>
        <w:spacing w:after="0" w:line="2" w:lineRule="exact"/>
        <w:rPr>
          <w:sz w:val="20"/>
          <w:szCs w:val="20"/>
          <w:color w:val="auto"/>
        </w:rPr>
      </w:pPr>
    </w:p>
    <w:p>
      <w:pPr>
        <w:ind w:left="940" w:right="380"/>
        <w:spacing w:after="0" w:line="226" w:lineRule="auto"/>
        <w:rPr>
          <w:rFonts w:ascii="Times New Roman" w:cs="Times New Roman" w:eastAsia="Times New Roman" w:hAnsi="Times New Roman"/>
          <w:sz w:val="18"/>
          <w:szCs w:val="18"/>
          <w:u w:val="single" w:color="auto"/>
          <w:color w:val="0000FF"/>
        </w:rPr>
      </w:pPr>
      <w:hyperlink r:id="rId91">
        <w:r>
          <w:rPr>
            <w:rFonts w:ascii="Times New Roman" w:cs="Times New Roman" w:eastAsia="Times New Roman" w:hAnsi="Times New Roman"/>
            <w:sz w:val="18"/>
            <w:szCs w:val="18"/>
            <w:u w:val="single" w:color="auto"/>
            <w:color w:val="0000FF"/>
          </w:rPr>
          <w:t>Severance Agreement, dated May 10, 2023, between the</w:t>
        </w:r>
      </w:hyperlink>
      <w:r>
        <w:rPr>
          <w:rFonts w:ascii="Times New Roman" w:cs="Times New Roman" w:eastAsia="Times New Roman" w:hAnsi="Times New Roman"/>
          <w:sz w:val="18"/>
          <w:szCs w:val="18"/>
          <w:u w:val="single" w:color="auto"/>
          <w:color w:val="0000FF"/>
        </w:rPr>
        <w:t xml:space="preserve"> </w:t>
      </w:r>
      <w:hyperlink r:id="rId91">
        <w:r>
          <w:rPr>
            <w:rFonts w:ascii="Times New Roman" w:cs="Times New Roman" w:eastAsia="Times New Roman" w:hAnsi="Times New Roman"/>
            <w:sz w:val="18"/>
            <w:szCs w:val="18"/>
            <w:u w:val="single" w:color="auto"/>
            <w:color w:val="0000FF"/>
          </w:rPr>
          <w:t>Company and Liam Griffin</w:t>
        </w:r>
      </w:hyperlink>
    </w:p>
    <w:p>
      <w:pPr>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92">
        <w:r>
          <w:rPr>
            <w:rFonts w:ascii="Times New Roman" w:cs="Times New Roman" w:eastAsia="Times New Roman" w:hAnsi="Times New Roman"/>
            <w:sz w:val="17"/>
            <w:szCs w:val="17"/>
            <w:u w:val="single" w:color="auto"/>
            <w:color w:val="0000FF"/>
          </w:rPr>
          <w:t>Amended and Restated Change in Control / Severance</w:t>
        </w:r>
      </w:hyperlink>
    </w:p>
    <w:p>
      <w:pPr>
        <w:spacing w:after="0" w:line="1" w:lineRule="exact"/>
        <w:rPr>
          <w:sz w:val="20"/>
          <w:szCs w:val="20"/>
          <w:color w:val="auto"/>
        </w:rPr>
      </w:pPr>
    </w:p>
    <w:p>
      <w:pPr>
        <w:ind w:left="940" w:right="100"/>
        <w:spacing w:after="0" w:line="226" w:lineRule="auto"/>
        <w:rPr>
          <w:rFonts w:ascii="Times New Roman" w:cs="Times New Roman" w:eastAsia="Times New Roman" w:hAnsi="Times New Roman"/>
          <w:sz w:val="18"/>
          <w:szCs w:val="18"/>
          <w:u w:val="single" w:color="auto"/>
          <w:color w:val="0000FF"/>
        </w:rPr>
      </w:pPr>
      <w:hyperlink r:id="rId92">
        <w:r>
          <w:rPr>
            <w:rFonts w:ascii="Times New Roman" w:cs="Times New Roman" w:eastAsia="Times New Roman" w:hAnsi="Times New Roman"/>
            <w:sz w:val="18"/>
            <w:szCs w:val="18"/>
            <w:u w:val="single" w:color="auto"/>
            <w:color w:val="0000FF"/>
          </w:rPr>
          <w:t>Agreement, dated May 10, 2023, between the Company and</w:t>
        </w:r>
      </w:hyperlink>
      <w:r>
        <w:rPr>
          <w:rFonts w:ascii="Times New Roman" w:cs="Times New Roman" w:eastAsia="Times New Roman" w:hAnsi="Times New Roman"/>
          <w:sz w:val="18"/>
          <w:szCs w:val="18"/>
          <w:u w:val="single" w:color="auto"/>
          <w:color w:val="0000FF"/>
        </w:rPr>
        <w:t xml:space="preserve"> </w:t>
      </w:r>
      <w:hyperlink r:id="rId92">
        <w:r>
          <w:rPr>
            <w:rFonts w:ascii="Times New Roman" w:cs="Times New Roman" w:eastAsia="Times New Roman" w:hAnsi="Times New Roman"/>
            <w:sz w:val="18"/>
            <w:szCs w:val="18"/>
            <w:u w:val="single" w:color="auto"/>
            <w:color w:val="0000FF"/>
          </w:rPr>
          <w:t>Kris Sennesael</w:t>
        </w:r>
      </w:hyperlink>
    </w:p>
    <w:p>
      <w:pPr>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93">
        <w:r>
          <w:rPr>
            <w:rFonts w:ascii="Times New Roman" w:cs="Times New Roman" w:eastAsia="Times New Roman" w:hAnsi="Times New Roman"/>
            <w:sz w:val="17"/>
            <w:szCs w:val="17"/>
            <w:u w:val="single" w:color="auto"/>
            <w:color w:val="0000FF"/>
          </w:rPr>
          <w:t>Amended and Restated Change in Control / Severance</w:t>
        </w:r>
      </w:hyperlink>
    </w:p>
    <w:p>
      <w:pPr>
        <w:spacing w:after="0" w:line="1" w:lineRule="exact"/>
        <w:rPr>
          <w:sz w:val="20"/>
          <w:szCs w:val="20"/>
          <w:color w:val="auto"/>
        </w:rPr>
      </w:pPr>
    </w:p>
    <w:p>
      <w:pPr>
        <w:ind w:left="940" w:right="100"/>
        <w:spacing w:after="0" w:line="226" w:lineRule="auto"/>
        <w:rPr>
          <w:rFonts w:ascii="Times New Roman" w:cs="Times New Roman" w:eastAsia="Times New Roman" w:hAnsi="Times New Roman"/>
          <w:sz w:val="18"/>
          <w:szCs w:val="18"/>
          <w:u w:val="single" w:color="auto"/>
          <w:color w:val="0000FF"/>
        </w:rPr>
      </w:pPr>
      <w:hyperlink r:id="rId93">
        <w:r>
          <w:rPr>
            <w:rFonts w:ascii="Times New Roman" w:cs="Times New Roman" w:eastAsia="Times New Roman" w:hAnsi="Times New Roman"/>
            <w:sz w:val="18"/>
            <w:szCs w:val="18"/>
            <w:u w:val="single" w:color="auto"/>
            <w:color w:val="0000FF"/>
          </w:rPr>
          <w:t>Agreement, dated May 10, 2023, between the Company and</w:t>
        </w:r>
      </w:hyperlink>
      <w:r>
        <w:rPr>
          <w:rFonts w:ascii="Times New Roman" w:cs="Times New Roman" w:eastAsia="Times New Roman" w:hAnsi="Times New Roman"/>
          <w:sz w:val="18"/>
          <w:szCs w:val="18"/>
          <w:u w:val="single" w:color="auto"/>
          <w:color w:val="0000FF"/>
        </w:rPr>
        <w:t xml:space="preserve"> </w:t>
      </w:r>
      <w:hyperlink r:id="rId93">
        <w:r>
          <w:rPr>
            <w:rFonts w:ascii="Times New Roman" w:cs="Times New Roman" w:eastAsia="Times New Roman" w:hAnsi="Times New Roman"/>
            <w:sz w:val="18"/>
            <w:szCs w:val="18"/>
            <w:u w:val="single" w:color="auto"/>
            <w:color w:val="0000FF"/>
          </w:rPr>
          <w:t>Robert J. Terry</w:t>
        </w:r>
      </w:hyperlink>
    </w:p>
    <w:p>
      <w:pPr>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94">
        <w:r>
          <w:rPr>
            <w:rFonts w:ascii="Times New Roman" w:cs="Times New Roman" w:eastAsia="Times New Roman" w:hAnsi="Times New Roman"/>
            <w:sz w:val="17"/>
            <w:szCs w:val="17"/>
            <w:u w:val="single" w:color="auto"/>
            <w:color w:val="0000FF"/>
          </w:rPr>
          <w:t>Amended and Restated Change in Control / Severance</w:t>
        </w:r>
      </w:hyperlink>
    </w:p>
    <w:p>
      <w:pPr>
        <w:spacing w:after="0" w:line="1" w:lineRule="exact"/>
        <w:rPr>
          <w:sz w:val="20"/>
          <w:szCs w:val="20"/>
          <w:color w:val="auto"/>
        </w:rPr>
      </w:pPr>
    </w:p>
    <w:p>
      <w:pPr>
        <w:ind w:left="940" w:right="100"/>
        <w:spacing w:after="0" w:line="226" w:lineRule="auto"/>
        <w:rPr>
          <w:rFonts w:ascii="Times New Roman" w:cs="Times New Roman" w:eastAsia="Times New Roman" w:hAnsi="Times New Roman"/>
          <w:sz w:val="18"/>
          <w:szCs w:val="18"/>
          <w:u w:val="single" w:color="auto"/>
          <w:color w:val="0000FF"/>
        </w:rPr>
      </w:pPr>
      <w:hyperlink r:id="rId94">
        <w:r>
          <w:rPr>
            <w:rFonts w:ascii="Times New Roman" w:cs="Times New Roman" w:eastAsia="Times New Roman" w:hAnsi="Times New Roman"/>
            <w:sz w:val="18"/>
            <w:szCs w:val="18"/>
            <w:u w:val="single" w:color="auto"/>
            <w:color w:val="0000FF"/>
          </w:rPr>
          <w:t>Agreement, dated May 10, 2023, between the Company and</w:t>
        </w:r>
      </w:hyperlink>
      <w:r>
        <w:rPr>
          <w:rFonts w:ascii="Times New Roman" w:cs="Times New Roman" w:eastAsia="Times New Roman" w:hAnsi="Times New Roman"/>
          <w:sz w:val="18"/>
          <w:szCs w:val="18"/>
          <w:u w:val="single" w:color="auto"/>
          <w:color w:val="0000FF"/>
        </w:rPr>
        <w:t xml:space="preserve"> </w:t>
      </w:r>
      <w:hyperlink r:id="rId94">
        <w:r>
          <w:rPr>
            <w:rFonts w:ascii="Times New Roman" w:cs="Times New Roman" w:eastAsia="Times New Roman" w:hAnsi="Times New Roman"/>
            <w:sz w:val="18"/>
            <w:szCs w:val="18"/>
            <w:u w:val="single" w:color="auto"/>
            <w:color w:val="0000FF"/>
          </w:rPr>
          <w:t>Carlos S. Bori</w:t>
        </w:r>
      </w:hyperlink>
    </w:p>
    <w:p>
      <w:pPr>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95">
        <w:r>
          <w:rPr>
            <w:rFonts w:ascii="Times New Roman" w:cs="Times New Roman" w:eastAsia="Times New Roman" w:hAnsi="Times New Roman"/>
            <w:sz w:val="17"/>
            <w:szCs w:val="17"/>
            <w:u w:val="single" w:color="auto"/>
            <w:color w:val="0000FF"/>
          </w:rPr>
          <w:t>Amended and Restated Change in Control / Severance</w:t>
        </w:r>
      </w:hyperlink>
    </w:p>
    <w:p>
      <w:pPr>
        <w:spacing w:after="0" w:line="1" w:lineRule="exact"/>
        <w:rPr>
          <w:sz w:val="20"/>
          <w:szCs w:val="20"/>
          <w:color w:val="auto"/>
        </w:rPr>
      </w:pPr>
    </w:p>
    <w:p>
      <w:pPr>
        <w:ind w:left="940" w:right="100"/>
        <w:spacing w:after="0" w:line="226" w:lineRule="auto"/>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Agreement, dated May 10, 2023, between the Company and</w:t>
        </w:r>
      </w:hyperlink>
      <w:r>
        <w:rPr>
          <w:rFonts w:ascii="Times New Roman" w:cs="Times New Roman" w:eastAsia="Times New Roman" w:hAnsi="Times New Roman"/>
          <w:sz w:val="18"/>
          <w:szCs w:val="18"/>
          <w:u w:val="single" w:color="auto"/>
          <w:color w:val="0000FF"/>
        </w:rPr>
        <w:t xml:space="preserve"> </w:t>
      </w:r>
      <w:hyperlink r:id="rId95">
        <w:r>
          <w:rPr>
            <w:rFonts w:ascii="Times New Roman" w:cs="Times New Roman" w:eastAsia="Times New Roman" w:hAnsi="Times New Roman"/>
            <w:sz w:val="18"/>
            <w:szCs w:val="18"/>
            <w:u w:val="single" w:color="auto"/>
            <w:color w:val="0000FF"/>
          </w:rPr>
          <w:t>Kari A. Durham</w:t>
        </w:r>
      </w:hyperlink>
    </w:p>
    <w:p>
      <w:pPr>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96">
        <w:r>
          <w:rPr>
            <w:rFonts w:ascii="Times New Roman" w:cs="Times New Roman" w:eastAsia="Times New Roman" w:hAnsi="Times New Roman"/>
            <w:sz w:val="17"/>
            <w:szCs w:val="17"/>
            <w:u w:val="single" w:color="auto"/>
            <w:color w:val="0000FF"/>
          </w:rPr>
          <w:t>Amended and Restated Change in Control / Severance</w:t>
        </w:r>
      </w:hyperlink>
    </w:p>
    <w:p>
      <w:pPr>
        <w:spacing w:after="0" w:line="1" w:lineRule="exact"/>
        <w:rPr>
          <w:sz w:val="20"/>
          <w:szCs w:val="20"/>
          <w:color w:val="auto"/>
        </w:rPr>
      </w:pPr>
    </w:p>
    <w:p>
      <w:pPr>
        <w:ind w:left="940" w:right="100"/>
        <w:spacing w:after="0" w:line="226" w:lineRule="auto"/>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Agreement, dated May 10, 2023, between the Company and</w:t>
        </w:r>
      </w:hyperlink>
      <w:r>
        <w:rPr>
          <w:rFonts w:ascii="Times New Roman" w:cs="Times New Roman" w:eastAsia="Times New Roman" w:hAnsi="Times New Roman"/>
          <w:sz w:val="18"/>
          <w:szCs w:val="18"/>
          <w:u w:val="single" w:color="auto"/>
          <w:color w:val="0000FF"/>
        </w:rPr>
        <w:t xml:space="preserve"> </w:t>
      </w:r>
      <w:hyperlink r:id="rId96">
        <w:r>
          <w:rPr>
            <w:rFonts w:ascii="Times New Roman" w:cs="Times New Roman" w:eastAsia="Times New Roman" w:hAnsi="Times New Roman"/>
            <w:sz w:val="18"/>
            <w:szCs w:val="18"/>
            <w:u w:val="single" w:color="auto"/>
            <w:color w:val="0000FF"/>
          </w:rPr>
          <w:t>Reza Kasnavi</w:t>
        </w:r>
      </w:hyperlink>
    </w:p>
    <w:p>
      <w:pPr>
        <w:ind w:left="940" w:right="80" w:hanging="888"/>
        <w:spacing w:after="0" w:line="247"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97">
        <w:r>
          <w:rPr>
            <w:rFonts w:ascii="Times New Roman" w:cs="Times New Roman" w:eastAsia="Times New Roman" w:hAnsi="Times New Roman"/>
            <w:sz w:val="18"/>
            <w:szCs w:val="18"/>
            <w:u w:val="single" w:color="auto"/>
            <w:color w:val="0000FF"/>
          </w:rPr>
          <w:t>Debt Commitment Letter, dated as of April 22, 2021, by and</w:t>
        </w:r>
      </w:hyperlink>
      <w:r>
        <w:rPr>
          <w:rFonts w:ascii="Times New Roman" w:cs="Times New Roman" w:eastAsia="Times New Roman" w:hAnsi="Times New Roman"/>
          <w:sz w:val="18"/>
          <w:szCs w:val="18"/>
          <w:u w:val="single" w:color="auto"/>
          <w:color w:val="0000FF"/>
        </w:rPr>
        <w:t xml:space="preserve"> </w:t>
      </w:r>
      <w:hyperlink r:id="rId97">
        <w:r>
          <w:rPr>
            <w:rFonts w:ascii="Times New Roman" w:cs="Times New Roman" w:eastAsia="Times New Roman" w:hAnsi="Times New Roman"/>
            <w:sz w:val="18"/>
            <w:szCs w:val="18"/>
            <w:u w:val="single" w:color="auto"/>
            <w:color w:val="0000FF"/>
          </w:rPr>
          <w:t>between Skyworks Solutions, Inc., and JPMorgan Chase</w:t>
        </w:r>
      </w:hyperlink>
      <w:r>
        <w:rPr>
          <w:rFonts w:ascii="Times New Roman" w:cs="Times New Roman" w:eastAsia="Times New Roman" w:hAnsi="Times New Roman"/>
          <w:sz w:val="18"/>
          <w:szCs w:val="18"/>
          <w:u w:val="single" w:color="auto"/>
          <w:color w:val="0000FF"/>
        </w:rPr>
        <w:t xml:space="preserve"> </w:t>
      </w:r>
      <w:hyperlink r:id="rId97">
        <w:r>
          <w:rPr>
            <w:rFonts w:ascii="Times New Roman" w:cs="Times New Roman" w:eastAsia="Times New Roman" w:hAnsi="Times New Roman"/>
            <w:sz w:val="18"/>
            <w:szCs w:val="18"/>
            <w:u w:val="single" w:color="auto"/>
            <w:color w:val="0000FF"/>
          </w:rPr>
          <w:t>Bank, N.A</w:t>
        </w:r>
      </w:hyperlink>
    </w:p>
    <w:p>
      <w:pPr>
        <w:spacing w:after="0" w:line="18" w:lineRule="exact"/>
        <w:rPr>
          <w:rFonts w:ascii="Times New Roman" w:cs="Times New Roman" w:eastAsia="Times New Roman" w:hAnsi="Times New Roman"/>
          <w:sz w:val="18"/>
          <w:szCs w:val="18"/>
          <w:u w:val="single" w:color="auto"/>
          <w:color w:val="0000FF"/>
        </w:rPr>
      </w:pPr>
    </w:p>
    <w:p>
      <w:pPr>
        <w:ind w:left="940" w:right="80" w:hanging="930"/>
        <w:spacing w:after="0" w:line="250"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98">
        <w:r>
          <w:rPr>
            <w:rFonts w:ascii="Times New Roman" w:cs="Times New Roman" w:eastAsia="Times New Roman" w:hAnsi="Times New Roman"/>
            <w:sz w:val="18"/>
            <w:szCs w:val="18"/>
            <w:u w:val="single" w:color="auto"/>
            <w:color w:val="0000FF"/>
          </w:rPr>
          <w:t>Term Credit Agreement, dated as of May 21, 2021, among</w:t>
        </w:r>
      </w:hyperlink>
      <w:r>
        <w:rPr>
          <w:rFonts w:ascii="Times New Roman" w:cs="Times New Roman" w:eastAsia="Times New Roman" w:hAnsi="Times New Roman"/>
          <w:sz w:val="18"/>
          <w:szCs w:val="18"/>
          <w:u w:val="single" w:color="auto"/>
          <w:color w:val="0000FF"/>
        </w:rPr>
        <w:t xml:space="preserve"> </w:t>
      </w:r>
      <w:hyperlink r:id="rId98">
        <w:r>
          <w:rPr>
            <w:rFonts w:ascii="Times New Roman" w:cs="Times New Roman" w:eastAsia="Times New Roman" w:hAnsi="Times New Roman"/>
            <w:sz w:val="18"/>
            <w:szCs w:val="18"/>
            <w:u w:val="single" w:color="auto"/>
            <w:color w:val="0000FF"/>
          </w:rPr>
          <w:t>the Company, the lenders party thereto and JPMorgan Chase</w:t>
        </w:r>
      </w:hyperlink>
      <w:r>
        <w:rPr>
          <w:rFonts w:ascii="Times New Roman" w:cs="Times New Roman" w:eastAsia="Times New Roman" w:hAnsi="Times New Roman"/>
          <w:sz w:val="18"/>
          <w:szCs w:val="18"/>
          <w:u w:val="single" w:color="auto"/>
          <w:color w:val="0000FF"/>
        </w:rPr>
        <w:t xml:space="preserve"> </w:t>
      </w:r>
      <w:hyperlink r:id="rId98">
        <w:r>
          <w:rPr>
            <w:rFonts w:ascii="Times New Roman" w:cs="Times New Roman" w:eastAsia="Times New Roman" w:hAnsi="Times New Roman"/>
            <w:sz w:val="18"/>
            <w:szCs w:val="18"/>
            <w:u w:val="single" w:color="auto"/>
            <w:color w:val="0000FF"/>
          </w:rPr>
          <w:t>Bank, N.A., as the administrative agent</w:t>
        </w:r>
      </w:hyperlink>
    </w:p>
    <w:p>
      <w:pPr>
        <w:spacing w:after="0" w:line="15" w:lineRule="exact"/>
        <w:rPr>
          <w:rFonts w:ascii="Times New Roman" w:cs="Times New Roman" w:eastAsia="Times New Roman" w:hAnsi="Times New Roman"/>
          <w:sz w:val="18"/>
          <w:szCs w:val="18"/>
          <w:u w:val="single" w:color="auto"/>
          <w:color w:val="0000FF"/>
        </w:rPr>
      </w:pPr>
    </w:p>
    <w:p>
      <w:pPr>
        <w:ind w:left="940" w:hanging="930"/>
        <w:spacing w:after="0" w:line="241" w:lineRule="auto"/>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99">
        <w:r>
          <w:rPr>
            <w:rFonts w:ascii="Times New Roman" w:cs="Times New Roman" w:eastAsia="Times New Roman" w:hAnsi="Times New Roman"/>
            <w:sz w:val="18"/>
            <w:szCs w:val="18"/>
            <w:u w:val="single" w:color="auto"/>
            <w:color w:val="0000FF"/>
          </w:rPr>
          <w:t>First Amendment, dated as of March 6, 2023, among the</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Company, the lenders party thereto and JPMorgan Chase</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Bank, N.A., as the administrative agent, amending the Term</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Credit Agreement, dated as of May 21, 2021, by and among</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the Company, the lenders party thereto and the administrative</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agent</w:t>
        </w:r>
      </w:hyperlink>
    </w:p>
    <w:p>
      <w:pPr>
        <w:spacing w:after="0" w:line="22" w:lineRule="exact"/>
        <w:rPr>
          <w:rFonts w:ascii="Times New Roman" w:cs="Times New Roman" w:eastAsia="Times New Roman" w:hAnsi="Times New Roman"/>
          <w:sz w:val="18"/>
          <w:szCs w:val="18"/>
          <w:u w:val="single" w:color="auto"/>
          <w:color w:val="0000FF"/>
        </w:rPr>
      </w:pPr>
    </w:p>
    <w:p>
      <w:pPr>
        <w:ind w:left="20"/>
        <w:spacing w:after="0"/>
        <w:tabs>
          <w:tab w:leader="none" w:pos="9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100">
        <w:r>
          <w:rPr>
            <w:rFonts w:ascii="Times New Roman" w:cs="Times New Roman" w:eastAsia="Times New Roman" w:hAnsi="Times New Roman"/>
            <w:sz w:val="18"/>
            <w:szCs w:val="18"/>
            <w:u w:val="single" w:color="auto"/>
            <w:color w:val="0000FF"/>
          </w:rPr>
          <w:t>Revolving Credit Agreement, dated as of May 21, 2021,</w:t>
        </w:r>
      </w:hyperlink>
    </w:p>
    <w:p>
      <w:pPr>
        <w:spacing w:after="0" w:line="2" w:lineRule="exact"/>
        <w:rPr>
          <w:rFonts w:ascii="Times New Roman" w:cs="Times New Roman" w:eastAsia="Times New Roman" w:hAnsi="Times New Roman"/>
          <w:sz w:val="18"/>
          <w:szCs w:val="18"/>
          <w:u w:val="single" w:color="auto"/>
          <w:color w:val="0000FF"/>
        </w:rPr>
      </w:pPr>
    </w:p>
    <w:p>
      <w:pPr>
        <w:ind w:left="940" w:right="60"/>
        <w:spacing w:after="0" w:line="218" w:lineRule="auto"/>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among the Company, the Borrowing Subsidiaries party</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thereto, the lenders party thereto and JPMorgan Chase Bank,</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N.A., as the administrative agent</w:t>
        </w:r>
      </w:hyperlink>
    </w:p>
    <w:p>
      <w:pPr>
        <w:ind w:left="2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101">
        <w:r>
          <w:rPr>
            <w:rFonts w:ascii="Times New Roman" w:cs="Times New Roman" w:eastAsia="Times New Roman" w:hAnsi="Times New Roman"/>
            <w:sz w:val="17"/>
            <w:szCs w:val="17"/>
            <w:u w:val="single" w:color="auto"/>
            <w:color w:val="0000FF"/>
          </w:rPr>
          <w:t>First Amendment, dated as of March 6, 2023, among the</w:t>
        </w:r>
      </w:hyperlink>
    </w:p>
    <w:p>
      <w:pPr>
        <w:ind w:left="940" w:right="20"/>
        <w:spacing w:after="0" w:line="208" w:lineRule="auto"/>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Company, the borrowing subsidiaries party thereto, the</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lenders party thereto and JPMorgan Chase Bank, N.A., as the</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administrative agent, amending the Revolving Credit</w:t>
        </w:r>
      </w:hyperlink>
    </w:p>
    <w:p>
      <w:pPr>
        <w:spacing w:after="0" w:line="2" w:lineRule="exact"/>
        <w:rPr>
          <w:rFonts w:ascii="Times New Roman" w:cs="Times New Roman" w:eastAsia="Times New Roman" w:hAnsi="Times New Roman"/>
          <w:sz w:val="18"/>
          <w:szCs w:val="18"/>
          <w:u w:val="single" w:color="auto"/>
          <w:color w:val="0000FF"/>
        </w:rPr>
      </w:pPr>
    </w:p>
    <w:p>
      <w:pPr>
        <w:ind w:left="940" w:right="340"/>
        <w:spacing w:after="0" w:line="218" w:lineRule="auto"/>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Agreement, dated as of May 21, 2021, by and among the</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Company, the borrowing subsidiaries party thereto, the</w:t>
        </w:r>
      </w:hyperlink>
      <w:r>
        <w:rPr>
          <w:rFonts w:ascii="Times New Roman" w:cs="Times New Roman" w:eastAsia="Times New Roman" w:hAnsi="Times New Roman"/>
          <w:sz w:val="18"/>
          <w:szCs w:val="18"/>
          <w:u w:val="single" w:color="auto"/>
          <w:color w:val="0000FF"/>
        </w:rPr>
        <w:t xml:space="preserve"> </w:t>
      </w:r>
      <w:hyperlink r:id="rId101">
        <w:r>
          <w:rPr>
            <w:rFonts w:ascii="Times New Roman" w:cs="Times New Roman" w:eastAsia="Times New Roman" w:hAnsi="Times New Roman"/>
            <w:sz w:val="18"/>
            <w:szCs w:val="18"/>
            <w:u w:val="single" w:color="auto"/>
            <w:color w:val="0000FF"/>
          </w:rPr>
          <w:t>lenders party thereto and the administrative agent</w:t>
        </w:r>
      </w:hyperlink>
    </w:p>
    <w:p>
      <w:pPr>
        <w:spacing w:after="0" w:line="1" w:lineRule="exact"/>
        <w:rPr>
          <w:rFonts w:ascii="Times New Roman" w:cs="Times New Roman" w:eastAsia="Times New Roman" w:hAnsi="Times New Roman"/>
          <w:sz w:val="18"/>
          <w:szCs w:val="18"/>
          <w:u w:val="single" w:color="auto"/>
          <w:color w:val="0000FF"/>
        </w:rPr>
      </w:pPr>
    </w:p>
    <w:p>
      <w:pPr>
        <w:ind w:left="940" w:hanging="774"/>
        <w:spacing w:after="0"/>
        <w:tabs>
          <w:tab w:leader="none" w:pos="940" w:val="left"/>
        </w:tabs>
        <w:numPr>
          <w:ilvl w:val="0"/>
          <w:numId w:val="56"/>
        </w:numPr>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Subsidiaries of the Company</w:t>
        </w:r>
      </w:hyperlink>
    </w:p>
    <w:p>
      <w:pPr>
        <w:spacing w:after="0" w:line="22" w:lineRule="exact"/>
        <w:rPr>
          <w:rFonts w:ascii="Times New Roman" w:cs="Times New Roman" w:eastAsia="Times New Roman" w:hAnsi="Times New Roman"/>
          <w:sz w:val="18"/>
          <w:szCs w:val="18"/>
          <w:u w:val="single" w:color="auto"/>
          <w:color w:val="0000FF"/>
        </w:rPr>
      </w:pPr>
    </w:p>
    <w:p>
      <w:pPr>
        <w:ind w:left="100"/>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23.1</w:t>
      </w:r>
      <w:hyperlink r:id="rId103">
        <w:r>
          <w:rPr>
            <w:rFonts w:ascii="Times New Roman" w:cs="Times New Roman" w:eastAsia="Times New Roman" w:hAnsi="Times New Roman"/>
            <w:sz w:val="18"/>
            <w:szCs w:val="18"/>
            <w:u w:val="single" w:color="auto"/>
            <w:color w:val="0000FF"/>
          </w:rPr>
          <w:t>Consent of KPMG LLP</w:t>
        </w:r>
      </w:hyperlink>
    </w:p>
    <w:p>
      <w:pPr>
        <w:spacing w:after="0" w:line="20" w:lineRule="exact"/>
        <w:rPr>
          <w:rFonts w:ascii="Times New Roman" w:cs="Times New Roman" w:eastAsia="Times New Roman" w:hAnsi="Times New Roman"/>
          <w:sz w:val="18"/>
          <w:szCs w:val="18"/>
          <w:color w:val="auto"/>
        </w:rPr>
      </w:pPr>
    </w:p>
    <w:p>
      <w:pPr>
        <w:ind w:left="10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31.1</w:t>
      </w:r>
      <w:r>
        <w:rPr>
          <w:sz w:val="20"/>
          <w:szCs w:val="20"/>
          <w:color w:val="auto"/>
        </w:rPr>
        <w:tab/>
      </w:r>
      <w:hyperlink r:id="rId104">
        <w:r>
          <w:rPr>
            <w:rFonts w:ascii="Times New Roman" w:cs="Times New Roman" w:eastAsia="Times New Roman" w:hAnsi="Times New Roman"/>
            <w:sz w:val="17"/>
            <w:szCs w:val="17"/>
            <w:u w:val="single" w:color="auto"/>
            <w:color w:val="0000FF"/>
          </w:rPr>
          <w:t>Certification of the Company’s Chief Executive Officer</w:t>
        </w:r>
      </w:hyperlink>
    </w:p>
    <w:p>
      <w:pPr>
        <w:ind w:left="940" w:right="20"/>
        <w:spacing w:after="0" w:line="218" w:lineRule="auto"/>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pursuant to Securities and Exchange Act Rules 13a-14(a) and</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15d-14(a), as adopted pursuant to Section 302 of the</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Sarbanes-Oxley Act of 2002</w:t>
        </w:r>
      </w:hyperlink>
    </w:p>
    <w:p>
      <w:pPr>
        <w:ind w:left="100"/>
        <w:spacing w:after="0"/>
        <w:tabs>
          <w:tab w:leader="none" w:pos="9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31.2</w:t>
      </w:r>
      <w:r>
        <w:rPr>
          <w:sz w:val="20"/>
          <w:szCs w:val="20"/>
          <w:color w:val="auto"/>
        </w:rPr>
        <w:tab/>
      </w:r>
      <w:hyperlink r:id="rId105">
        <w:r>
          <w:rPr>
            <w:rFonts w:ascii="Times New Roman" w:cs="Times New Roman" w:eastAsia="Times New Roman" w:hAnsi="Times New Roman"/>
            <w:sz w:val="17"/>
            <w:szCs w:val="17"/>
            <w:u w:val="single" w:color="auto"/>
            <w:color w:val="0000FF"/>
          </w:rPr>
          <w:t>Certification of the Company’s Chief Financial Officer</w:t>
        </w:r>
      </w:hyperlink>
    </w:p>
    <w:p>
      <w:pPr>
        <w:ind w:left="940" w:right="20"/>
        <w:spacing w:after="0" w:line="218" w:lineRule="auto"/>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pursuant to Securities and Exchange Act Rules 13a-14(a) and</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15d-14(a), as adopted pursuant to Section 302 of the</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Sarbanes-Oxley Act of 2002</w:t>
        </w:r>
      </w:hyperlink>
    </w:p>
    <w:p>
      <w:pPr>
        <w:spacing w:after="0" w:line="374" w:lineRule="exact"/>
        <w:rPr>
          <w:rFonts w:ascii="Times New Roman" w:cs="Times New Roman" w:eastAsia="Times New Roman" w:hAnsi="Times New Roman"/>
          <w:sz w:val="18"/>
          <w:szCs w:val="18"/>
          <w:u w:val="single" w:color="auto"/>
          <w:color w:val="0000FF"/>
        </w:rPr>
      </w:pPr>
    </w:p>
    <w:p>
      <w:pPr>
        <w:ind w:left="51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-273685</wp:posOffset>
            </wp:positionH>
            <wp:positionV relativeFrom="paragraph">
              <wp:posOffset>236220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34"/>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001-05560</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8/8/2023</w:t>
            </w:r>
          </w:p>
        </w:tc>
      </w:tr>
      <w:tr>
        <w:trPr>
          <w:trHeight w:val="594"/>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001-05560</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8/8/2023</w:t>
            </w:r>
          </w:p>
        </w:tc>
      </w:tr>
      <w:tr>
        <w:trPr>
          <w:trHeight w:val="594"/>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001-05560</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10.3</w:t>
            </w:r>
          </w:p>
        </w:tc>
        <w:tc>
          <w:tcPr>
            <w:tcW w:w="10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8/8/2023</w:t>
            </w:r>
          </w:p>
        </w:tc>
      </w:tr>
      <w:tr>
        <w:trPr>
          <w:trHeight w:val="594"/>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001-05560</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10.4</w:t>
            </w:r>
          </w:p>
        </w:tc>
        <w:tc>
          <w:tcPr>
            <w:tcW w:w="10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8/8/2023</w:t>
            </w:r>
          </w:p>
        </w:tc>
      </w:tr>
      <w:tr>
        <w:trPr>
          <w:trHeight w:val="594"/>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001-05560</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10.5</w:t>
            </w:r>
          </w:p>
        </w:tc>
        <w:tc>
          <w:tcPr>
            <w:tcW w:w="10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8/8/2023</w:t>
            </w:r>
          </w:p>
        </w:tc>
      </w:tr>
      <w:tr>
        <w:trPr>
          <w:trHeight w:val="594"/>
        </w:trPr>
        <w:tc>
          <w:tcPr>
            <w:tcW w:w="6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001-05560</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10.6</w:t>
            </w:r>
          </w:p>
        </w:tc>
        <w:tc>
          <w:tcPr>
            <w:tcW w:w="10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8/8/2023</w:t>
            </w:r>
          </w:p>
        </w:tc>
      </w:tr>
      <w:tr>
        <w:trPr>
          <w:trHeight w:val="594"/>
        </w:trPr>
        <w:tc>
          <w:tcPr>
            <w:tcW w:w="6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001-05560</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4/22/2021</w:t>
            </w:r>
          </w:p>
        </w:tc>
      </w:tr>
      <w:tr>
        <w:trPr>
          <w:trHeight w:val="662"/>
        </w:trPr>
        <w:tc>
          <w:tcPr>
            <w:tcW w:w="6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001-05560</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5/26/2021</w:t>
            </w:r>
          </w:p>
        </w:tc>
      </w:tr>
      <w:tr>
        <w:trPr>
          <w:trHeight w:val="662"/>
        </w:trPr>
        <w:tc>
          <w:tcPr>
            <w:tcW w:w="6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001-05560</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3/10/2023</w:t>
            </w:r>
          </w:p>
        </w:tc>
      </w:tr>
    </w:tbl>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35" w:lineRule="exact"/>
        <w:rPr>
          <w:rFonts w:ascii="Times New Roman" w:cs="Times New Roman" w:eastAsia="Times New Roman" w:hAnsi="Times New Roman"/>
          <w:sz w:val="18"/>
          <w:szCs w:val="18"/>
          <w:u w:val="single" w:color="auto"/>
          <w:color w:val="0000FF"/>
        </w:rPr>
      </w:pPr>
    </w:p>
    <w:tbl>
      <w:tblPr>
        <w:tblLayout w:type="fixed"/>
        <w:tblInd w:w="4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001-05560</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5/26/2021</w:t>
            </w:r>
          </w:p>
        </w:tc>
      </w:tr>
      <w:tr>
        <w:trPr>
          <w:trHeight w:val="76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001-05560</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3/10/2023</w:t>
            </w:r>
          </w:p>
        </w:tc>
      </w:tr>
    </w:tbl>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75" w:lineRule="exact"/>
        <w:rPr>
          <w:rFonts w:ascii="Times New Roman" w:cs="Times New Roman" w:eastAsia="Times New Roman" w:hAnsi="Times New Roman"/>
          <w:sz w:val="18"/>
          <w:szCs w:val="18"/>
          <w:u w:val="single" w:color="auto"/>
          <w:color w:val="0000FF"/>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001-05560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11/17/2023</w:t>
            </w:r>
          </w:p>
        </w:tc>
      </w:tr>
      <w:tr>
        <w:trPr>
          <w:trHeight w:val="23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001-05560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11/17/2023</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001-05560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11/17/2023</w:t>
            </w:r>
          </w:p>
        </w:tc>
      </w:tr>
      <w:tr>
        <w:trPr>
          <w:trHeight w:val="76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001-05560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11/17/2023</w:t>
            </w:r>
          </w:p>
        </w:tc>
      </w:tr>
    </w:tbl>
    <w:p>
      <w:pPr>
        <w:sectPr>
          <w:pgSz w:w="11900" w:h="16838" w:orient="portrait"/>
          <w:cols w:equalWidth="0" w:num="2">
            <w:col w:w="5380" w:space="360"/>
            <w:col w:w="4000"/>
          </w:cols>
          <w:pgMar w:left="740" w:top="931" w:right="1419" w:bottom="1440" w:gutter="0" w:footer="0" w:header="0"/>
        </w:sectPr>
      </w:pPr>
    </w:p>
    <w:bookmarkStart w:id="44" w:name="page45"/>
    <w:bookmarkEnd w:id="44"/>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31.3</w:t>
            </w:r>
          </w:p>
        </w:tc>
        <w:tc>
          <w:tcPr>
            <w:tcW w:w="46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the Company’s Chief Executive Officer</w:t>
            </w:r>
          </w:p>
        </w:tc>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8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10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69"/>
        </w:trPr>
        <w:tc>
          <w:tcPr>
            <w:tcW w:w="1020" w:type="dxa"/>
            <w:vAlign w:val="bottom"/>
          </w:tcPr>
          <w:p>
            <w:pPr>
              <w:spacing w:after="0"/>
              <w:rPr>
                <w:sz w:val="14"/>
                <w:szCs w:val="14"/>
                <w:color w:val="auto"/>
              </w:rPr>
            </w:pPr>
          </w:p>
        </w:tc>
        <w:tc>
          <w:tcPr>
            <w:tcW w:w="4640" w:type="dxa"/>
            <w:vAlign w:val="bottom"/>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pursuant to Securities and Exchange Act Rules 13a-14(a) and</w:t>
            </w:r>
          </w:p>
        </w:tc>
        <w:tc>
          <w:tcPr>
            <w:tcW w:w="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56"/>
        </w:trPr>
        <w:tc>
          <w:tcPr>
            <w:tcW w:w="1020" w:type="dxa"/>
            <w:vAlign w:val="bottom"/>
          </w:tcPr>
          <w:p>
            <w:pPr>
              <w:spacing w:after="0"/>
              <w:rPr>
                <w:sz w:val="13"/>
                <w:szCs w:val="13"/>
                <w:color w:val="auto"/>
              </w:rPr>
            </w:pPr>
          </w:p>
        </w:tc>
        <w:tc>
          <w:tcPr>
            <w:tcW w:w="442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15d-14(a), as adopted pursuant to Section 302 of the</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20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720" w:type="dxa"/>
            <w:vAlign w:val="bottom"/>
            <w:tcBorders>
              <w:top w:val="single" w:sz="8" w:color="0000FF"/>
            </w:tcBorders>
            <w:gridSpan w:val="2"/>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09"/>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31.4</w:t>
            </w:r>
          </w:p>
        </w:tc>
        <w:tc>
          <w:tcPr>
            <w:tcW w:w="40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the Company’s Chief Financial Officer</w:t>
            </w:r>
          </w:p>
        </w:tc>
        <w:tc>
          <w:tcPr>
            <w:tcW w:w="640" w:type="dxa"/>
            <w:vAlign w:val="bottom"/>
            <w:gridSpan w:val="3"/>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8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1"/>
              </w:rPr>
              <w:t>X</w:t>
            </w:r>
          </w:p>
        </w:tc>
      </w:tr>
      <w:tr>
        <w:trPr>
          <w:trHeight w:val="169"/>
        </w:trPr>
        <w:tc>
          <w:tcPr>
            <w:tcW w:w="1020" w:type="dxa"/>
            <w:vAlign w:val="bottom"/>
          </w:tcPr>
          <w:p>
            <w:pPr>
              <w:spacing w:after="0"/>
              <w:rPr>
                <w:sz w:val="14"/>
                <w:szCs w:val="14"/>
                <w:color w:val="auto"/>
              </w:rPr>
            </w:pPr>
          </w:p>
        </w:tc>
        <w:tc>
          <w:tcPr>
            <w:tcW w:w="4640" w:type="dxa"/>
            <w:vAlign w:val="bottom"/>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pursuant to Securities and Exchange Act Rules 13a-14(a) and</w:t>
            </w:r>
          </w:p>
        </w:tc>
        <w:tc>
          <w:tcPr>
            <w:tcW w:w="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56"/>
        </w:trPr>
        <w:tc>
          <w:tcPr>
            <w:tcW w:w="1020" w:type="dxa"/>
            <w:vAlign w:val="bottom"/>
          </w:tcPr>
          <w:p>
            <w:pPr>
              <w:spacing w:after="0"/>
              <w:rPr>
                <w:sz w:val="13"/>
                <w:szCs w:val="13"/>
                <w:color w:val="auto"/>
              </w:rPr>
            </w:pPr>
          </w:p>
        </w:tc>
        <w:tc>
          <w:tcPr>
            <w:tcW w:w="442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15d-14(a), as adopted pursuant to Section 302 of the</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20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720" w:type="dxa"/>
            <w:vAlign w:val="bottom"/>
            <w:tcBorders>
              <w:top w:val="single" w:sz="8" w:color="0000FF"/>
            </w:tcBorders>
            <w:gridSpan w:val="2"/>
          </w:tcPr>
          <w:p>
            <w:pPr>
              <w:spacing w:after="0"/>
              <w:rPr>
                <w:sz w:val="13"/>
                <w:szCs w:val="13"/>
                <w:color w:val="auto"/>
              </w:rPr>
            </w:pPr>
          </w:p>
        </w:tc>
        <w:tc>
          <w:tcPr>
            <w:tcW w:w="480" w:type="dxa"/>
            <w:vAlign w:val="bottom"/>
            <w:gridSpan w:val="2"/>
          </w:tcPr>
          <w:p>
            <w:pPr>
              <w:spacing w:after="0"/>
              <w:rPr>
                <w:sz w:val="13"/>
                <w:szCs w:val="13"/>
                <w:color w:val="auto"/>
              </w:rPr>
            </w:pPr>
          </w:p>
        </w:tc>
        <w:tc>
          <w:tcPr>
            <w:tcW w:w="38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09"/>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32.1</w:t>
            </w:r>
          </w:p>
        </w:tc>
        <w:tc>
          <w:tcPr>
            <w:tcW w:w="4640" w:type="dxa"/>
            <w:vAlign w:val="bottom"/>
            <w:gridSpan w:val="7"/>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Certification of the Company’s Chief Executive Officer</w:t>
              </w:r>
            </w:hyperlink>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001-05560</w:t>
            </w: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32.1</w:t>
            </w:r>
          </w:p>
        </w:tc>
        <w:tc>
          <w:tcPr>
            <w:tcW w:w="1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11/17/2023</w:t>
            </w:r>
          </w:p>
        </w:tc>
      </w:tr>
      <w:tr>
        <w:trPr>
          <w:trHeight w:val="169"/>
        </w:trPr>
        <w:tc>
          <w:tcPr>
            <w:tcW w:w="1020" w:type="dxa"/>
            <w:vAlign w:val="bottom"/>
          </w:tcPr>
          <w:p>
            <w:pPr>
              <w:spacing w:after="0"/>
              <w:rPr>
                <w:sz w:val="14"/>
                <w:szCs w:val="14"/>
                <w:color w:val="auto"/>
              </w:rPr>
            </w:pPr>
          </w:p>
        </w:tc>
        <w:tc>
          <w:tcPr>
            <w:tcW w:w="4000" w:type="dxa"/>
            <w:vAlign w:val="bottom"/>
            <w:tcBorders>
              <w:top w:val="single" w:sz="8" w:color="0000FF"/>
            </w:tcBorders>
            <w:gridSpan w:val="4"/>
          </w:tcPr>
          <w:p>
            <w:pPr>
              <w:spacing w:after="0" w:line="169" w:lineRule="exact"/>
              <w:rPr>
                <w:rFonts w:ascii="Times New Roman" w:cs="Times New Roman" w:eastAsia="Times New Roman" w:hAnsi="Times New Roman"/>
                <w:sz w:val="18"/>
                <w:szCs w:val="18"/>
                <w:color w:val="0000FF"/>
                <w:w w:val="97"/>
              </w:rPr>
            </w:pPr>
            <w:hyperlink r:id="rId107">
              <w:r>
                <w:rPr>
                  <w:rFonts w:ascii="Times New Roman" w:cs="Times New Roman" w:eastAsia="Times New Roman" w:hAnsi="Times New Roman"/>
                  <w:sz w:val="18"/>
                  <w:szCs w:val="18"/>
                  <w:color w:val="0000FF"/>
                  <w:w w:val="97"/>
                </w:rPr>
                <w:t>pursuant to 18 U.S.C. Section 1350, as adopted pursuant</w:t>
              </w:r>
            </w:hyperlink>
          </w:p>
        </w:tc>
        <w:tc>
          <w:tcPr>
            <w:tcW w:w="640" w:type="dxa"/>
            <w:vAlign w:val="bottom"/>
            <w:gridSpan w:val="3"/>
          </w:tcPr>
          <w:p>
            <w:pPr>
              <w:ind w:left="120"/>
              <w:spacing w:after="0" w:line="169"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to</w:t>
              </w:r>
            </w:hyperlink>
          </w:p>
        </w:tc>
        <w:tc>
          <w:tcPr>
            <w:tcW w:w="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55"/>
        </w:trPr>
        <w:tc>
          <w:tcPr>
            <w:tcW w:w="102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Section 906 of the Sarbanes-Oxley Act of 2002</w:t>
              </w:r>
            </w:hyperlink>
          </w:p>
        </w:tc>
        <w:tc>
          <w:tcPr>
            <w:tcW w:w="840" w:type="dxa"/>
            <w:vAlign w:val="bottom"/>
            <w:tcBorders>
              <w:top w:val="single" w:sz="8" w:color="0000FF"/>
            </w:tcBorders>
            <w:gridSpan w:val="3"/>
          </w:tcPr>
          <w:p>
            <w:pPr>
              <w:spacing w:after="0"/>
              <w:rPr>
                <w:sz w:val="13"/>
                <w:szCs w:val="13"/>
                <w:color w:val="auto"/>
              </w:rPr>
            </w:pPr>
          </w:p>
        </w:tc>
        <w:tc>
          <w:tcPr>
            <w:tcW w:w="38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10"/>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32.2</w:t>
            </w:r>
          </w:p>
        </w:tc>
        <w:tc>
          <w:tcPr>
            <w:tcW w:w="4640" w:type="dxa"/>
            <w:vAlign w:val="bottom"/>
            <w:gridSpan w:val="7"/>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Certification of the Company’s Chief Financial Officer</w:t>
              </w:r>
            </w:hyperlink>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001-05560</w:t>
            </w: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32.2</w:t>
            </w:r>
          </w:p>
        </w:tc>
        <w:tc>
          <w:tcPr>
            <w:tcW w:w="1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11/17/2023</w:t>
            </w:r>
          </w:p>
        </w:tc>
      </w:tr>
      <w:tr>
        <w:trPr>
          <w:trHeight w:val="169"/>
        </w:trPr>
        <w:tc>
          <w:tcPr>
            <w:tcW w:w="1020" w:type="dxa"/>
            <w:vAlign w:val="bottom"/>
          </w:tcPr>
          <w:p>
            <w:pPr>
              <w:spacing w:after="0"/>
              <w:rPr>
                <w:sz w:val="14"/>
                <w:szCs w:val="14"/>
                <w:color w:val="auto"/>
              </w:rPr>
            </w:pPr>
          </w:p>
        </w:tc>
        <w:tc>
          <w:tcPr>
            <w:tcW w:w="4000" w:type="dxa"/>
            <w:vAlign w:val="bottom"/>
            <w:tcBorders>
              <w:top w:val="single" w:sz="8" w:color="0000FF"/>
            </w:tcBorders>
            <w:gridSpan w:val="4"/>
          </w:tcPr>
          <w:p>
            <w:pPr>
              <w:spacing w:after="0" w:line="169" w:lineRule="exact"/>
              <w:rPr>
                <w:rFonts w:ascii="Times New Roman" w:cs="Times New Roman" w:eastAsia="Times New Roman" w:hAnsi="Times New Roman"/>
                <w:sz w:val="18"/>
                <w:szCs w:val="18"/>
                <w:color w:val="0000FF"/>
                <w:w w:val="97"/>
              </w:rPr>
            </w:pPr>
            <w:hyperlink r:id="rId108">
              <w:r>
                <w:rPr>
                  <w:rFonts w:ascii="Times New Roman" w:cs="Times New Roman" w:eastAsia="Times New Roman" w:hAnsi="Times New Roman"/>
                  <w:sz w:val="18"/>
                  <w:szCs w:val="18"/>
                  <w:color w:val="0000FF"/>
                  <w:w w:val="97"/>
                </w:rPr>
                <w:t>pursuant to 18 U.S.C. Section 1350, as adopted pursuant</w:t>
              </w:r>
            </w:hyperlink>
          </w:p>
        </w:tc>
        <w:tc>
          <w:tcPr>
            <w:tcW w:w="640" w:type="dxa"/>
            <w:vAlign w:val="bottom"/>
            <w:gridSpan w:val="3"/>
          </w:tcPr>
          <w:p>
            <w:pPr>
              <w:ind w:left="120"/>
              <w:spacing w:after="0" w:line="169"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to</w:t>
              </w:r>
            </w:hyperlink>
          </w:p>
        </w:tc>
        <w:tc>
          <w:tcPr>
            <w:tcW w:w="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56"/>
        </w:trPr>
        <w:tc>
          <w:tcPr>
            <w:tcW w:w="1020" w:type="dxa"/>
            <w:vAlign w:val="bottom"/>
          </w:tcPr>
          <w:p>
            <w:pPr>
              <w:spacing w:after="0"/>
              <w:rPr>
                <w:sz w:val="13"/>
                <w:szCs w:val="13"/>
                <w:color w:val="auto"/>
              </w:rPr>
            </w:pPr>
          </w:p>
        </w:tc>
        <w:tc>
          <w:tcPr>
            <w:tcW w:w="34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Section 906 of the Sarbanes-Oxley Act of 2002</w:t>
              </w:r>
            </w:hyperlink>
          </w:p>
        </w:tc>
        <w:tc>
          <w:tcPr>
            <w:tcW w:w="840" w:type="dxa"/>
            <w:vAlign w:val="bottom"/>
            <w:tcBorders>
              <w:top w:val="single" w:sz="8" w:color="0000FF"/>
            </w:tcBorders>
            <w:gridSpan w:val="3"/>
          </w:tcPr>
          <w:p>
            <w:pPr>
              <w:spacing w:after="0"/>
              <w:rPr>
                <w:sz w:val="13"/>
                <w:szCs w:val="13"/>
                <w:color w:val="auto"/>
              </w:rPr>
            </w:pPr>
          </w:p>
        </w:tc>
        <w:tc>
          <w:tcPr>
            <w:tcW w:w="38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05"/>
        </w:trPr>
        <w:tc>
          <w:tcPr>
            <w:tcW w:w="1020" w:type="dxa"/>
            <w:vAlign w:val="bottom"/>
          </w:tcPr>
          <w:p>
            <w:pPr>
              <w:jc w:val="center"/>
              <w:ind w:right="250"/>
              <w:spacing w:after="0" w:line="205" w:lineRule="exact"/>
              <w:rPr>
                <w:sz w:val="20"/>
                <w:szCs w:val="20"/>
                <w:color w:val="auto"/>
              </w:rPr>
            </w:pPr>
            <w:r>
              <w:rPr>
                <w:rFonts w:ascii="Times New Roman" w:cs="Times New Roman" w:eastAsia="Times New Roman" w:hAnsi="Times New Roman"/>
                <w:sz w:val="18"/>
                <w:szCs w:val="18"/>
                <w:color w:val="auto"/>
                <w:w w:val="99"/>
              </w:rPr>
              <w:t>101.INS</w:t>
            </w:r>
          </w:p>
        </w:tc>
        <w:tc>
          <w:tcPr>
            <w:tcW w:w="4640" w:type="dxa"/>
            <w:vAlign w:val="bottom"/>
            <w:gridSpan w:val="7"/>
          </w:tcPr>
          <w:p>
            <w:pPr>
              <w:spacing w:after="0" w:line="205" w:lineRule="exact"/>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80"/>
        </w:trPr>
        <w:tc>
          <w:tcPr>
            <w:tcW w:w="1020" w:type="dxa"/>
            <w:vAlign w:val="bottom"/>
          </w:tcPr>
          <w:p>
            <w:pPr>
              <w:spacing w:after="0"/>
              <w:rPr>
                <w:sz w:val="15"/>
                <w:szCs w:val="15"/>
                <w:color w:val="auto"/>
              </w:rPr>
            </w:pPr>
          </w:p>
        </w:tc>
        <w:tc>
          <w:tcPr>
            <w:tcW w:w="464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does not appear in the Interactive Data File because its XBRL</w:t>
            </w:r>
          </w:p>
        </w:tc>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25"/>
        </w:trPr>
        <w:tc>
          <w:tcPr>
            <w:tcW w:w="1020" w:type="dxa"/>
            <w:vAlign w:val="bottom"/>
          </w:tcPr>
          <w:p>
            <w:pPr>
              <w:spacing w:after="0"/>
              <w:rPr>
                <w:sz w:val="19"/>
                <w:szCs w:val="19"/>
                <w:color w:val="auto"/>
              </w:rPr>
            </w:pPr>
          </w:p>
        </w:tc>
        <w:tc>
          <w:tcPr>
            <w:tcW w:w="4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10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101.SCH</w:t>
            </w:r>
          </w:p>
        </w:tc>
        <w:tc>
          <w:tcPr>
            <w:tcW w:w="4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8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1"/>
              </w:rPr>
              <w:t>X</w:t>
            </w:r>
          </w:p>
        </w:tc>
      </w:tr>
      <w:tr>
        <w:trPr>
          <w:trHeight w:val="189"/>
        </w:trPr>
        <w:tc>
          <w:tcPr>
            <w:tcW w:w="1020" w:type="dxa"/>
            <w:vAlign w:val="bottom"/>
          </w:tcPr>
          <w:p>
            <w:pPr>
              <w:jc w:val="center"/>
              <w:ind w:right="250"/>
              <w:spacing w:after="0" w:line="189" w:lineRule="exact"/>
              <w:rPr>
                <w:sz w:val="20"/>
                <w:szCs w:val="20"/>
                <w:color w:val="auto"/>
              </w:rPr>
            </w:pPr>
            <w:r>
              <w:rPr>
                <w:rFonts w:ascii="Times New Roman" w:cs="Times New Roman" w:eastAsia="Times New Roman" w:hAnsi="Times New Roman"/>
                <w:sz w:val="18"/>
                <w:szCs w:val="18"/>
                <w:color w:val="auto"/>
              </w:rPr>
              <w:t>101.CAL</w:t>
            </w:r>
          </w:p>
        </w:tc>
        <w:tc>
          <w:tcPr>
            <w:tcW w:w="46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8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80" w:type="dxa"/>
            <w:vAlign w:val="bottom"/>
          </w:tcPr>
          <w:p>
            <w:pPr>
              <w:ind w:left="1640"/>
              <w:spacing w:after="0" w:line="189" w:lineRule="exact"/>
              <w:rPr>
                <w:sz w:val="20"/>
                <w:szCs w:val="20"/>
                <w:color w:val="auto"/>
              </w:rPr>
            </w:pPr>
            <w:r>
              <w:rPr>
                <w:rFonts w:ascii="Times New Roman" w:cs="Times New Roman" w:eastAsia="Times New Roman" w:hAnsi="Times New Roman"/>
                <w:sz w:val="18"/>
                <w:szCs w:val="18"/>
                <w:color w:val="auto"/>
                <w:w w:val="91"/>
              </w:rPr>
              <w:t>X</w:t>
            </w:r>
          </w:p>
        </w:tc>
      </w:tr>
      <w:tr>
        <w:trPr>
          <w:trHeight w:val="230"/>
        </w:trPr>
        <w:tc>
          <w:tcPr>
            <w:tcW w:w="1020" w:type="dxa"/>
            <w:vAlign w:val="bottom"/>
          </w:tcPr>
          <w:p>
            <w:pPr>
              <w:spacing w:after="0"/>
              <w:rPr>
                <w:sz w:val="19"/>
                <w:szCs w:val="19"/>
                <w:color w:val="auto"/>
              </w:rPr>
            </w:pPr>
          </w:p>
        </w:tc>
        <w:tc>
          <w:tcPr>
            <w:tcW w:w="4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c>
          <w:tcPr>
            <w:tcW w:w="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189"/>
        </w:trPr>
        <w:tc>
          <w:tcPr>
            <w:tcW w:w="1020" w:type="dxa"/>
            <w:vAlign w:val="bottom"/>
          </w:tcPr>
          <w:p>
            <w:pPr>
              <w:jc w:val="center"/>
              <w:ind w:right="270"/>
              <w:spacing w:after="0" w:line="189" w:lineRule="exact"/>
              <w:rPr>
                <w:sz w:val="20"/>
                <w:szCs w:val="20"/>
                <w:color w:val="auto"/>
              </w:rPr>
            </w:pPr>
            <w:r>
              <w:rPr>
                <w:rFonts w:ascii="Times New Roman" w:cs="Times New Roman" w:eastAsia="Times New Roman" w:hAnsi="Times New Roman"/>
                <w:sz w:val="18"/>
                <w:szCs w:val="18"/>
                <w:color w:val="auto"/>
              </w:rPr>
              <w:t>101.DEF</w:t>
            </w:r>
          </w:p>
        </w:tc>
        <w:tc>
          <w:tcPr>
            <w:tcW w:w="46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8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80" w:type="dxa"/>
            <w:vAlign w:val="bottom"/>
          </w:tcPr>
          <w:p>
            <w:pPr>
              <w:ind w:left="1640"/>
              <w:spacing w:after="0" w:line="189" w:lineRule="exact"/>
              <w:rPr>
                <w:sz w:val="20"/>
                <w:szCs w:val="20"/>
                <w:color w:val="auto"/>
              </w:rPr>
            </w:pPr>
            <w:r>
              <w:rPr>
                <w:rFonts w:ascii="Times New Roman" w:cs="Times New Roman" w:eastAsia="Times New Roman" w:hAnsi="Times New Roman"/>
                <w:sz w:val="18"/>
                <w:szCs w:val="18"/>
                <w:color w:val="auto"/>
                <w:w w:val="91"/>
              </w:rPr>
              <w:t>X</w:t>
            </w:r>
          </w:p>
        </w:tc>
      </w:tr>
      <w:tr>
        <w:trPr>
          <w:trHeight w:val="229"/>
        </w:trPr>
        <w:tc>
          <w:tcPr>
            <w:tcW w:w="1020" w:type="dxa"/>
            <w:vAlign w:val="bottom"/>
          </w:tcPr>
          <w:p>
            <w:pPr>
              <w:spacing w:after="0"/>
              <w:rPr>
                <w:sz w:val="19"/>
                <w:szCs w:val="19"/>
                <w:color w:val="auto"/>
              </w:rPr>
            </w:pPr>
          </w:p>
        </w:tc>
        <w:tc>
          <w:tcPr>
            <w:tcW w:w="4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c>
          <w:tcPr>
            <w:tcW w:w="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189"/>
        </w:trPr>
        <w:tc>
          <w:tcPr>
            <w:tcW w:w="1020" w:type="dxa"/>
            <w:vAlign w:val="bottom"/>
          </w:tcPr>
          <w:p>
            <w:pPr>
              <w:jc w:val="center"/>
              <w:ind w:right="250"/>
              <w:spacing w:after="0" w:line="189" w:lineRule="exact"/>
              <w:rPr>
                <w:sz w:val="20"/>
                <w:szCs w:val="20"/>
                <w:color w:val="auto"/>
              </w:rPr>
            </w:pPr>
            <w:r>
              <w:rPr>
                <w:rFonts w:ascii="Times New Roman" w:cs="Times New Roman" w:eastAsia="Times New Roman" w:hAnsi="Times New Roman"/>
                <w:sz w:val="18"/>
                <w:szCs w:val="18"/>
                <w:color w:val="auto"/>
              </w:rPr>
              <w:t>101.LAB</w:t>
            </w:r>
          </w:p>
        </w:tc>
        <w:tc>
          <w:tcPr>
            <w:tcW w:w="46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8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80" w:type="dxa"/>
            <w:vAlign w:val="bottom"/>
          </w:tcPr>
          <w:p>
            <w:pPr>
              <w:ind w:left="1640"/>
              <w:spacing w:after="0" w:line="189" w:lineRule="exact"/>
              <w:rPr>
                <w:sz w:val="20"/>
                <w:szCs w:val="20"/>
                <w:color w:val="auto"/>
              </w:rPr>
            </w:pPr>
            <w:r>
              <w:rPr>
                <w:rFonts w:ascii="Times New Roman" w:cs="Times New Roman" w:eastAsia="Times New Roman" w:hAnsi="Times New Roman"/>
                <w:sz w:val="18"/>
                <w:szCs w:val="18"/>
                <w:color w:val="auto"/>
                <w:w w:val="91"/>
              </w:rPr>
              <w:t>X</w:t>
            </w:r>
          </w:p>
        </w:tc>
      </w:tr>
      <w:tr>
        <w:trPr>
          <w:trHeight w:val="229"/>
        </w:trPr>
        <w:tc>
          <w:tcPr>
            <w:tcW w:w="1020" w:type="dxa"/>
            <w:vAlign w:val="bottom"/>
          </w:tcPr>
          <w:p>
            <w:pPr>
              <w:spacing w:after="0"/>
              <w:rPr>
                <w:sz w:val="19"/>
                <w:szCs w:val="19"/>
                <w:color w:val="auto"/>
              </w:rPr>
            </w:pPr>
          </w:p>
        </w:tc>
        <w:tc>
          <w:tcPr>
            <w:tcW w:w="4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c>
          <w:tcPr>
            <w:tcW w:w="8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189"/>
        </w:trPr>
        <w:tc>
          <w:tcPr>
            <w:tcW w:w="1020" w:type="dxa"/>
            <w:vAlign w:val="bottom"/>
          </w:tcPr>
          <w:p>
            <w:pPr>
              <w:jc w:val="center"/>
              <w:ind w:right="250"/>
              <w:spacing w:after="0" w:line="189" w:lineRule="exact"/>
              <w:rPr>
                <w:sz w:val="20"/>
                <w:szCs w:val="20"/>
                <w:color w:val="auto"/>
              </w:rPr>
            </w:pPr>
            <w:r>
              <w:rPr>
                <w:rFonts w:ascii="Times New Roman" w:cs="Times New Roman" w:eastAsia="Times New Roman" w:hAnsi="Times New Roman"/>
                <w:sz w:val="18"/>
                <w:szCs w:val="18"/>
                <w:color w:val="auto"/>
                <w:w w:val="99"/>
              </w:rPr>
              <w:t>101.PRE</w:t>
            </w:r>
          </w:p>
        </w:tc>
        <w:tc>
          <w:tcPr>
            <w:tcW w:w="46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8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80" w:type="dxa"/>
            <w:vAlign w:val="bottom"/>
          </w:tcPr>
          <w:p>
            <w:pPr>
              <w:ind w:left="1640"/>
              <w:spacing w:after="0" w:line="189" w:lineRule="exact"/>
              <w:rPr>
                <w:sz w:val="20"/>
                <w:szCs w:val="20"/>
                <w:color w:val="auto"/>
              </w:rPr>
            </w:pPr>
            <w:r>
              <w:rPr>
                <w:rFonts w:ascii="Times New Roman" w:cs="Times New Roman" w:eastAsia="Times New Roman" w:hAnsi="Times New Roman"/>
                <w:sz w:val="18"/>
                <w:szCs w:val="18"/>
                <w:color w:val="auto"/>
                <w:w w:val="91"/>
              </w:rPr>
              <w:t>X</w:t>
            </w:r>
          </w:p>
        </w:tc>
      </w:tr>
      <w:tr>
        <w:trPr>
          <w:trHeight w:val="234"/>
        </w:trPr>
        <w:tc>
          <w:tcPr>
            <w:tcW w:w="1020" w:type="dxa"/>
            <w:vAlign w:val="bottom"/>
          </w:tcPr>
          <w:p>
            <w:pPr>
              <w:spacing w:after="0"/>
              <w:rPr>
                <w:sz w:val="20"/>
                <w:szCs w:val="20"/>
                <w:color w:val="auto"/>
              </w:rPr>
            </w:pPr>
          </w:p>
        </w:tc>
        <w:tc>
          <w:tcPr>
            <w:tcW w:w="46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c>
          <w:tcPr>
            <w:tcW w:w="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80" w:type="dxa"/>
            <w:vAlign w:val="bottom"/>
          </w:tcPr>
          <w:p>
            <w:pPr>
              <w:spacing w:after="0"/>
              <w:rPr>
                <w:sz w:val="20"/>
                <w:szCs w:val="20"/>
                <w:color w:val="auto"/>
              </w:rPr>
            </w:pPr>
          </w:p>
        </w:tc>
      </w:tr>
    </w:tbl>
    <w:p>
      <w:pPr>
        <w:ind w:left="1360" w:right="5240" w:hanging="819"/>
        <w:spacing w:after="0" w:line="229" w:lineRule="auto"/>
        <w:tabs>
          <w:tab w:leader="none" w:pos="13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7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27" w:lineRule="exact"/>
        <w:rPr>
          <w:sz w:val="20"/>
          <w:szCs w:val="20"/>
          <w:color w:val="auto"/>
        </w:rPr>
      </w:pPr>
    </w:p>
    <w:p>
      <w:pPr>
        <w:ind w:firstLine="8"/>
        <w:spacing w:after="0" w:line="260" w:lineRule="auto"/>
        <w:tabs>
          <w:tab w:leader="none" w:pos="12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because such information is not material and is the type of information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918" w:right="55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25, 2024</w:t>
      </w:r>
    </w:p>
    <w:p>
      <w:pPr>
        <w:spacing w:after="0" w:line="200" w:lineRule="exact"/>
        <w:rPr>
          <w:sz w:val="20"/>
          <w:szCs w:val="20"/>
          <w:color w:val="auto"/>
        </w:rPr>
      </w:pPr>
    </w:p>
    <w:p>
      <w:pPr>
        <w:spacing w:after="0" w:line="24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u w:val="single" w:color="auto"/>
          <w:color w:val="auto"/>
        </w:rPr>
        <w:t>SKYWORKS SOLUTIONS, INC.</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Registrant</w:t>
      </w:r>
    </w:p>
    <w:p>
      <w:pPr>
        <w:spacing w:after="0" w:line="180" w:lineRule="exact"/>
        <w:rPr>
          <w:sz w:val="20"/>
          <w:szCs w:val="20"/>
          <w:color w:val="auto"/>
        </w:rPr>
      </w:pPr>
    </w:p>
    <w:p>
      <w:pPr>
        <w:ind w:left="5880"/>
        <w:spacing w:after="0"/>
        <w:tabs>
          <w:tab w:leader="none" w:pos="6360" w:val="left"/>
        </w:tabs>
        <w:rPr>
          <w:sz w:val="20"/>
          <w:szCs w:val="20"/>
          <w:color w:val="auto"/>
        </w:rPr>
      </w:pPr>
      <w:r>
        <w:rPr>
          <w:rFonts w:ascii="Times New Roman" w:cs="Times New Roman" w:eastAsia="Times New Roman" w:hAnsi="Times New Roman"/>
          <w:sz w:val="18"/>
          <w:szCs w:val="18"/>
          <w:color w:val="auto"/>
        </w:rPr>
        <w:t>By:</w:t>
        <w:tab/>
        <w:t>/s/ Liam K.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31032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0">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Liam K. Griffin</w:t>
      </w:r>
    </w:p>
    <w:p>
      <w:pPr>
        <w:spacing w:after="0" w:line="2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p>
      <w:pPr>
        <w:spacing w:after="0" w:line="23"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995"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CEO PURSUANT TO SECURITIES EXCHANGE ACT RULES 13a-14(a)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15d-14(a) 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Liam K. Griffin, certify that:</w:t>
      </w:r>
    </w:p>
    <w:p>
      <w:pPr>
        <w:spacing w:after="0" w:line="252" w:lineRule="exact"/>
        <w:rPr>
          <w:sz w:val="20"/>
          <w:szCs w:val="20"/>
          <w:color w:val="auto"/>
        </w:rPr>
      </w:pPr>
    </w:p>
    <w:p>
      <w:pPr>
        <w:ind w:left="680" w:hanging="308"/>
        <w:spacing w:after="0"/>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Skyworks Solutions, Inc.;</w:t>
      </w:r>
    </w:p>
    <w:p>
      <w:pPr>
        <w:spacing w:after="0" w:line="252" w:lineRule="exact"/>
        <w:rPr>
          <w:rFonts w:ascii="Times New Roman" w:cs="Times New Roman" w:eastAsia="Times New Roman" w:hAnsi="Times New Roman"/>
          <w:sz w:val="18"/>
          <w:szCs w:val="18"/>
          <w:color w:val="auto"/>
        </w:rPr>
      </w:pPr>
    </w:p>
    <w:p>
      <w:pPr>
        <w:jc w:val="both"/>
        <w:ind w:left="660" w:right="80" w:hanging="288"/>
        <w:spacing w:after="0" w:line="266" w:lineRule="auto"/>
        <w:tabs>
          <w:tab w:leader="none" w:pos="69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40" w:hanging="288"/>
        <w:spacing w:after="0" w:line="282" w:lineRule="auto"/>
        <w:tabs>
          <w:tab w:leader="none" w:pos="69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288"/>
        <w:spacing w:after="0" w:line="266" w:lineRule="auto"/>
        <w:tabs>
          <w:tab w:leader="none" w:pos="68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980" w:right="60" w:hanging="284"/>
        <w:spacing w:after="0" w:line="266" w:lineRule="auto"/>
        <w:tabs>
          <w:tab w:leader="none" w:pos="101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980" w:right="360" w:hanging="284"/>
        <w:spacing w:after="0" w:line="266" w:lineRule="auto"/>
        <w:tabs>
          <w:tab w:leader="none" w:pos="102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980" w:right="540" w:hanging="284"/>
        <w:spacing w:after="0" w:line="312" w:lineRule="auto"/>
        <w:tabs>
          <w:tab w:leader="none" w:pos="1016"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980" w:right="40" w:hanging="284"/>
        <w:spacing w:after="0" w:line="266" w:lineRule="auto"/>
        <w:tabs>
          <w:tab w:leader="none" w:pos="102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40" w:hanging="288"/>
        <w:spacing w:after="0" w:line="282" w:lineRule="auto"/>
        <w:tabs>
          <w:tab w:leader="none" w:pos="68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800" w:hanging="284"/>
        <w:spacing w:after="0" w:line="282" w:lineRule="auto"/>
        <w:tabs>
          <w:tab w:leader="none" w:pos="101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480" w:hanging="284"/>
        <w:spacing w:after="0" w:line="282" w:lineRule="auto"/>
        <w:tabs>
          <w:tab w:leader="none" w:pos="102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25, 2024</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Liam K.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182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1">
                      <a:extLst>
                        <a:ext uri="{28A0092B-C50C-407E-A947-70E740481C1C}"/>
                      </a:extLst>
                    </a:blip>
                    <a:srcRect/>
                    <a:stretch>
                      <a:fillRect/>
                    </a:stretch>
                  </pic:blipFill>
                  <pic:spPr bwMode="auto">
                    <a:xfrm>
                      <a:off x="0" y="0"/>
                      <a:ext cx="91821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Liam K. Griffin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CFO PURSUANT TO SECURITIES EXCHANGE ACT RULES 13a-14(a)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15d-14(a) 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 Sennesael, certify that:</w:t>
      </w:r>
    </w:p>
    <w:p>
      <w:pPr>
        <w:spacing w:after="0" w:line="252" w:lineRule="exact"/>
        <w:rPr>
          <w:sz w:val="20"/>
          <w:szCs w:val="20"/>
          <w:color w:val="auto"/>
        </w:rPr>
      </w:pPr>
    </w:p>
    <w:p>
      <w:pPr>
        <w:ind w:left="680" w:hanging="308"/>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10-K/A of Skyworks Solutions, Inc.;</w:t>
      </w:r>
    </w:p>
    <w:p>
      <w:pPr>
        <w:spacing w:after="0" w:line="252" w:lineRule="exact"/>
        <w:rPr>
          <w:rFonts w:ascii="Times New Roman" w:cs="Times New Roman" w:eastAsia="Times New Roman" w:hAnsi="Times New Roman"/>
          <w:sz w:val="18"/>
          <w:szCs w:val="18"/>
          <w:color w:val="auto"/>
        </w:rPr>
      </w:pPr>
    </w:p>
    <w:p>
      <w:pPr>
        <w:jc w:val="both"/>
        <w:ind w:left="660" w:right="80" w:hanging="288"/>
        <w:spacing w:after="0" w:line="266" w:lineRule="auto"/>
        <w:tabs>
          <w:tab w:leader="none" w:pos="69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40" w:hanging="288"/>
        <w:spacing w:after="0" w:line="282" w:lineRule="auto"/>
        <w:tabs>
          <w:tab w:leader="none" w:pos="69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288"/>
        <w:spacing w:after="0" w:line="266" w:lineRule="auto"/>
        <w:tabs>
          <w:tab w:leader="none" w:pos="68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980" w:right="60" w:hanging="284"/>
        <w:spacing w:after="0" w:line="266" w:lineRule="auto"/>
        <w:tabs>
          <w:tab w:leader="none" w:pos="101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980" w:right="360" w:hanging="284"/>
        <w:spacing w:after="0" w:line="266" w:lineRule="auto"/>
        <w:tabs>
          <w:tab w:leader="none" w:pos="102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980" w:right="540" w:hanging="284"/>
        <w:spacing w:after="0" w:line="312" w:lineRule="auto"/>
        <w:tabs>
          <w:tab w:leader="none" w:pos="1016"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980" w:right="40" w:hanging="284"/>
        <w:spacing w:after="0" w:line="266" w:lineRule="auto"/>
        <w:tabs>
          <w:tab w:leader="none" w:pos="102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40" w:hanging="288"/>
        <w:spacing w:after="0" w:line="282" w:lineRule="auto"/>
        <w:tabs>
          <w:tab w:leader="none" w:pos="68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right="800" w:hanging="284"/>
        <w:spacing w:after="0" w:line="282" w:lineRule="auto"/>
        <w:tabs>
          <w:tab w:leader="none" w:pos="101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480" w:hanging="284"/>
        <w:spacing w:after="0" w:line="282" w:lineRule="auto"/>
        <w:tabs>
          <w:tab w:leader="none" w:pos="102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25,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Kris Sennesael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 Sennesael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sectPr>
      <w:pgSz w:w="11900" w:h="16838" w:orient="portrait"/>
      <w:cols w:equalWidth="0" w:num="1">
        <w:col w:w="11240"/>
      </w:cols>
      <w:pgMar w:left="320" w:top="11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1"/>
      <w:numFmt w:val="bullet"/>
      <w:start w:val="1"/>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1)"/>
      <w:numFmt w:val="decimal"/>
      <w:start w:val="1"/>
    </w:lvl>
  </w:abstractNum>
  <w:abstractNum w:abstractNumId="25">
    <w:nsid w:val="2A487CB0"/>
    <w:multiLevelType w:val="hybridMultilevel"/>
    <w:lvl w:ilvl="0">
      <w:lvlJc w:val="left"/>
      <w:lvlText w:val="(%1)"/>
      <w:numFmt w:val="decimal"/>
      <w:start w:val="3"/>
    </w:lvl>
  </w:abstractNum>
  <w:abstractNum w:abstractNumId="26">
    <w:nsid w:val="1D4ED43B"/>
    <w:multiLevelType w:val="hybridMultilevel"/>
    <w:lvl w:ilvl="0">
      <w:lvlJc w:val="left"/>
      <w:lvlText w:val="2"/>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1)"/>
      <w:numFmt w:val="decimal"/>
      <w:start w:val="3"/>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decimal"/>
      <w:start w:val="1"/>
    </w:lvl>
  </w:abstractNum>
  <w:abstractNum w:abstractNumId="35">
    <w:nsid w:val="7644A45C"/>
    <w:multiLevelType w:val="hybridMultilevel"/>
    <w:lvl w:ilvl="0">
      <w:lvlJc w:val="left"/>
      <w:lvlText w:val="(%1)"/>
      <w:numFmt w:val="decimal"/>
      <w:start w:val="5"/>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1)"/>
      <w:numFmt w:val="decimal"/>
      <w:start w:val="3"/>
    </w:lvl>
  </w:abstractNum>
  <w:abstractNum w:abstractNumId="38">
    <w:nsid w:val="579478FE"/>
    <w:multiLevelType w:val="hybridMultilevel"/>
    <w:lvl w:ilvl="0">
      <w:lvlJc w:val="left"/>
      <w:lvlText w:val="(%1)"/>
      <w:numFmt w:val="decimal"/>
      <w:start w:val="1"/>
    </w:lvl>
  </w:abstractNum>
  <w:abstractNum w:abstractNumId="39">
    <w:nsid w:val="749ABB43"/>
    <w:multiLevelType w:val="hybridMultilevel"/>
    <w:lvl w:ilvl="0">
      <w:lvlJc w:val="left"/>
      <w:lvlText w:val="(%1)"/>
      <w:numFmt w:val="upperLetter"/>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1)"/>
      <w:numFmt w:val="decimal"/>
      <w:start w:val="1"/>
    </w:lvl>
  </w:abstractNum>
  <w:abstractNum w:abstractNumId="42">
    <w:nsid w:val="79A1DEAA"/>
    <w:multiLevelType w:val="hybridMultilevel"/>
    <w:lvl w:ilvl="0">
      <w:lvlJc w:val="left"/>
      <w:lvlText w:val="(%1)"/>
      <w:numFmt w:val="decimal"/>
      <w:start w:val="6"/>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1)"/>
      <w:numFmt w:val="decimal"/>
      <w:start w:val="2"/>
    </w:lvl>
  </w:abstractNum>
  <w:abstractNum w:abstractNumId="48">
    <w:nsid w:val="4F4EF005"/>
    <w:multiLevelType w:val="hybridMultilevel"/>
    <w:lvl w:ilvl="0">
      <w:lvlJc w:val="left"/>
      <w:lvlText w:val="(%1)"/>
      <w:numFmt w:val="decimal"/>
      <w:start w:val="1"/>
    </w:lvl>
  </w:abstractNum>
  <w:abstractNum w:abstractNumId="49">
    <w:nsid w:val="23F9C13C"/>
    <w:multiLevelType w:val="hybridMultilevel"/>
    <w:lvl w:ilvl="0">
      <w:lvlJc w:val="left"/>
      <w:lvlText w:val="(%1)"/>
      <w:numFmt w:val="decimal"/>
      <w:start w:val="2"/>
    </w:lvl>
    <w:lvl w:ilvl="1">
      <w:lvlJc w:val="left"/>
      <w:lvlText w:val="\emdash "/>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1)"/>
      <w:numFmt w:val="decimal"/>
      <w:start w:val="1"/>
    </w:lvl>
  </w:abstractNum>
  <w:abstractNum w:abstractNumId="52">
    <w:nsid w:val="39386575"/>
    <w:multiLevelType w:val="hybridMultilevel"/>
    <w:lvl w:ilvl="0">
      <w:lvlJc w:val="left"/>
      <w:lvlText w:val="(%1)"/>
      <w:numFmt w:val="decimal"/>
      <w:start w:val="1"/>
    </w:lvl>
  </w:abstractNum>
  <w:abstractNum w:abstractNumId="53">
    <w:nsid w:val="1CF10FD8"/>
    <w:multiLevelType w:val="hybridMultilevel"/>
    <w:lvl w:ilvl="0">
      <w:lvlJc w:val="left"/>
      <w:lvlText w:val="%1."/>
      <w:numFmt w:val="decimal"/>
      <w:start w:val="2"/>
    </w:lvl>
  </w:abstractNum>
  <w:abstractNum w:abstractNumId="54">
    <w:nsid w:val="180115BE"/>
    <w:multiLevelType w:val="hybridMultilevel"/>
    <w:lvl w:ilvl="0">
      <w:lvlJc w:val="left"/>
      <w:lvlText w:val="(%1)"/>
      <w:numFmt w:val="lowerLetter"/>
      <w:start w:val="2"/>
    </w:lvl>
  </w:abstractNum>
  <w:abstractNum w:abstractNumId="55">
    <w:nsid w:val="235BA861"/>
    <w:multiLevelType w:val="hybridMultilevel"/>
    <w:lvl w:ilvl="0">
      <w:lvlJc w:val="left"/>
      <w:lvlText w:val="%1"/>
      <w:numFmt w:val="decimal"/>
      <w:start w:val="21"/>
    </w:lvl>
  </w:abstractNum>
  <w:abstractNum w:abstractNumId="56">
    <w:nsid w:val="47398C89"/>
    <w:multiLevelType w:val="hybridMultilevel"/>
    <w:lvl w:ilvl="0">
      <w:lvlJc w:val="left"/>
      <w:lvlText w:val="*"/>
      <w:numFmt w:val="bullet"/>
      <w:start w:val="1"/>
    </w:lvl>
    <w:lvl w:ilvl="1">
      <w:lvlJc w:val="left"/>
      <w:lvlText w:val="%2"/>
      <w:numFmt w:val="decimal"/>
      <w:start w:val="104"/>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89" Type="http://schemas.openxmlformats.org/officeDocument/2006/relationships/image" Target="media/image60.png"/><Relationship Id="rId90" Type="http://schemas.openxmlformats.org/officeDocument/2006/relationships/image" Target="media/image61.png"/><Relationship Id="rId106" Type="http://schemas.openxmlformats.org/officeDocument/2006/relationships/image" Target="media/image62.png"/><Relationship Id="rId109" Type="http://schemas.openxmlformats.org/officeDocument/2006/relationships/image" Target="media/image63.png"/><Relationship Id="rId110" Type="http://schemas.openxmlformats.org/officeDocument/2006/relationships/image" Target="media/image64.png"/><Relationship Id="rId111" Type="http://schemas.openxmlformats.org/officeDocument/2006/relationships/image" Target="media/image65.png"/><Relationship Id="rId67" Type="http://schemas.openxmlformats.org/officeDocument/2006/relationships/hyperlink" Target="https://www.sec.gov/Archives/edgar/data/0000004127/000110465921053805/tm2113063d1_ex2-1.htm" TargetMode="External"/><Relationship Id="rId68" Type="http://schemas.openxmlformats.org/officeDocument/2006/relationships/hyperlink" Target="https://www.sec.gov/Archives/edgar/data/4127/000000412723000025/a31_restatedcertificateofi.htm" TargetMode="External"/><Relationship Id="rId69" Type="http://schemas.openxmlformats.org/officeDocument/2006/relationships/hyperlink" Target="https://www.sec.gov/Archives/edgar/data/4127/000000412723000016/exhibit31fourthamendmentan.htm" TargetMode="External"/><Relationship Id="rId70" Type="http://schemas.openxmlformats.org/officeDocument/2006/relationships/hyperlink" Target="http://www.sec.gov/Archives/edgar/data/4127/000095013502003322/b43499ssexv4.txt" TargetMode="External"/><Relationship Id="rId71" Type="http://schemas.openxmlformats.org/officeDocument/2006/relationships/hyperlink" Target="https://www.sec.gov/Archives/edgar/data/4127/000000412719000049/fy1910k92719ex42.htm" TargetMode="External"/><Relationship Id="rId72" Type="http://schemas.openxmlformats.org/officeDocument/2006/relationships/hyperlink" Target="https://www.sec.gov/Archives/edgar/data/0000004127/000110465921072130/tm2115447d6_ex4-1.htm" TargetMode="External"/><Relationship Id="rId73" Type="http://schemas.openxmlformats.org/officeDocument/2006/relationships/hyperlink" Target="https://www.sec.gov/Archives/edgar/data/0000004127/000110465921072130/tm2115447d6_ex4-2.htm" TargetMode="External"/><Relationship Id="rId74" Type="http://schemas.openxmlformats.org/officeDocument/2006/relationships/hyperlink" Target="https://www.sec.gov/Archives/edgar/data/0000004127/000110465921072130/tm2115447d6_ex4-3.htm" TargetMode="External"/><Relationship Id="rId75" Type="http://schemas.openxmlformats.org/officeDocument/2006/relationships/hyperlink" Target="https://www.sec.gov/Archives/edgar/data/0000004127/000110465921072130/tm2115447d6_ex4-4.htm" TargetMode="External"/><Relationship Id="rId76" Type="http://schemas.openxmlformats.org/officeDocument/2006/relationships/hyperlink" Target="https://www.sec.gov/Archives/edgar/data/4127/000000412720000046/ex1012002esppmay2020.htm" TargetMode="External"/><Relationship Id="rId77" Type="http://schemas.openxmlformats.org/officeDocument/2006/relationships/hyperlink" Target="https://www.sec.gov/Archives/edgar/data/4127/000000412720000046/ex102nqesppmay2020.htm" TargetMode="External"/><Relationship Id="rId78" Type="http://schemas.openxmlformats.org/officeDocument/2006/relationships/hyperlink" Target="http://www.sec.gov/Archives/edgar/data/4127/000000412713000023/fy12proxyvoteexhibit101.htm" TargetMode="External"/><Relationship Id="rId79" Type="http://schemas.openxmlformats.org/officeDocument/2006/relationships/hyperlink" Target="http://www.sec.gov/Archives/edgar/data/4127/000000412713000006/a2005long-termincentiveupd.htm" TargetMode="External"/><Relationship Id="rId80" Type="http://schemas.openxmlformats.org/officeDocument/2006/relationships/hyperlink" Target="https://www.sec.gov/Archives/edgar/data/4127/000000412722000015/q222exhibit101-2008dltip.htm" TargetMode="External"/><Relationship Id="rId81" Type="http://schemas.openxmlformats.org/officeDocument/2006/relationships/hyperlink" Target="http://www.sec.gov/Archives/edgar/data/4127/000089256908000778/a40452exv10woo.htm" TargetMode="External"/><Relationship Id="rId82" Type="http://schemas.openxmlformats.org/officeDocument/2006/relationships/hyperlink" Target="http://www.sec.gov/Archives/edgar/data/4127/000000412716000049/ex1022008dltiprsuagreement.htm" TargetMode="External"/><Relationship Id="rId83" Type="http://schemas.openxmlformats.org/officeDocument/2006/relationships/hyperlink" Target="https://www.sec.gov/Archives/edgar/data/4127/000000412721000050/q321exhibit102.htm" TargetMode="External"/><Relationship Id="rId84" Type="http://schemas.openxmlformats.org/officeDocument/2006/relationships/hyperlink" Target="http://www.sec.gov/Archives/edgar/data/4127/000000412715000027/exh102optionagreement.htm" TargetMode="External"/><Relationship Id="rId85" Type="http://schemas.openxmlformats.org/officeDocument/2006/relationships/hyperlink" Target="https://www.sec.gov/Archives/edgar/data/4127/000000412722000010/q122ex101_2015ltip-psaagre.htm" TargetMode="External"/><Relationship Id="rId86" Type="http://schemas.openxmlformats.org/officeDocument/2006/relationships/hyperlink" Target="https://www.sec.gov/Archives/edgar/data/4127/000000412722000010/q122ex102_2015ltip-rsuagre.htm" TargetMode="External"/><Relationship Id="rId87" Type="http://schemas.openxmlformats.org/officeDocument/2006/relationships/hyperlink" Target="https://www.sec.gov/Archives/edgar/data/4127/000000412723000010/exhibit103fy23eip.htm" TargetMode="External"/><Relationship Id="rId88" Type="http://schemas.openxmlformats.org/officeDocument/2006/relationships/hyperlink" Target="https://www.sec.gov/Archives/edgar/data/4127/000000412722000015/q222ex102-skyworkssolution.htm" TargetMode="External"/><Relationship Id="rId91" Type="http://schemas.openxmlformats.org/officeDocument/2006/relationships/hyperlink" Target="https://www.sec.gov/Archives/edgar/data/4127/000000412723000025/a101cicagreementgriffin.htm" TargetMode="External"/><Relationship Id="rId92" Type="http://schemas.openxmlformats.org/officeDocument/2006/relationships/hyperlink" Target="https://www.sec.gov/Archives/edgar/data/4127/000000412723000025/a102cicagreementsennesael.htm" TargetMode="External"/><Relationship Id="rId93" Type="http://schemas.openxmlformats.org/officeDocument/2006/relationships/hyperlink" Target="https://www.sec.gov/Archives/edgar/data/4127/000000412723000025/a103cicagreementterry.htm" TargetMode="External"/><Relationship Id="rId94" Type="http://schemas.openxmlformats.org/officeDocument/2006/relationships/hyperlink" Target="https://www.sec.gov/Archives/edgar/data/4127/000000412723000025/a104cicagreementbori.htm" TargetMode="External"/><Relationship Id="rId95" Type="http://schemas.openxmlformats.org/officeDocument/2006/relationships/hyperlink" Target="https://www.sec.gov/Archives/edgar/data/4127/000000412723000025/a105cicagreementdurham.htm" TargetMode="External"/><Relationship Id="rId96" Type="http://schemas.openxmlformats.org/officeDocument/2006/relationships/hyperlink" Target="https://www.sec.gov/Archives/edgar/data/4127/000000412723000025/a106cicagreementkasnavi.htm" TargetMode="External"/><Relationship Id="rId97" Type="http://schemas.openxmlformats.org/officeDocument/2006/relationships/hyperlink" Target="https://www.sec.gov/Archives/edgar/data/4127/000110465921053805/tm2113063d1_ex10-1.htm" TargetMode="External"/><Relationship Id="rId98" Type="http://schemas.openxmlformats.org/officeDocument/2006/relationships/hyperlink" Target="https://www.sec.gov/Archives/edgar/data/4127/000110465921072130/tm2115447d6_ex10-1.htm" TargetMode="External"/><Relationship Id="rId99" Type="http://schemas.openxmlformats.org/officeDocument/2006/relationships/hyperlink" Target="https://www.sec.gov/Archives/edgar/data/4127/000000412723000012/exhibit101swksfirstamendme.htm" TargetMode="External"/><Relationship Id="rId100" Type="http://schemas.openxmlformats.org/officeDocument/2006/relationships/hyperlink" Target="https://www.sec.gov/Archives/edgar/data/4127/000110465921072130/tm2115447d6_ex10-2.htm" TargetMode="External"/><Relationship Id="rId101" Type="http://schemas.openxmlformats.org/officeDocument/2006/relationships/hyperlink" Target="https://www.sec.gov/Archives/edgar/data/4127/000000412723000012/exhibit102swksfirstamendme.htm" TargetMode="External"/><Relationship Id="rId102" Type="http://schemas.openxmlformats.org/officeDocument/2006/relationships/hyperlink" Target="https://www.sec.gov/Archives/edgar/data/4127/000000412723000030/fy2310k92923ex21.htm" TargetMode="External"/><Relationship Id="rId103" Type="http://schemas.openxmlformats.org/officeDocument/2006/relationships/hyperlink" Target="https://www.sec.gov/Archives/edgar/data/4127/000000412723000030/fy2392923ex231kpmgconsent.htm" TargetMode="External"/><Relationship Id="rId104" Type="http://schemas.openxmlformats.org/officeDocument/2006/relationships/hyperlink" Target="https://www.sec.gov/Archives/edgar/data/4127/000000412723000030/fy2310k92923ex311.htm" TargetMode="External"/><Relationship Id="rId105" Type="http://schemas.openxmlformats.org/officeDocument/2006/relationships/hyperlink" Target="https://www.sec.gov/Archives/edgar/data/4127/000000412723000030/fy2310k92923ex312.htm" TargetMode="External"/><Relationship Id="rId107" Type="http://schemas.openxmlformats.org/officeDocument/2006/relationships/hyperlink" Target="https://www.sec.gov/Archives/edgar/data/4127/000000412723000030/fy2310k92923ex321.htm" TargetMode="External"/><Relationship Id="rId108" Type="http://schemas.openxmlformats.org/officeDocument/2006/relationships/hyperlink" Target="https://www.sec.gov/Archives/edgar/data/4127/000000412723000030/fy2310k92923ex3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2024-01-26T05:15:22Z</dcterms:created>
  <dcterms:modified xsi:type="dcterms:W3CDTF">2024-01-26T05:15:22Z</dcterms:modified>
</cp:coreProperties>
</file>