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177"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7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6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7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60325</wp:posOffset>
            </wp:positionV>
            <wp:extent cx="5974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21" w:lineRule="exact"/>
        <w:rPr>
          <w:sz w:val="24"/>
          <w:szCs w:val="24"/>
          <w:color w:val="auto"/>
        </w:rPr>
      </w:pPr>
    </w:p>
    <w:p>
      <w:pPr>
        <w:ind w:left="3320"/>
        <w:spacing w:after="0"/>
        <w:rPr>
          <w:sz w:val="20"/>
          <w:szCs w:val="20"/>
          <w:color w:val="auto"/>
        </w:rPr>
      </w:pPr>
      <w:r>
        <w:rPr>
          <w:rFonts w:ascii="Arial" w:cs="Arial" w:eastAsia="Arial" w:hAnsi="Arial"/>
          <w:sz w:val="20"/>
          <w:szCs w:val="20"/>
          <w:color w:val="auto"/>
        </w:rPr>
        <w:t>(Name of Registrant as Specified In Its Charter)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279400</wp:posOffset>
            </wp:positionV>
            <wp:extent cx="5974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3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3766820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227330</wp:posOffset>
            </wp:positionV>
            <wp:extent cx="5906135" cy="7475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613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March 28, 2025</w:t>
      </w:r>
    </w:p>
    <w:p>
      <w:pPr>
        <w:spacing w:after="0" w:line="315"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5A8"/>
        </w:rPr>
        <w:t>Dear Stockholder:</w:t>
      </w:r>
    </w:p>
    <w:p>
      <w:pPr>
        <w:spacing w:after="0" w:line="220" w:lineRule="exact"/>
        <w:rPr>
          <w:sz w:val="20"/>
          <w:szCs w:val="20"/>
          <w:color w:val="auto"/>
        </w:rPr>
      </w:pPr>
    </w:p>
    <w:p>
      <w:pPr>
        <w:jc w:val="both"/>
        <w:ind w:left="1580" w:right="799"/>
        <w:spacing w:after="0" w:line="286" w:lineRule="auto"/>
        <w:rPr>
          <w:sz w:val="20"/>
          <w:szCs w:val="20"/>
          <w:color w:val="auto"/>
        </w:rPr>
      </w:pPr>
      <w:r>
        <w:rPr>
          <w:rFonts w:ascii="Arial" w:cs="Arial" w:eastAsia="Arial" w:hAnsi="Arial"/>
          <w:sz w:val="16"/>
          <w:szCs w:val="16"/>
          <w:color w:val="auto"/>
        </w:rPr>
        <w:t>You are invited to attend the 2025 Annual Meeting of Stockholders (the “Annual Meeting”) of Skyworks Solutions, Inc., to be held at:</w:t>
      </w:r>
    </w:p>
    <w:p>
      <w:pPr>
        <w:spacing w:after="0" w:line="174"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Arial" w:cs="Arial" w:eastAsia="Arial" w:hAnsi="Arial"/>
                <w:sz w:val="16"/>
                <w:szCs w:val="16"/>
                <w:color w:val="0075A8"/>
              </w:rPr>
              <w:t>Time:​</w:t>
            </w:r>
          </w:p>
        </w:tc>
        <w:tc>
          <w:tcPr>
            <w:tcW w:w="4740" w:type="dxa"/>
            <w:vAlign w:val="bottom"/>
          </w:tcPr>
          <w:p>
            <w:pPr>
              <w:ind w:left="60"/>
              <w:spacing w:after="0"/>
              <w:rPr>
                <w:sz w:val="20"/>
                <w:szCs w:val="20"/>
                <w:color w:val="auto"/>
              </w:rPr>
            </w:pPr>
            <w:r>
              <w:rPr>
                <w:rFonts w:ascii="Arial" w:cs="Arial" w:eastAsia="Arial" w:hAnsi="Arial"/>
                <w:sz w:val="16"/>
                <w:szCs w:val="16"/>
                <w:color w:val="0075A8"/>
              </w:rPr>
              <w:t>​​11:00 a.m. PDT</w:t>
            </w:r>
          </w:p>
        </w:tc>
        <w:tc>
          <w:tcPr>
            <w:tcW w:w="1260" w:type="dxa"/>
            <w:vAlign w:val="bottom"/>
          </w:tcPr>
          <w:p>
            <w:pPr>
              <w:ind w:left="1200"/>
              <w:spacing w:after="0"/>
              <w:rPr>
                <w:sz w:val="20"/>
                <w:szCs w:val="20"/>
                <w:color w:val="auto"/>
              </w:rPr>
            </w:pPr>
            <w:r>
              <w:rPr>
                <w:rFonts w:ascii="Arial" w:cs="Arial" w:eastAsia="Arial" w:hAnsi="Arial"/>
                <w:sz w:val="16"/>
                <w:szCs w:val="16"/>
                <w:color w:val="0075A8"/>
              </w:rPr>
              <w:t>​</w:t>
            </w:r>
          </w:p>
        </w:tc>
      </w:tr>
      <w:tr>
        <w:trPr>
          <w:trHeight w:val="163"/>
        </w:trPr>
        <w:tc>
          <w:tcPr>
            <w:tcW w:w="660" w:type="dxa"/>
            <w:vAlign w:val="bottom"/>
          </w:tcPr>
          <w:p>
            <w:pPr>
              <w:spacing w:after="0" w:line="163" w:lineRule="exact"/>
              <w:rPr>
                <w:sz w:val="20"/>
                <w:szCs w:val="20"/>
                <w:color w:val="auto"/>
              </w:rPr>
            </w:pPr>
            <w:r>
              <w:rPr>
                <w:rFonts w:ascii="Arial" w:cs="Arial" w:eastAsia="Arial" w:hAnsi="Arial"/>
                <w:sz w:val="16"/>
                <w:szCs w:val="16"/>
                <w:color w:val="0075A8"/>
              </w:rPr>
              <w:t>​</w:t>
            </w:r>
          </w:p>
        </w:tc>
        <w:tc>
          <w:tcPr>
            <w:tcW w:w="4740" w:type="dxa"/>
            <w:vAlign w:val="bottom"/>
          </w:tcPr>
          <w:p>
            <w:pPr>
              <w:ind w:left="60"/>
              <w:spacing w:after="0" w:line="163" w:lineRule="exact"/>
              <w:rPr>
                <w:sz w:val="20"/>
                <w:szCs w:val="20"/>
                <w:color w:val="auto"/>
              </w:rPr>
            </w:pPr>
            <w:r>
              <w:rPr>
                <w:rFonts w:ascii="Arial" w:cs="Arial" w:eastAsia="Arial" w:hAnsi="Arial"/>
                <w:sz w:val="16"/>
                <w:szCs w:val="16"/>
                <w:color w:val="0075A8"/>
              </w:rPr>
              <w:t>​​</w:t>
            </w:r>
          </w:p>
        </w:tc>
        <w:tc>
          <w:tcPr>
            <w:tcW w:w="1260" w:type="dxa"/>
            <w:vAlign w:val="bottom"/>
          </w:tcPr>
          <w:p>
            <w:pPr>
              <w:ind w:left="1200"/>
              <w:spacing w:after="0" w:line="163" w:lineRule="exact"/>
              <w:rPr>
                <w:sz w:val="20"/>
                <w:szCs w:val="20"/>
                <w:color w:val="auto"/>
              </w:rPr>
            </w:pPr>
            <w:r>
              <w:rPr>
                <w:rFonts w:ascii="Arial" w:cs="Arial" w:eastAsia="Arial" w:hAnsi="Arial"/>
                <w:sz w:val="16"/>
                <w:szCs w:val="16"/>
                <w:color w:val="0075A8"/>
              </w:rPr>
              <w:t>​</w:t>
            </w:r>
          </w:p>
        </w:tc>
      </w:tr>
      <w:tr>
        <w:trPr>
          <w:trHeight w:val="80"/>
        </w:trPr>
        <w:tc>
          <w:tcPr>
            <w:tcW w:w="660" w:type="dxa"/>
            <w:vAlign w:val="bottom"/>
          </w:tcPr>
          <w:p>
            <w:pPr>
              <w:spacing w:after="0" w:line="81" w:lineRule="exact"/>
              <w:rPr>
                <w:sz w:val="20"/>
                <w:szCs w:val="20"/>
                <w:color w:val="auto"/>
              </w:rPr>
            </w:pPr>
            <w:r>
              <w:rPr>
                <w:rFonts w:ascii="Arial" w:cs="Arial" w:eastAsia="Arial" w:hAnsi="Arial"/>
                <w:sz w:val="9"/>
                <w:szCs w:val="9"/>
                <w:color w:val="0075A8"/>
              </w:rPr>
              <w:t>Date:</w:t>
            </w:r>
          </w:p>
        </w:tc>
        <w:tc>
          <w:tcPr>
            <w:tcW w:w="4740" w:type="dxa"/>
            <w:vAlign w:val="bottom"/>
          </w:tcPr>
          <w:p>
            <w:pPr>
              <w:ind w:left="120"/>
              <w:spacing w:after="0" w:line="81" w:lineRule="exact"/>
              <w:rPr>
                <w:sz w:val="20"/>
                <w:szCs w:val="20"/>
                <w:color w:val="auto"/>
              </w:rPr>
            </w:pPr>
            <w:r>
              <w:rPr>
                <w:rFonts w:ascii="Arial" w:cs="Arial" w:eastAsia="Arial" w:hAnsi="Arial"/>
                <w:sz w:val="9"/>
                <w:szCs w:val="9"/>
                <w:color w:val="0075A8"/>
              </w:rPr>
              <w:t>Wednesday, May 14, 2025</w:t>
            </w:r>
          </w:p>
        </w:tc>
        <w:tc>
          <w:tcPr>
            <w:tcW w:w="1260" w:type="dxa"/>
            <w:vAlign w:val="bottom"/>
          </w:tcPr>
          <w:p>
            <w:pPr>
              <w:spacing w:after="0"/>
              <w:rPr>
                <w:sz w:val="6"/>
                <w:szCs w:val="6"/>
                <w:color w:val="auto"/>
              </w:rPr>
            </w:pPr>
          </w:p>
        </w:tc>
      </w:tr>
      <w:tr>
        <w:trPr>
          <w:trHeight w:val="163"/>
        </w:trPr>
        <w:tc>
          <w:tcPr>
            <w:tcW w:w="660" w:type="dxa"/>
            <w:vAlign w:val="bottom"/>
          </w:tcPr>
          <w:p>
            <w:pPr>
              <w:spacing w:after="0" w:line="163" w:lineRule="exact"/>
              <w:rPr>
                <w:sz w:val="20"/>
                <w:szCs w:val="20"/>
                <w:color w:val="auto"/>
              </w:rPr>
            </w:pPr>
            <w:r>
              <w:rPr>
                <w:rFonts w:ascii="Arial" w:cs="Arial" w:eastAsia="Arial" w:hAnsi="Arial"/>
                <w:sz w:val="16"/>
                <w:szCs w:val="16"/>
                <w:color w:val="0075A8"/>
              </w:rPr>
              <w:t>​</w:t>
            </w:r>
          </w:p>
        </w:tc>
        <w:tc>
          <w:tcPr>
            <w:tcW w:w="4740" w:type="dxa"/>
            <w:vAlign w:val="bottom"/>
          </w:tcPr>
          <w:p>
            <w:pPr>
              <w:ind w:left="60"/>
              <w:spacing w:after="0" w:line="163" w:lineRule="exact"/>
              <w:rPr>
                <w:sz w:val="20"/>
                <w:szCs w:val="20"/>
                <w:color w:val="auto"/>
              </w:rPr>
            </w:pPr>
            <w:r>
              <w:rPr>
                <w:rFonts w:ascii="Arial" w:cs="Arial" w:eastAsia="Arial" w:hAnsi="Arial"/>
                <w:sz w:val="16"/>
                <w:szCs w:val="16"/>
                <w:color w:val="0075A8"/>
              </w:rPr>
              <w:t>​​</w:t>
            </w:r>
          </w:p>
        </w:tc>
        <w:tc>
          <w:tcPr>
            <w:tcW w:w="1260" w:type="dxa"/>
            <w:vAlign w:val="bottom"/>
          </w:tcPr>
          <w:p>
            <w:pPr>
              <w:ind w:left="1200"/>
              <w:spacing w:after="0" w:line="163" w:lineRule="exact"/>
              <w:rPr>
                <w:sz w:val="20"/>
                <w:szCs w:val="20"/>
                <w:color w:val="auto"/>
              </w:rPr>
            </w:pPr>
            <w:r>
              <w:rPr>
                <w:rFonts w:ascii="Arial" w:cs="Arial" w:eastAsia="Arial" w:hAnsi="Arial"/>
                <w:sz w:val="16"/>
                <w:szCs w:val="16"/>
                <w:color w:val="0075A8"/>
              </w:rPr>
              <w:t>​</w:t>
            </w:r>
          </w:p>
        </w:tc>
      </w:tr>
      <w:tr>
        <w:trPr>
          <w:trHeight w:val="215"/>
        </w:trPr>
        <w:tc>
          <w:tcPr>
            <w:tcW w:w="660" w:type="dxa"/>
            <w:vAlign w:val="bottom"/>
          </w:tcPr>
          <w:p>
            <w:pPr>
              <w:spacing w:after="0"/>
              <w:rPr>
                <w:sz w:val="20"/>
                <w:szCs w:val="20"/>
                <w:color w:val="auto"/>
              </w:rPr>
            </w:pPr>
            <w:r>
              <w:rPr>
                <w:rFonts w:ascii="Arial" w:cs="Arial" w:eastAsia="Arial" w:hAnsi="Arial"/>
                <w:sz w:val="16"/>
                <w:szCs w:val="16"/>
                <w:color w:val="0075A8"/>
              </w:rPr>
              <w:t>Website:</w:t>
            </w:r>
          </w:p>
        </w:tc>
        <w:tc>
          <w:tcPr>
            <w:tcW w:w="4740" w:type="dxa"/>
            <w:vAlign w:val="bottom"/>
          </w:tcPr>
          <w:p>
            <w:pPr>
              <w:ind w:left="120"/>
              <w:spacing w:after="0"/>
              <w:rPr>
                <w:sz w:val="20"/>
                <w:szCs w:val="20"/>
                <w:color w:val="auto"/>
              </w:rPr>
            </w:pPr>
            <w:r>
              <w:rPr>
                <w:rFonts w:ascii="Arial" w:cs="Arial" w:eastAsia="Arial" w:hAnsi="Arial"/>
                <w:sz w:val="16"/>
                <w:szCs w:val="16"/>
                <w:color w:val="0075A8"/>
              </w:rPr>
              <w:t>www.virtualshareholdermeeting.com/SWKS2025</w:t>
            </w:r>
          </w:p>
        </w:tc>
        <w:tc>
          <w:tcPr>
            <w:tcW w:w="1260" w:type="dxa"/>
            <w:vAlign w:val="bottom"/>
          </w:tcPr>
          <w:p>
            <w:pPr>
              <w:spacing w:after="0"/>
              <w:rPr>
                <w:sz w:val="18"/>
                <w:szCs w:val="18"/>
                <w:color w:val="auto"/>
              </w:rPr>
            </w:pPr>
          </w:p>
        </w:tc>
      </w:tr>
    </w:tbl>
    <w:p>
      <w:pPr>
        <w:spacing w:after="0" w:line="230" w:lineRule="exact"/>
        <w:rPr>
          <w:sz w:val="20"/>
          <w:szCs w:val="20"/>
          <w:color w:val="auto"/>
        </w:rPr>
      </w:pPr>
    </w:p>
    <w:p>
      <w:pPr>
        <w:jc w:val="both"/>
        <w:ind w:left="1580" w:right="799"/>
        <w:spacing w:after="0" w:line="259" w:lineRule="auto"/>
        <w:rPr>
          <w:sz w:val="20"/>
          <w:szCs w:val="20"/>
          <w:color w:val="auto"/>
        </w:rPr>
      </w:pPr>
      <w:r>
        <w:rPr>
          <w:rFonts w:ascii="Arial" w:cs="Arial" w:eastAsia="Arial" w:hAnsi="Arial"/>
          <w:sz w:val="16"/>
          <w:szCs w:val="16"/>
          <w:color w:val="auto"/>
        </w:rPr>
        <w:t>You will be able to attend and participate in the Annual Meeting online at the website address above, where you will be able to listen to the meeting live, submit questions, and vote. We look forward to your participation online or by proxy. The attached Notice of 2025 Annual Meeting of Stockholders and Proxy Statement describe the matters that we expect to be acted upon at the Annual Meeting.</w:t>
      </w:r>
    </w:p>
    <w:p>
      <w:pPr>
        <w:spacing w:after="0" w:line="178" w:lineRule="exact"/>
        <w:rPr>
          <w:sz w:val="20"/>
          <w:szCs w:val="20"/>
          <w:color w:val="auto"/>
        </w:rPr>
      </w:pPr>
    </w:p>
    <w:p>
      <w:pPr>
        <w:jc w:val="both"/>
        <w:ind w:left="1580" w:right="799"/>
        <w:spacing w:after="0" w:line="252" w:lineRule="auto"/>
        <w:rPr>
          <w:sz w:val="20"/>
          <w:szCs w:val="20"/>
          <w:color w:val="auto"/>
        </w:rPr>
      </w:pPr>
      <w:r>
        <w:rPr>
          <w:rFonts w:ascii="Arial" w:cs="Arial" w:eastAsia="Arial" w:hAnsi="Arial"/>
          <w:sz w:val="16"/>
          <w:szCs w:val="16"/>
          <w:color w:val="auto"/>
        </w:rPr>
        <w:t>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 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w:t>
      </w:r>
    </w:p>
    <w:p>
      <w:pPr>
        <w:spacing w:after="0" w:line="183"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Robert J. Terry</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Senior Vice President, General Counsel and Secretary</w:t>
      </w:r>
    </w:p>
    <w:p>
      <w:pPr>
        <w:sectPr>
          <w:pgSz w:w="11900" w:h="16838" w:orient="portrait"/>
          <w:cols w:equalWidth="0" w:num="1">
            <w:col w:w="9719"/>
          </w:cols>
          <w:pgMar w:left="740" w:top="165"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227330</wp:posOffset>
            </wp:positionV>
            <wp:extent cx="5906135" cy="7475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613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Letter from Chairman of the Board</w:t>
      </w:r>
    </w:p>
    <w:p>
      <w:pPr>
        <w:spacing w:after="0" w:line="83"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5A8"/>
        </w:rPr>
        <w:t>Dear Fellow Stockholder:</w:t>
      </w:r>
    </w:p>
    <w:p>
      <w:pPr>
        <w:spacing w:after="0" w:line="69"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On behalf of the entire Board of Directors, I thank you for your continued support of Skyworks.</w:t>
      </w:r>
    </w:p>
    <w:p>
      <w:pPr>
        <w:spacing w:after="0" w:line="57" w:lineRule="exact"/>
        <w:rPr>
          <w:sz w:val="20"/>
          <w:szCs w:val="20"/>
          <w:color w:val="auto"/>
        </w:rPr>
      </w:pPr>
    </w:p>
    <w:p>
      <w:pPr>
        <w:jc w:val="both"/>
        <w:ind w:left="1580" w:right="799"/>
        <w:spacing w:after="0" w:line="236" w:lineRule="auto"/>
        <w:rPr>
          <w:sz w:val="20"/>
          <w:szCs w:val="20"/>
          <w:color w:val="auto"/>
        </w:rPr>
      </w:pPr>
      <w:r>
        <w:rPr>
          <w:rFonts w:ascii="Arial" w:cs="Arial" w:eastAsia="Arial" w:hAnsi="Arial"/>
          <w:sz w:val="15"/>
          <w:szCs w:val="15"/>
          <w:color w:val="auto"/>
        </w:rPr>
        <w:t>Despite macroeconomic headwinds and a challenging year, our resilient business model allowed us to generate annual operating cash flow of $1.825 billion for fiscal year 2024. This enabled us to increase the total amount of our quarterly dividends distributed this past year compared to fiscal year 2023, and to continue making critical investments in both strategic core competencies and the diversification and reach of our business to drive long-term stockholder value.</w:t>
      </w:r>
    </w:p>
    <w:p>
      <w:pPr>
        <w:spacing w:after="0" w:line="29" w:lineRule="exact"/>
        <w:rPr>
          <w:sz w:val="20"/>
          <w:szCs w:val="20"/>
          <w:color w:val="auto"/>
        </w:rPr>
      </w:pPr>
    </w:p>
    <w:p>
      <w:pPr>
        <w:jc w:val="both"/>
        <w:ind w:left="1580" w:right="799"/>
        <w:spacing w:after="0" w:line="233" w:lineRule="auto"/>
        <w:rPr>
          <w:sz w:val="20"/>
          <w:szCs w:val="20"/>
          <w:color w:val="auto"/>
        </w:rPr>
      </w:pPr>
      <w:r>
        <w:rPr>
          <w:rFonts w:ascii="Arial" w:cs="Arial" w:eastAsia="Arial" w:hAnsi="Arial"/>
          <w:sz w:val="15"/>
          <w:szCs w:val="15"/>
          <w:color w:val="auto"/>
        </w:rPr>
        <w:t>As the competitive landscape has intensified, these investments are more important than ever, and we remain steadfast in our commitment to invest and innovate around our technology roadmaps. We continue to deliver leading edge wireless solutions to key customers by leveraging our sustained investments in semiconductor and filter technologies, advanced packaging and heterogeneous integration capabilities. With our global manufacturing footprint, these investments will enable us to compete for and deliver wireless, mixed signal and analog solutions to a wide array of customers and segments ranging from mobile to IoT, automotive, and data center.</w:t>
      </w:r>
    </w:p>
    <w:p>
      <w:pPr>
        <w:spacing w:after="0" w:line="43" w:lineRule="exact"/>
        <w:rPr>
          <w:sz w:val="20"/>
          <w:szCs w:val="20"/>
          <w:color w:val="auto"/>
        </w:rPr>
      </w:pPr>
    </w:p>
    <w:p>
      <w:pPr>
        <w:jc w:val="both"/>
        <w:ind w:left="1580" w:right="799"/>
        <w:spacing w:after="0" w:line="230" w:lineRule="auto"/>
        <w:rPr>
          <w:sz w:val="20"/>
          <w:szCs w:val="20"/>
          <w:color w:val="auto"/>
        </w:rPr>
      </w:pPr>
      <w:r>
        <w:rPr>
          <w:rFonts w:ascii="Arial" w:cs="Arial" w:eastAsia="Arial" w:hAnsi="Arial"/>
          <w:sz w:val="15"/>
          <w:szCs w:val="15"/>
          <w:color w:val="auto"/>
        </w:rPr>
        <w:t>Following a robust search process, in February 2025 we welcomed Philip G. Brace as our President and Chief Executive Officer and as a member of the Board of Directors. Phil’s appointment was the culmination of a comprehensive and thoughtful succession planning process led by our Board and conducted with the help of an executive search firm. In choosing the next leader for Skyworks, the Board of Directors was focused on finding an individual with the skills, experience, and leadership to take Skyworks to the next level as we work to deliver operational excellence, innovate leading technologies and diversify our offerings in a dynamic industry. Phil has deep knowledge of the semiconductor, server, IoT and storage industries and has strong experience leading businesses to identify and capture market growth opportunities. Phil’s strategic insight and leadership ability reinforce our confidence that the Company will deliver on our long-term strategy and initiatives. We also want to thank Liam Griffin for his leadership as Chief Executive Officer and the many contributions he made to Skyworks over his 23 years at the Company.</w:t>
      </w:r>
    </w:p>
    <w:p>
      <w:pPr>
        <w:spacing w:after="0" w:line="31" w:lineRule="exact"/>
        <w:rPr>
          <w:sz w:val="20"/>
          <w:szCs w:val="20"/>
          <w:color w:val="auto"/>
        </w:rPr>
      </w:pPr>
    </w:p>
    <w:p>
      <w:pPr>
        <w:jc w:val="both"/>
        <w:ind w:left="1580" w:right="799"/>
        <w:spacing w:after="0" w:line="233" w:lineRule="auto"/>
        <w:rPr>
          <w:sz w:val="20"/>
          <w:szCs w:val="20"/>
          <w:color w:val="auto"/>
        </w:rPr>
      </w:pPr>
      <w:r>
        <w:rPr>
          <w:rFonts w:ascii="Arial" w:cs="Arial" w:eastAsia="Arial" w:hAnsi="Arial"/>
          <w:sz w:val="15"/>
          <w:szCs w:val="15"/>
          <w:color w:val="auto"/>
        </w:rPr>
        <w:t>Our Board believes that stockholder engagement is a fundamental element of sound corporate governance. In 2024, we reached out to stockholders representing approximately 54% of our outstanding stock and held discussions with all stockholders who expressed interest in engaging. Discussion topics included executive compensation, corporate governance and sustainability efforts. After discussions with stockholders, we made responsive changes to our executive compensation program by increasing the performance and vesting periods for the EBITDA margin percentile ranking metric for fiscal year 2025 performance share awards. Stockholder feedback remains a valued input in Board decision-making.</w:t>
      </w:r>
    </w:p>
    <w:p>
      <w:pPr>
        <w:spacing w:after="0" w:line="29" w:lineRule="exact"/>
        <w:rPr>
          <w:sz w:val="20"/>
          <w:szCs w:val="20"/>
          <w:color w:val="auto"/>
        </w:rPr>
      </w:pPr>
    </w:p>
    <w:p>
      <w:pPr>
        <w:jc w:val="both"/>
        <w:ind w:left="1580" w:right="799"/>
        <w:spacing w:after="0" w:line="234" w:lineRule="auto"/>
        <w:rPr>
          <w:sz w:val="20"/>
          <w:szCs w:val="20"/>
          <w:color w:val="auto"/>
        </w:rPr>
      </w:pPr>
      <w:r>
        <w:rPr>
          <w:rFonts w:ascii="Arial" w:cs="Arial" w:eastAsia="Arial" w:hAnsi="Arial"/>
          <w:sz w:val="15"/>
          <w:szCs w:val="15"/>
          <w:color w:val="auto"/>
        </w:rPr>
        <w:t>Last year, we published our 2023 Sustainability Report, providing updates on topics including environmental responsibility, cybersecurity, and supply chain management. We were pleased to announce that we strengthened our scope 1 and 2 CO2e emissions reduction target and disclosed certain scope 3 CO2e emissions data for the first time. We also reported improvements in scope 1 and 2 CO2e emissions. During our stockholder engagement, many of our stockholders provided feedback supporting our sustainability journey and encouraged us to continue on our path.</w:t>
      </w:r>
    </w:p>
    <w:p>
      <w:pPr>
        <w:spacing w:after="0" w:line="44" w:lineRule="exact"/>
        <w:rPr>
          <w:sz w:val="20"/>
          <w:szCs w:val="20"/>
          <w:color w:val="auto"/>
        </w:rPr>
      </w:pPr>
    </w:p>
    <w:p>
      <w:pPr>
        <w:jc w:val="both"/>
        <w:ind w:left="1580" w:right="799"/>
        <w:spacing w:after="0" w:line="264" w:lineRule="auto"/>
        <w:rPr>
          <w:sz w:val="20"/>
          <w:szCs w:val="20"/>
          <w:color w:val="auto"/>
        </w:rPr>
      </w:pPr>
      <w:r>
        <w:rPr>
          <w:rFonts w:ascii="Arial" w:cs="Arial" w:eastAsia="Arial" w:hAnsi="Arial"/>
          <w:sz w:val="15"/>
          <w:szCs w:val="15"/>
          <w:color w:val="auto"/>
        </w:rPr>
        <w:t>Thank you for your investment in Skyworks and continued confidence in the Board. We look forward to continuing our dialogue with you in the year to come.</w:t>
      </w:r>
    </w:p>
    <w:p>
      <w:pPr>
        <w:spacing w:after="0" w:line="12"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With appreciation,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0075A8"/>
        </w:rPr>
        <w:t>Christine King</w:t>
      </w:r>
    </w:p>
    <w:p>
      <w:pPr>
        <w:spacing w:after="0" w:line="6" w:lineRule="exact"/>
        <w:rPr>
          <w:sz w:val="20"/>
          <w:szCs w:val="20"/>
          <w:color w:val="auto"/>
        </w:rPr>
      </w:pPr>
    </w:p>
    <w:p>
      <w:pPr>
        <w:ind w:left="1580"/>
        <w:spacing w:after="0"/>
        <w:rPr>
          <w:sz w:val="20"/>
          <w:szCs w:val="20"/>
          <w:color w:val="auto"/>
        </w:rPr>
      </w:pPr>
      <w:r>
        <w:rPr>
          <w:rFonts w:ascii="Arial" w:cs="Arial" w:eastAsia="Arial" w:hAnsi="Arial"/>
          <w:sz w:val="15"/>
          <w:szCs w:val="15"/>
          <w:i w:val="1"/>
          <w:iCs w:val="1"/>
          <w:color w:val="auto"/>
        </w:rPr>
        <w:t>Chairman of the Board</w:t>
      </w:r>
    </w:p>
    <w:p>
      <w:pPr>
        <w:sectPr>
          <w:pgSz w:w="11900" w:h="16838" w:orient="portrait"/>
          <w:cols w:equalWidth="0" w:num="1">
            <w:col w:w="9719"/>
          </w:cols>
          <w:pgMar w:left="740" w:top="165"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201295</wp:posOffset>
            </wp:positionV>
            <wp:extent cx="1568450"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780"/>
        <w:spacing w:after="0"/>
        <w:rPr>
          <w:sz w:val="20"/>
          <w:szCs w:val="20"/>
          <w:color w:val="auto"/>
        </w:rPr>
      </w:pPr>
      <w:r>
        <w:rPr>
          <w:rFonts w:ascii="Arial" w:cs="Arial" w:eastAsia="Arial" w:hAnsi="Arial"/>
          <w:sz w:val="29"/>
          <w:szCs w:val="29"/>
          <w:b w:val="1"/>
          <w:bCs w:val="1"/>
          <w:color w:val="auto"/>
        </w:rPr>
        <w:t>NOTICE OF 2025 ANNUAL MEETING OF STOCKHOLDERS</w:t>
      </w:r>
    </w:p>
    <w:p>
      <w:pPr>
        <w:sectPr>
          <w:pgSz w:w="11900" w:h="16838" w:orient="portrait"/>
          <w:cols w:equalWidth="0" w:num="1">
            <w:col w:w="10120"/>
          </w:cols>
          <w:pgMar w:left="580" w:top="97" w:right="119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-131445</wp:posOffset>
            </wp:positionV>
            <wp:extent cx="454025"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420" w:hanging="766"/>
        <w:spacing w:after="0"/>
        <w:tabs>
          <w:tab w:leader="none" w:pos="1420" w:val="left"/>
        </w:tabs>
        <w:numPr>
          <w:ilvl w:val="0"/>
          <w:numId w:val="4"/>
        </w:numPr>
        <w:rPr>
          <w:rFonts w:ascii="Arial" w:cs="Arial" w:eastAsia="Arial" w:hAnsi="Arial"/>
          <w:sz w:val="39"/>
          <w:szCs w:val="39"/>
          <w:b w:val="1"/>
          <w:bCs w:val="1"/>
          <w:color w:val="auto"/>
          <w:vertAlign w:val="superscript"/>
        </w:rPr>
      </w:pPr>
      <w:r>
        <w:rPr>
          <w:rFonts w:ascii="Arial" w:cs="Arial" w:eastAsia="Arial" w:hAnsi="Arial"/>
          <w:sz w:val="19"/>
          <w:szCs w:val="19"/>
          <w:b w:val="1"/>
          <w:bCs w:val="1"/>
          <w:color w:val="auto"/>
        </w:rPr>
        <w:t>Date and Time</w:t>
      </w:r>
    </w:p>
    <w:p>
      <w:pPr>
        <w:ind w:left="1420" w:right="100" w:hanging="766"/>
        <w:spacing w:after="0" w:line="279" w:lineRule="auto"/>
        <w:tabs>
          <w:tab w:leader="none" w:pos="1478" w:val="left"/>
        </w:tabs>
        <w:numPr>
          <w:ilvl w:val="0"/>
          <w:numId w:val="4"/>
        </w:numPr>
        <w:rPr>
          <w:rFonts w:ascii="Arial" w:cs="Arial" w:eastAsia="Arial" w:hAnsi="Arial"/>
          <w:sz w:val="19"/>
          <w:szCs w:val="19"/>
          <w:color w:val="auto"/>
        </w:rPr>
      </w:pPr>
      <w:r>
        <w:rPr>
          <w:rFonts w:ascii="Arial" w:cs="Arial" w:eastAsia="Arial" w:hAnsi="Arial"/>
          <w:sz w:val="19"/>
          <w:szCs w:val="19"/>
          <w:color w:val="auto"/>
        </w:rPr>
        <w:t>May 14, 2025 11:00 a.m. PDT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720" w:type="dxa"/>
            <w:vAlign w:val="bottom"/>
          </w:tcPr>
          <w:p>
            <w:pPr>
              <w:spacing w:after="0"/>
              <w:rPr>
                <w:sz w:val="20"/>
                <w:szCs w:val="20"/>
                <w:color w:val="auto"/>
              </w:rPr>
            </w:pPr>
            <w:r>
              <w:rPr>
                <w:rFonts w:ascii="Arial" w:cs="Arial" w:eastAsia="Arial" w:hAnsi="Arial"/>
                <w:sz w:val="20"/>
                <w:szCs w:val="20"/>
                <w:color w:val="auto"/>
              </w:rPr>
              <w:t>​ ​</w:t>
            </w:r>
          </w:p>
        </w:tc>
        <w:tc>
          <w:tcPr>
            <w:tcW w:w="2140" w:type="dxa"/>
            <w:vAlign w:val="bottom"/>
          </w:tcPr>
          <w:p>
            <w:pPr>
              <w:spacing w:after="0"/>
              <w:rPr>
                <w:sz w:val="22"/>
                <w:szCs w:val="22"/>
                <w:color w:val="auto"/>
              </w:rPr>
            </w:pPr>
          </w:p>
        </w:tc>
        <w:tc>
          <w:tcPr>
            <w:tcW w:w="1120" w:type="dxa"/>
            <w:vAlign w:val="bottom"/>
          </w:tcPr>
          <w:p>
            <w:pPr>
              <w:ind w:left="580"/>
              <w:spacing w:after="0"/>
              <w:rPr>
                <w:sz w:val="20"/>
                <w:szCs w:val="20"/>
                <w:color w:val="auto"/>
              </w:rPr>
            </w:pPr>
            <w:r>
              <w:rPr>
                <w:rFonts w:ascii="Arial" w:cs="Arial" w:eastAsia="Arial" w:hAnsi="Arial"/>
                <w:sz w:val="20"/>
                <w:szCs w:val="20"/>
                <w:color w:val="auto"/>
              </w:rPr>
              <w:t>​ ​</w:t>
            </w:r>
          </w:p>
        </w:tc>
        <w:tc>
          <w:tcPr>
            <w:tcW w:w="1740" w:type="dxa"/>
            <w:vAlign w:val="bottom"/>
          </w:tcPr>
          <w:p>
            <w:pPr>
              <w:spacing w:after="0"/>
              <w:rPr>
                <w:sz w:val="22"/>
                <w:szCs w:val="22"/>
                <w:color w:val="auto"/>
              </w:rPr>
            </w:pPr>
          </w:p>
        </w:tc>
      </w:tr>
      <w:tr>
        <w:trPr>
          <w:trHeight w:val="819"/>
        </w:trPr>
        <w:tc>
          <w:tcPr>
            <w:tcW w:w="720" w:type="dxa"/>
            <w:vAlign w:val="bottom"/>
          </w:tcPr>
          <w:p>
            <w:pPr>
              <w:spacing w:after="0"/>
              <w:rPr>
                <w:sz w:val="20"/>
                <w:szCs w:val="20"/>
                <w:color w:val="auto"/>
              </w:rPr>
            </w:pPr>
            <w:r>
              <w:rPr>
                <w:rFonts w:ascii="Arial" w:cs="Arial" w:eastAsia="Arial" w:hAnsi="Arial"/>
                <w:sz w:val="20"/>
                <w:szCs w:val="20"/>
                <w:b w:val="1"/>
                <w:bCs w:val="1"/>
                <w:color w:val="auto"/>
              </w:rPr>
              <w:t>​ ​</w:t>
            </w:r>
          </w:p>
        </w:tc>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8"/>
              </w:rPr>
              <w:t>Location</w:t>
            </w:r>
          </w:p>
        </w:tc>
        <w:tc>
          <w:tcPr>
            <w:tcW w:w="1120" w:type="dxa"/>
            <w:vAlign w:val="bottom"/>
          </w:tcPr>
          <w:p>
            <w:pPr>
              <w:ind w:left="580"/>
              <w:spacing w:after="0"/>
              <w:rPr>
                <w:sz w:val="20"/>
                <w:szCs w:val="20"/>
                <w:color w:val="auto"/>
              </w:rPr>
            </w:pPr>
            <w:r>
              <w:rPr>
                <w:rFonts w:ascii="Arial" w:cs="Arial" w:eastAsia="Arial" w:hAnsi="Arial"/>
                <w:sz w:val="20"/>
                <w:szCs w:val="20"/>
                <w:b w:val="1"/>
                <w:bCs w:val="1"/>
                <w:color w:val="auto"/>
              </w:rPr>
              <w:t>​ ​</w:t>
            </w:r>
          </w:p>
        </w:tc>
        <w:tc>
          <w:tcPr>
            <w:tcW w:w="1740" w:type="dxa"/>
            <w:vAlign w:val="bottom"/>
          </w:tcPr>
          <w:p>
            <w:pPr>
              <w:jc w:val="center"/>
              <w:ind w:left="281"/>
              <w:spacing w:after="0"/>
              <w:rPr>
                <w:sz w:val="20"/>
                <w:szCs w:val="20"/>
                <w:color w:val="auto"/>
              </w:rPr>
            </w:pPr>
            <w:r>
              <w:rPr>
                <w:rFonts w:ascii="Arial" w:cs="Arial" w:eastAsia="Arial" w:hAnsi="Arial"/>
                <w:sz w:val="20"/>
                <w:szCs w:val="20"/>
                <w:b w:val="1"/>
                <w:bCs w:val="1"/>
                <w:color w:val="auto"/>
                <w:w w:val="98"/>
              </w:rPr>
              <w:t>Record Date</w:t>
            </w:r>
          </w:p>
        </w:tc>
      </w:tr>
      <w:tr>
        <w:trPr>
          <w:trHeight w:val="257"/>
        </w:trPr>
        <w:tc>
          <w:tcPr>
            <w:tcW w:w="3980" w:type="dxa"/>
            <w:vAlign w:val="bottom"/>
            <w:gridSpan w:val="3"/>
          </w:tcPr>
          <w:p>
            <w:pPr>
              <w:spacing w:after="0"/>
              <w:rPr>
                <w:sz w:val="20"/>
                <w:szCs w:val="20"/>
                <w:color w:val="auto"/>
              </w:rPr>
            </w:pPr>
            <w:r>
              <w:rPr>
                <w:rFonts w:ascii="Arial" w:cs="Arial" w:eastAsia="Arial" w:hAnsi="Arial"/>
                <w:sz w:val="20"/>
                <w:szCs w:val="20"/>
                <w:color w:val="auto"/>
              </w:rPr>
              <w:t>​ ​ www.virtualshareholdermeeting.com/​ ​ ​</w:t>
            </w:r>
          </w:p>
        </w:tc>
        <w:tc>
          <w:tcPr>
            <w:tcW w:w="1740" w:type="dxa"/>
            <w:vAlign w:val="bottom"/>
          </w:tcPr>
          <w:p>
            <w:pPr>
              <w:jc w:val="center"/>
              <w:ind w:left="281"/>
              <w:spacing w:after="0"/>
              <w:rPr>
                <w:sz w:val="20"/>
                <w:szCs w:val="20"/>
                <w:color w:val="auto"/>
              </w:rPr>
            </w:pPr>
            <w:r>
              <w:rPr>
                <w:rFonts w:ascii="Arial" w:cs="Arial" w:eastAsia="Arial" w:hAnsi="Arial"/>
                <w:sz w:val="20"/>
                <w:szCs w:val="20"/>
                <w:color w:val="auto"/>
                <w:w w:val="97"/>
              </w:rPr>
              <w:t>March 20, 2025</w:t>
            </w:r>
          </w:p>
        </w:tc>
      </w:tr>
      <w:tr>
        <w:trPr>
          <w:trHeight w:val="261"/>
        </w:trPr>
        <w:tc>
          <w:tcPr>
            <w:tcW w:w="72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20"/>
                <w:szCs w:val="20"/>
                <w:color w:val="auto"/>
                <w:w w:val="98"/>
              </w:rPr>
              <w:t>SWKS2025</w:t>
            </w:r>
          </w:p>
        </w:tc>
        <w:tc>
          <w:tcPr>
            <w:tcW w:w="1120" w:type="dxa"/>
            <w:vAlign w:val="bottom"/>
          </w:tcPr>
          <w:p>
            <w:pPr>
              <w:spacing w:after="0"/>
              <w:rPr>
                <w:sz w:val="22"/>
                <w:szCs w:val="22"/>
                <w:color w:val="auto"/>
              </w:rPr>
            </w:pPr>
          </w:p>
        </w:tc>
        <w:tc>
          <w:tcPr>
            <w:tcW w:w="17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-1000125</wp:posOffset>
            </wp:positionV>
            <wp:extent cx="51435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47180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-1000125</wp:posOffset>
            </wp:positionV>
            <wp:extent cx="45402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77" w:lineRule="exact"/>
        <w:rPr>
          <w:sz w:val="20"/>
          <w:szCs w:val="20"/>
          <w:color w:val="auto"/>
        </w:rPr>
      </w:pPr>
    </w:p>
    <w:p>
      <w:pPr>
        <w:sectPr>
          <w:pgSz w:w="11900" w:h="16838" w:orient="portrait"/>
          <w:cols w:equalWidth="0" w:num="3">
            <w:col w:w="2860" w:space="720"/>
            <w:col w:w="5760" w:space="720"/>
            <w:col w:w="60"/>
          </w:cols>
          <w:pgMar w:left="580" w:top="97" w:right="1199" w:bottom="1440" w:gutter="0" w:footer="0" w:header="0"/>
          <w:type w:val="continuous"/>
        </w:sectPr>
      </w:pPr>
    </w:p>
    <w:p>
      <w:pPr>
        <w:ind w:left="660"/>
        <w:spacing w:after="0"/>
        <w:rPr>
          <w:sz w:val="20"/>
          <w:szCs w:val="20"/>
          <w:color w:val="auto"/>
        </w:rPr>
      </w:pPr>
      <w:r>
        <w:rPr>
          <w:rFonts w:ascii="Arial" w:cs="Arial" w:eastAsia="Arial" w:hAnsi="Arial"/>
          <w:sz w:val="23"/>
          <w:szCs w:val="23"/>
          <w:b w:val="1"/>
          <w:bCs w:val="1"/>
          <w:color w:val="auto"/>
        </w:rPr>
        <w:t>Items of Business</w:t>
      </w:r>
    </w:p>
    <w:p>
      <w:pPr>
        <w:spacing w:after="0" w:line="98" w:lineRule="exact"/>
        <w:rPr>
          <w:sz w:val="20"/>
          <w:szCs w:val="20"/>
          <w:color w:val="auto"/>
        </w:rPr>
      </w:pPr>
    </w:p>
    <w:p>
      <w:pPr>
        <w:ind w:left="1200" w:right="500" w:hanging="546"/>
        <w:spacing w:after="0" w:line="300" w:lineRule="auto"/>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elect nine individuals nominated to serve as directors of the Company with terms expiring at the 2026 Annual Meeting of Stockholders and named in the Proxy Statement;</w:t>
      </w:r>
    </w:p>
    <w:p>
      <w:pPr>
        <w:spacing w:after="0" w:line="19" w:lineRule="exact"/>
        <w:rPr>
          <w:rFonts w:ascii="Arial" w:cs="Arial" w:eastAsia="Arial" w:hAnsi="Arial"/>
          <w:sz w:val="20"/>
          <w:szCs w:val="20"/>
          <w:color w:val="auto"/>
        </w:rPr>
      </w:pPr>
    </w:p>
    <w:p>
      <w:pPr>
        <w:ind w:left="1200" w:right="160" w:hanging="546"/>
        <w:spacing w:after="0" w:line="311" w:lineRule="auto"/>
        <w:tabs>
          <w:tab w:leader="none" w:pos="120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ratify the selection by the Company’s Audit Committee of KPMG LLP as the independent registered public accounting firm for the Company for our fiscal year ending October 3, 2025 (“fiscal year 2025”);</w:t>
      </w:r>
    </w:p>
    <w:p>
      <w:pPr>
        <w:ind w:left="1200" w:hanging="546"/>
        <w:spacing w:after="0"/>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on an advisory basis, the compensation of the Company’s named executive officers;</w:t>
      </w:r>
    </w:p>
    <w:p>
      <w:pPr>
        <w:spacing w:after="0" w:line="107" w:lineRule="exact"/>
        <w:rPr>
          <w:rFonts w:ascii="Arial" w:cs="Arial" w:eastAsia="Arial" w:hAnsi="Arial"/>
          <w:sz w:val="20"/>
          <w:szCs w:val="20"/>
          <w:color w:val="auto"/>
        </w:rPr>
      </w:pPr>
    </w:p>
    <w:p>
      <w:pPr>
        <w:ind w:left="1200" w:right="1140" w:hanging="546"/>
        <w:spacing w:after="0" w:line="286" w:lineRule="auto"/>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consider two stockholder proposals, if properly presented at the 2025 Annual Meeting of Stockholders (the “Annual Meeting”); and</w:t>
      </w:r>
    </w:p>
    <w:p>
      <w:pPr>
        <w:spacing w:after="0" w:line="18" w:lineRule="exact"/>
        <w:rPr>
          <w:rFonts w:ascii="Arial" w:cs="Arial" w:eastAsia="Arial" w:hAnsi="Arial"/>
          <w:sz w:val="20"/>
          <w:szCs w:val="20"/>
          <w:color w:val="auto"/>
        </w:rPr>
      </w:pPr>
    </w:p>
    <w:p>
      <w:pPr>
        <w:ind w:left="1200" w:hanging="546"/>
        <w:spacing w:after="0"/>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Annual Meeting.</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90"/>
        </w:trPr>
        <w:tc>
          <w:tcPr>
            <w:tcW w:w="1820" w:type="dxa"/>
            <w:vAlign w:val="bottom"/>
            <w:shd w:val="clear" w:color="auto" w:fill="0075A8"/>
          </w:tcPr>
          <w:p>
            <w:pPr>
              <w:ind w:left="60"/>
              <w:spacing w:after="0"/>
              <w:rPr>
                <w:sz w:val="20"/>
                <w:szCs w:val="20"/>
                <w:color w:val="auto"/>
              </w:rPr>
            </w:pPr>
            <w:r>
              <w:rPr>
                <w:rFonts w:ascii="Arial" w:cs="Arial" w:eastAsia="Arial" w:hAnsi="Arial"/>
                <w:sz w:val="22"/>
                <w:szCs w:val="22"/>
                <w:b w:val="1"/>
                <w:bCs w:val="1"/>
                <w:color w:val="FFFFFF"/>
              </w:rPr>
              <w:t>​</w:t>
            </w:r>
          </w:p>
        </w:tc>
        <w:tc>
          <w:tcPr>
            <w:tcW w:w="5780" w:type="dxa"/>
            <w:vAlign w:val="bottom"/>
            <w:vMerge w:val="restart"/>
            <w:shd w:val="clear" w:color="auto" w:fill="0075A8"/>
          </w:tcPr>
          <w:p>
            <w:pPr>
              <w:ind w:left="1700"/>
              <w:spacing w:after="0"/>
              <w:rPr>
                <w:sz w:val="20"/>
                <w:szCs w:val="20"/>
                <w:color w:val="auto"/>
              </w:rPr>
            </w:pPr>
            <w:r>
              <w:rPr>
                <w:rFonts w:ascii="Arial" w:cs="Arial" w:eastAsia="Arial" w:hAnsi="Arial"/>
                <w:sz w:val="22"/>
                <w:szCs w:val="22"/>
                <w:b w:val="1"/>
                <w:bCs w:val="1"/>
                <w:color w:val="FFFFFF"/>
              </w:rPr>
              <w:t>Your Vote Is Important.</w:t>
            </w:r>
          </w:p>
        </w:tc>
        <w:tc>
          <w:tcPr>
            <w:tcW w:w="1800" w:type="dxa"/>
            <w:vAlign w:val="bottom"/>
            <w:shd w:val="clear" w:color="auto" w:fill="0075A8"/>
          </w:tcPr>
          <w:p>
            <w:pPr>
              <w:ind w:left="1720"/>
              <w:spacing w:after="0"/>
              <w:rPr>
                <w:sz w:val="20"/>
                <w:szCs w:val="20"/>
                <w:color w:val="auto"/>
              </w:rPr>
            </w:pPr>
            <w:r>
              <w:rPr>
                <w:rFonts w:ascii="Arial" w:cs="Arial" w:eastAsia="Arial" w:hAnsi="Arial"/>
                <w:sz w:val="22"/>
                <w:szCs w:val="22"/>
                <w:b w:val="1"/>
                <w:bCs w:val="1"/>
                <w:color w:val="FFFFFF"/>
              </w:rPr>
              <w:t>​</w:t>
            </w:r>
          </w:p>
        </w:tc>
        <w:tc>
          <w:tcPr>
            <w:tcW w:w="0" w:type="dxa"/>
            <w:vAlign w:val="bottom"/>
          </w:tcPr>
          <w:p>
            <w:pPr>
              <w:spacing w:after="0"/>
              <w:rPr>
                <w:sz w:val="1"/>
                <w:szCs w:val="1"/>
                <w:color w:val="auto"/>
              </w:rPr>
            </w:pPr>
          </w:p>
        </w:tc>
      </w:tr>
      <w:tr>
        <w:trPr>
          <w:trHeight w:val="80"/>
        </w:trPr>
        <w:tc>
          <w:tcPr>
            <w:tcW w:w="1820" w:type="dxa"/>
            <w:vAlign w:val="bottom"/>
            <w:shd w:val="clear" w:color="auto" w:fill="0075A8"/>
          </w:tcPr>
          <w:p>
            <w:pPr>
              <w:spacing w:after="0"/>
              <w:rPr>
                <w:sz w:val="6"/>
                <w:szCs w:val="6"/>
                <w:color w:val="auto"/>
              </w:rPr>
            </w:pPr>
          </w:p>
        </w:tc>
        <w:tc>
          <w:tcPr>
            <w:tcW w:w="5780" w:type="dxa"/>
            <w:vAlign w:val="bottom"/>
            <w:vMerge w:val="continue"/>
            <w:shd w:val="clear" w:color="auto" w:fill="0075A8"/>
          </w:tcPr>
          <w:p>
            <w:pPr>
              <w:spacing w:after="0"/>
              <w:rPr>
                <w:sz w:val="6"/>
                <w:szCs w:val="6"/>
                <w:color w:val="auto"/>
              </w:rPr>
            </w:pPr>
          </w:p>
        </w:tc>
        <w:tc>
          <w:tcPr>
            <w:tcW w:w="1800" w:type="dxa"/>
            <w:vAlign w:val="bottom"/>
            <w:shd w:val="clear" w:color="auto" w:fill="0075A8"/>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820" w:type="dxa"/>
            <w:vAlign w:val="bottom"/>
            <w:shd w:val="clear" w:color="auto" w:fill="0075A8"/>
          </w:tcPr>
          <w:p>
            <w:pPr>
              <w:spacing w:after="0"/>
              <w:rPr>
                <w:sz w:val="5"/>
                <w:szCs w:val="5"/>
                <w:color w:val="auto"/>
              </w:rPr>
            </w:pPr>
          </w:p>
        </w:tc>
        <w:tc>
          <w:tcPr>
            <w:tcW w:w="5780" w:type="dxa"/>
            <w:vAlign w:val="bottom"/>
            <w:shd w:val="clear" w:color="auto" w:fill="0075A8"/>
          </w:tcPr>
          <w:p>
            <w:pPr>
              <w:spacing w:after="0"/>
              <w:rPr>
                <w:sz w:val="5"/>
                <w:szCs w:val="5"/>
                <w:color w:val="auto"/>
              </w:rPr>
            </w:pPr>
          </w:p>
        </w:tc>
        <w:tc>
          <w:tcPr>
            <w:tcW w:w="1800" w:type="dxa"/>
            <w:vAlign w:val="bottom"/>
            <w:shd w:val="clear" w:color="auto" w:fill="0075A8"/>
          </w:tcPr>
          <w:p>
            <w:pPr>
              <w:spacing w:after="0"/>
              <w:rPr>
                <w:sz w:val="5"/>
                <w:szCs w:val="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140"/>
        <w:spacing w:after="0" w:line="241" w:lineRule="auto"/>
        <w:rPr>
          <w:sz w:val="20"/>
          <w:szCs w:val="20"/>
          <w:color w:val="auto"/>
        </w:rPr>
      </w:pPr>
      <w:r>
        <w:rPr>
          <w:rFonts w:ascii="Arial" w:cs="Arial" w:eastAsia="Arial" w:hAnsi="Arial"/>
          <w:sz w:val="20"/>
          <w:szCs w:val="20"/>
          <w:color w:val="auto"/>
        </w:rPr>
        <w:t>To ensure your representation at the Annual Meeting, please submit your proxy or voting instructions as soon as possible by using any of the following methods, as described in greater detail on your proxy card or voter instruction form.</w:t>
      </w:r>
    </w:p>
    <w:p>
      <w:pPr>
        <w:spacing w:after="0" w:line="56" w:lineRule="exact"/>
        <w:rPr>
          <w:sz w:val="20"/>
          <w:szCs w:val="20"/>
          <w:color w:val="auto"/>
        </w:rPr>
      </w:pPr>
    </w:p>
    <w:p>
      <w:pPr>
        <w:ind w:left="660"/>
        <w:spacing w:after="0"/>
        <w:tabs>
          <w:tab w:leader="none" w:pos="36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 xml:space="preserve">​ ​            </w:t>
      </w:r>
      <w:r>
        <w:rPr>
          <w:sz w:val="1"/>
          <w:szCs w:val="1"/>
          <w:color w:val="auto"/>
        </w:rPr>
        <w:drawing>
          <wp:inline distT="0" distB="0" distL="0" distR="0">
            <wp:extent cx="377190" cy="3771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 cy="377190"/>
                    </a:xfrm>
                    <a:prstGeom prst="rect">
                      <a:avLst/>
                    </a:prstGeom>
                    <a:noFill/>
                    <a:ln>
                      <a:noFill/>
                    </a:ln>
                  </pic:spPr>
                </pic:pic>
              </a:graphicData>
            </a:graphic>
          </wp:inline>
        </w:drawing>
      </w:r>
      <w:r>
        <w:rPr>
          <w:rFonts w:ascii="Arial" w:cs="Arial" w:eastAsia="Arial" w:hAnsi="Arial"/>
          <w:sz w:val="20"/>
          <w:szCs w:val="20"/>
          <w:color w:val="auto"/>
        </w:rPr>
        <w:t xml:space="preserve">            ​ ​           </w:t>
      </w:r>
      <w:r>
        <w:rPr>
          <w:sz w:val="1"/>
          <w:szCs w:val="1"/>
          <w:color w:val="auto"/>
        </w:rPr>
        <w:drawing>
          <wp:inline distT="0" distB="0" distL="0" distR="0">
            <wp:extent cx="480060" cy="3600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 cy="36004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-376555</wp:posOffset>
            </wp:positionV>
            <wp:extent cx="44577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ind w:left="660"/>
        <w:spacing w:after="0"/>
        <w:tabs>
          <w:tab w:leader="none" w:pos="1780" w:val="left"/>
          <w:tab w:leader="none" w:pos="3680" w:val="left"/>
          <w:tab w:leader="none" w:pos="5040" w:val="left"/>
          <w:tab w:leader="none" w:pos="6880" w:val="left"/>
          <w:tab w:leader="none" w:pos="8340" w:val="left"/>
          <w:tab w:leader="none" w:pos="10040" w:val="left"/>
        </w:tabs>
        <w:rPr>
          <w:sz w:val="20"/>
          <w:szCs w:val="20"/>
          <w:color w:val="auto"/>
        </w:rPr>
      </w:pPr>
      <w:r>
        <w:rPr>
          <w:rFonts w:ascii="Arial" w:cs="Arial" w:eastAsia="Arial" w:hAnsi="Arial"/>
          <w:sz w:val="40"/>
          <w:szCs w:val="40"/>
          <w:b w:val="1"/>
          <w:bCs w:val="1"/>
          <w:color w:val="auto"/>
          <w:vertAlign w:val="superscript"/>
        </w:rPr>
        <w:t>​</w:t>
      </w:r>
      <w:r>
        <w:rPr>
          <w:sz w:val="20"/>
          <w:szCs w:val="20"/>
          <w:color w:val="auto"/>
        </w:rPr>
        <w:tab/>
      </w:r>
      <w:r>
        <w:rPr>
          <w:rFonts w:ascii="Arial" w:cs="Arial" w:eastAsia="Arial" w:hAnsi="Arial"/>
          <w:sz w:val="20"/>
          <w:szCs w:val="20"/>
          <w:b w:val="1"/>
          <w:bCs w:val="1"/>
          <w:color w:val="auto"/>
        </w:rPr>
        <w:t>Internet</w:t>
      </w:r>
      <w:r>
        <w:rPr>
          <w:sz w:val="20"/>
          <w:szCs w:val="20"/>
          <w:color w:val="auto"/>
        </w:rPr>
        <w:tab/>
      </w:r>
      <w:r>
        <w:rPr>
          <w:rFonts w:ascii="Arial" w:cs="Arial" w:eastAsia="Arial" w:hAnsi="Arial"/>
          <w:sz w:val="40"/>
          <w:szCs w:val="40"/>
          <w:b w:val="1"/>
          <w:bCs w:val="1"/>
          <w:color w:val="auto"/>
          <w:vertAlign w:val="superscript"/>
        </w:rPr>
        <w:t>​ ​</w:t>
      </w:r>
      <w:r>
        <w:rPr>
          <w:sz w:val="20"/>
          <w:szCs w:val="20"/>
          <w:color w:val="auto"/>
        </w:rPr>
        <w:tab/>
      </w:r>
      <w:r>
        <w:rPr>
          <w:rFonts w:ascii="Arial" w:cs="Arial" w:eastAsia="Arial" w:hAnsi="Arial"/>
          <w:sz w:val="20"/>
          <w:szCs w:val="20"/>
          <w:b w:val="1"/>
          <w:bCs w:val="1"/>
          <w:color w:val="auto"/>
        </w:rPr>
        <w:t>Phone</w:t>
      </w:r>
      <w:r>
        <w:rPr>
          <w:sz w:val="20"/>
          <w:szCs w:val="20"/>
          <w:color w:val="auto"/>
        </w:rPr>
        <w:tab/>
      </w:r>
      <w:r>
        <w:rPr>
          <w:rFonts w:ascii="Arial" w:cs="Arial" w:eastAsia="Arial" w:hAnsi="Arial"/>
          <w:sz w:val="40"/>
          <w:szCs w:val="40"/>
          <w:b w:val="1"/>
          <w:bCs w:val="1"/>
          <w:color w:val="auto"/>
          <w:vertAlign w:val="superscript"/>
        </w:rPr>
        <w:t>​ ​</w:t>
      </w:r>
      <w:r>
        <w:rPr>
          <w:sz w:val="20"/>
          <w:szCs w:val="20"/>
          <w:color w:val="auto"/>
        </w:rPr>
        <w:tab/>
      </w:r>
      <w:r>
        <w:rPr>
          <w:rFonts w:ascii="Arial" w:cs="Arial" w:eastAsia="Arial" w:hAnsi="Arial"/>
          <w:sz w:val="20"/>
          <w:szCs w:val="20"/>
          <w:b w:val="1"/>
          <w:bCs w:val="1"/>
          <w:color w:val="auto"/>
        </w:rPr>
        <w:t>Mail</w:t>
      </w:r>
      <w:r>
        <w:rPr>
          <w:sz w:val="20"/>
          <w:szCs w:val="20"/>
          <w:color w:val="auto"/>
        </w:rPr>
        <w:tab/>
      </w:r>
      <w:r>
        <w:rPr>
          <w:rFonts w:ascii="Arial" w:cs="Arial" w:eastAsia="Arial" w:hAnsi="Arial"/>
          <w:sz w:val="40"/>
          <w:szCs w:val="40"/>
          <w:b w:val="1"/>
          <w:bCs w:val="1"/>
          <w:color w:val="auto"/>
          <w:vertAlign w:val="superscript"/>
        </w:rPr>
        <w:t>​</w:t>
      </w:r>
    </w:p>
    <w:p>
      <w:pPr>
        <w:spacing w:after="0" w:line="46" w:lineRule="exact"/>
        <w:rPr>
          <w:sz w:val="20"/>
          <w:szCs w:val="20"/>
          <w:color w:val="auto"/>
        </w:rPr>
      </w:pPr>
    </w:p>
    <w:p>
      <w:pPr>
        <w:jc w:val="both"/>
        <w:ind w:left="660" w:right="460"/>
        <w:spacing w:after="0" w:line="234" w:lineRule="auto"/>
        <w:rPr>
          <w:sz w:val="20"/>
          <w:szCs w:val="20"/>
          <w:color w:val="auto"/>
        </w:rPr>
      </w:pPr>
      <w:r>
        <w:rPr>
          <w:rFonts w:ascii="Arial" w:cs="Arial" w:eastAsia="Arial" w:hAnsi="Arial"/>
          <w:sz w:val="20"/>
          <w:szCs w:val="20"/>
          <w:color w:val="auto"/>
        </w:rPr>
        <w:t>The accompanying Proxy Statement includes further information about how to attend the Annual Meeting online, vote your shares online during the Annual Meeting, and submit questions online during the Annual Meeting.</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177800</wp:posOffset>
            </wp:positionV>
            <wp:extent cx="951230"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75A8"/>
        </w:rPr>
        <w:t>Robert J. Terry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Senior Vice President, General Counsel and Secretary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Irvine, California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1240790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75A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160"/>
        <w:spacing w:after="0"/>
        <w:rPr>
          <w:sz w:val="20"/>
          <w:szCs w:val="20"/>
          <w:color w:val="auto"/>
        </w:rPr>
      </w:pPr>
      <w:r>
        <w:rPr>
          <w:rFonts w:ascii="Arial" w:cs="Arial" w:eastAsia="Arial" w:hAnsi="Arial"/>
          <w:sz w:val="29"/>
          <w:szCs w:val="29"/>
          <w:b w:val="1"/>
          <w:bCs w:val="1"/>
          <w:color w:val="auto"/>
        </w:rPr>
        <w:t>PROXY STATEMENT 2025</w:t>
      </w: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75565</wp:posOffset>
            </wp:positionV>
            <wp:extent cx="6189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3880" w:type="dxa"/>
            <w:vAlign w:val="bottom"/>
            <w:gridSpan w:val="14"/>
          </w:tcPr>
          <w:p>
            <w:pPr>
              <w:spacing w:after="0"/>
              <w:rPr>
                <w:sz w:val="20"/>
                <w:szCs w:val="20"/>
                <w:color w:val="auto"/>
              </w:rPr>
            </w:pPr>
            <w:r>
              <w:rPr>
                <w:rFonts w:ascii="Arial" w:cs="Arial" w:eastAsia="Arial" w:hAnsi="Arial"/>
                <w:sz w:val="20"/>
                <w:szCs w:val="20"/>
                <w:color w:val="0075A8"/>
              </w:rPr>
              <w:t>​ Proxy Statement Summary</w:t>
            </w:r>
          </w:p>
        </w:tc>
        <w:tc>
          <w:tcPr>
            <w:tcW w:w="440" w:type="dxa"/>
            <w:vAlign w:val="bottom"/>
            <w:gridSpan w:val="2"/>
          </w:tcPr>
          <w:p>
            <w:pPr>
              <w:ind w:left="100"/>
              <w:spacing w:after="0"/>
              <w:rPr>
                <w:sz w:val="20"/>
                <w:szCs w:val="20"/>
                <w:color w:val="auto"/>
              </w:rPr>
            </w:pPr>
            <w:r>
              <w:rPr>
                <w:rFonts w:ascii="Arial" w:cs="Arial" w:eastAsia="Arial" w:hAnsi="Arial"/>
                <w:sz w:val="20"/>
                <w:szCs w:val="20"/>
                <w:color w:val="0075A8"/>
              </w:rPr>
              <w:t>​ ​​</w:t>
            </w:r>
          </w:p>
        </w:tc>
        <w:tc>
          <w:tcPr>
            <w:tcW w:w="220" w:type="dxa"/>
            <w:vAlign w:val="bottom"/>
            <w:gridSpan w:val="2"/>
          </w:tcPr>
          <w:p>
            <w:pPr>
              <w:jc w:val="right"/>
              <w:ind w:right="40"/>
              <w:spacing w:after="0"/>
              <w:rPr>
                <w:sz w:val="20"/>
                <w:szCs w:val="20"/>
                <w:color w:val="auto"/>
              </w:rPr>
            </w:pPr>
            <w:r>
              <w:rPr>
                <w:rFonts w:ascii="Arial" w:cs="Arial" w:eastAsia="Arial" w:hAnsi="Arial"/>
                <w:sz w:val="20"/>
                <w:szCs w:val="20"/>
                <w:color w:val="0075A8"/>
              </w:rPr>
              <w:t>1​</w:t>
            </w:r>
          </w:p>
        </w:tc>
        <w:tc>
          <w:tcPr>
            <w:tcW w:w="8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240" w:type="dxa"/>
            <w:vAlign w:val="bottom"/>
            <w:shd w:val="clear" w:color="auto" w:fill="0075A8"/>
          </w:tcPr>
          <w:p>
            <w:pPr>
              <w:spacing w:after="0" w:line="20" w:lineRule="exact"/>
              <w:rPr>
                <w:sz w:val="1"/>
                <w:szCs w:val="1"/>
                <w:color w:val="auto"/>
              </w:rPr>
            </w:pPr>
          </w:p>
        </w:tc>
        <w:tc>
          <w:tcPr>
            <w:tcW w:w="5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80" w:type="dxa"/>
            <w:vAlign w:val="bottom"/>
            <w:shd w:val="clear" w:color="auto" w:fill="0075A8"/>
          </w:tcPr>
          <w:p>
            <w:pPr>
              <w:spacing w:after="0" w:line="20" w:lineRule="exact"/>
              <w:rPr>
                <w:sz w:val="1"/>
                <w:szCs w:val="1"/>
                <w:color w:val="auto"/>
              </w:rPr>
            </w:pPr>
          </w:p>
        </w:tc>
        <w:tc>
          <w:tcPr>
            <w:tcW w:w="160" w:type="dxa"/>
            <w:vAlign w:val="bottom"/>
            <w:shd w:val="clear" w:color="auto" w:fill="0075A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3880" w:type="dxa"/>
            <w:vAlign w:val="bottom"/>
            <w:gridSpan w:val="14"/>
          </w:tcPr>
          <w:p>
            <w:pPr>
              <w:spacing w:after="0"/>
              <w:rPr>
                <w:sz w:val="20"/>
                <w:szCs w:val="20"/>
                <w:color w:val="auto"/>
              </w:rPr>
            </w:pPr>
            <w:r>
              <w:rPr>
                <w:rFonts w:ascii="Arial" w:cs="Arial" w:eastAsia="Arial" w:hAnsi="Arial"/>
                <w:sz w:val="20"/>
                <w:szCs w:val="20"/>
                <w:color w:val="0075A8"/>
              </w:rPr>
              <w:t>​ Proposal 1: Election of Directors</w:t>
            </w:r>
          </w:p>
        </w:tc>
        <w:tc>
          <w:tcPr>
            <w:tcW w:w="440" w:type="dxa"/>
            <w:vAlign w:val="bottom"/>
            <w:gridSpan w:val="2"/>
          </w:tcPr>
          <w:p>
            <w:pPr>
              <w:ind w:left="100"/>
              <w:spacing w:after="0"/>
              <w:rPr>
                <w:sz w:val="20"/>
                <w:szCs w:val="20"/>
                <w:color w:val="auto"/>
              </w:rPr>
            </w:pPr>
            <w:r>
              <w:rPr>
                <w:rFonts w:ascii="Arial" w:cs="Arial" w:eastAsia="Arial" w:hAnsi="Arial"/>
                <w:sz w:val="20"/>
                <w:szCs w:val="20"/>
                <w:color w:val="0075A8"/>
              </w:rPr>
              <w:t>​ ​​</w:t>
            </w:r>
          </w:p>
        </w:tc>
        <w:tc>
          <w:tcPr>
            <w:tcW w:w="220" w:type="dxa"/>
            <w:vAlign w:val="bottom"/>
            <w:gridSpan w:val="2"/>
          </w:tcPr>
          <w:p>
            <w:pPr>
              <w:jc w:val="right"/>
              <w:ind w:right="40"/>
              <w:spacing w:after="0"/>
              <w:rPr>
                <w:sz w:val="20"/>
                <w:szCs w:val="20"/>
                <w:color w:val="auto"/>
              </w:rPr>
            </w:pPr>
            <w:r>
              <w:rPr>
                <w:rFonts w:ascii="Arial" w:cs="Arial" w:eastAsia="Arial" w:hAnsi="Arial"/>
                <w:sz w:val="20"/>
                <w:szCs w:val="20"/>
                <w:color w:val="0075A8"/>
              </w:rPr>
              <w:t>8​</w:t>
            </w:r>
          </w:p>
        </w:tc>
        <w:tc>
          <w:tcPr>
            <w:tcW w:w="8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240" w:type="dxa"/>
            <w:vAlign w:val="bottom"/>
            <w:shd w:val="clear" w:color="auto" w:fill="0075A8"/>
          </w:tcPr>
          <w:p>
            <w:pPr>
              <w:spacing w:after="0" w:line="20" w:lineRule="exact"/>
              <w:rPr>
                <w:sz w:val="1"/>
                <w:szCs w:val="1"/>
                <w:color w:val="auto"/>
              </w:rPr>
            </w:pPr>
          </w:p>
        </w:tc>
        <w:tc>
          <w:tcPr>
            <w:tcW w:w="5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80" w:type="dxa"/>
            <w:vAlign w:val="bottom"/>
            <w:shd w:val="clear" w:color="auto" w:fill="0075A8"/>
          </w:tcPr>
          <w:p>
            <w:pPr>
              <w:spacing w:after="0" w:line="20" w:lineRule="exact"/>
              <w:rPr>
                <w:sz w:val="1"/>
                <w:szCs w:val="1"/>
                <w:color w:val="auto"/>
              </w:rPr>
            </w:pPr>
          </w:p>
        </w:tc>
        <w:tc>
          <w:tcPr>
            <w:tcW w:w="600" w:type="dxa"/>
            <w:vAlign w:val="bottom"/>
            <w:gridSpan w:val="2"/>
            <w:shd w:val="clear" w:color="auto" w:fill="0075A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720" w:type="dxa"/>
            <w:vAlign w:val="bottom"/>
            <w:gridSpan w:val="4"/>
          </w:tcPr>
          <w:p>
            <w:pPr>
              <w:spacing w:after="0"/>
              <w:rPr>
                <w:sz w:val="20"/>
                <w:szCs w:val="20"/>
                <w:color w:val="auto"/>
              </w:rPr>
            </w:pPr>
            <w:r>
              <w:rPr>
                <w:rFonts w:ascii="Arial" w:cs="Arial" w:eastAsia="Arial" w:hAnsi="Arial"/>
                <w:sz w:val="18"/>
                <w:szCs w:val="18"/>
                <w:color w:val="0000EE"/>
                <w:w w:val="96"/>
              </w:rPr>
              <w:t>Nominees for Election</w:t>
            </w:r>
          </w:p>
        </w:tc>
        <w:tc>
          <w:tcPr>
            <w:tcW w:w="680" w:type="dxa"/>
            <w:vAlign w:val="bottom"/>
            <w:gridSpan w:val="3"/>
          </w:tcPr>
          <w:p>
            <w:pPr>
              <w:spacing w:after="0"/>
              <w:rPr>
                <w:sz w:val="24"/>
                <w:szCs w:val="24"/>
                <w:color w:val="auto"/>
              </w:rPr>
            </w:pPr>
          </w:p>
        </w:tc>
        <w:tc>
          <w:tcPr>
            <w:tcW w:w="1000" w:type="dxa"/>
            <w:vAlign w:val="bottom"/>
            <w:gridSpan w:val="5"/>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10</w:t>
            </w: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800" w:type="dxa"/>
            <w:vAlign w:val="bottom"/>
            <w:gridSpan w:val="5"/>
          </w:tcPr>
          <w:p>
            <w:pPr>
              <w:spacing w:after="0"/>
              <w:rPr>
                <w:sz w:val="20"/>
                <w:szCs w:val="20"/>
                <w:color w:val="auto"/>
              </w:rPr>
            </w:pPr>
            <w:r>
              <w:rPr>
                <w:rFonts w:ascii="Arial" w:cs="Arial" w:eastAsia="Arial" w:hAnsi="Arial"/>
                <w:sz w:val="18"/>
                <w:szCs w:val="18"/>
                <w:color w:val="0000EE"/>
                <w:w w:val="97"/>
              </w:rPr>
              <w:t>Corporate Governance</w:t>
            </w:r>
          </w:p>
        </w:tc>
        <w:tc>
          <w:tcPr>
            <w:tcW w:w="1600" w:type="dxa"/>
            <w:vAlign w:val="bottom"/>
            <w:gridSpan w:val="7"/>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17</w:t>
            </w: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900" w:type="dxa"/>
            <w:vAlign w:val="bottom"/>
            <w:gridSpan w:val="9"/>
          </w:tcPr>
          <w:p>
            <w:pPr>
              <w:spacing w:after="0"/>
              <w:rPr>
                <w:sz w:val="20"/>
                <w:szCs w:val="20"/>
                <w:color w:val="auto"/>
              </w:rPr>
            </w:pPr>
            <w:r>
              <w:rPr>
                <w:rFonts w:ascii="Arial" w:cs="Arial" w:eastAsia="Arial" w:hAnsi="Arial"/>
                <w:sz w:val="18"/>
                <w:szCs w:val="18"/>
                <w:color w:val="0000EE"/>
                <w:w w:val="97"/>
              </w:rPr>
              <w:t>Committees of the Board of Directors</w:t>
            </w:r>
          </w:p>
        </w:tc>
        <w:tc>
          <w:tcPr>
            <w:tcW w:w="500" w:type="dxa"/>
            <w:vAlign w:val="bottom"/>
            <w:gridSpan w:val="3"/>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21</w:t>
            </w: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90"/>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w w:val="97"/>
              </w:rPr>
              <w:t>Role of the Board of Directors in Risk</w:t>
            </w:r>
          </w:p>
        </w:tc>
        <w:tc>
          <w:tcPr>
            <w:tcW w:w="50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6"/>
              </w:rPr>
              <w:t>Oversight</w:t>
            </w:r>
          </w:p>
        </w:tc>
        <w:tc>
          <w:tcPr>
            <w:tcW w:w="2120" w:type="dxa"/>
            <w:vAlign w:val="bottom"/>
            <w:tcBorders>
              <w:top w:val="single" w:sz="8" w:color="0000EE"/>
            </w:tcBorders>
            <w:gridSpan w:val="7"/>
          </w:tcPr>
          <w:p>
            <w:pPr>
              <w:spacing w:after="0"/>
              <w:rPr>
                <w:sz w:val="19"/>
                <w:szCs w:val="19"/>
                <w:color w:val="auto"/>
              </w:rPr>
            </w:pPr>
          </w:p>
        </w:tc>
        <w:tc>
          <w:tcPr>
            <w:tcW w:w="520" w:type="dxa"/>
            <w:vAlign w:val="bottom"/>
            <w:gridSpan w:val="4"/>
          </w:tcPr>
          <w:p>
            <w:pPr>
              <w:spacing w:after="0"/>
              <w:rPr>
                <w:sz w:val="19"/>
                <w:szCs w:val="19"/>
                <w:color w:val="auto"/>
              </w:rPr>
            </w:pPr>
          </w:p>
        </w:tc>
        <w:tc>
          <w:tcPr>
            <w:tcW w:w="66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25</w:t>
            </w:r>
            <w:r>
              <w:rPr>
                <w:rFonts w:ascii="Arial" w:cs="Arial" w:eastAsia="Arial" w:hAnsi="Arial"/>
                <w:sz w:val="18"/>
                <w:szCs w:val="18"/>
                <w:color w:val="auto"/>
              </w:rPr>
              <w:t>​</w:t>
            </w:r>
          </w:p>
        </w:tc>
        <w:tc>
          <w:tcPr>
            <w:tcW w:w="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r>
      <w:tr>
        <w:trPr>
          <w:trHeight w:val="31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12"/>
          </w:tcPr>
          <w:p>
            <w:pPr>
              <w:spacing w:after="0"/>
              <w:rPr>
                <w:sz w:val="20"/>
                <w:szCs w:val="20"/>
                <w:color w:val="auto"/>
              </w:rPr>
            </w:pPr>
            <w:r>
              <w:rPr>
                <w:rFonts w:ascii="Arial" w:cs="Arial" w:eastAsia="Arial" w:hAnsi="Arial"/>
                <w:sz w:val="18"/>
                <w:szCs w:val="18"/>
                <w:color w:val="0000EE"/>
              </w:rPr>
              <w:t>Compensation Committee Interlocks and</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Insider Participation</w:t>
            </w:r>
          </w:p>
        </w:tc>
        <w:tc>
          <w:tcPr>
            <w:tcW w:w="1640" w:type="dxa"/>
            <w:vAlign w:val="bottom"/>
            <w:tcBorders>
              <w:top w:val="single" w:sz="8" w:color="0000EE"/>
            </w:tcBorders>
            <w:gridSpan w:val="7"/>
          </w:tcPr>
          <w:p>
            <w:pPr>
              <w:spacing w:after="0"/>
              <w:rPr>
                <w:sz w:val="19"/>
                <w:szCs w:val="19"/>
                <w:color w:val="auto"/>
              </w:rPr>
            </w:pPr>
          </w:p>
        </w:tc>
        <w:tc>
          <w:tcPr>
            <w:tcW w:w="220" w:type="dxa"/>
            <w:vAlign w:val="bottom"/>
            <w:gridSpan w:val="2"/>
          </w:tcPr>
          <w:p>
            <w:pPr>
              <w:spacing w:after="0"/>
              <w:rPr>
                <w:sz w:val="19"/>
                <w:szCs w:val="19"/>
                <w:color w:val="auto"/>
              </w:rPr>
            </w:pPr>
          </w:p>
        </w:tc>
        <w:tc>
          <w:tcPr>
            <w:tcW w:w="66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26</w:t>
            </w:r>
            <w:r>
              <w:rPr>
                <w:rFonts w:ascii="Arial" w:cs="Arial" w:eastAsia="Arial" w:hAnsi="Arial"/>
                <w:sz w:val="18"/>
                <w:szCs w:val="18"/>
                <w:color w:val="auto"/>
              </w:rPr>
              <w:t>​</w:t>
            </w:r>
          </w:p>
        </w:tc>
        <w:tc>
          <w:tcPr>
            <w:tcW w:w="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r>
      <w:tr>
        <w:trPr>
          <w:trHeight w:val="31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7"/>
              </w:rPr>
              <w:t>Certain Relationships and Related Person</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0000EE"/>
                <w:w w:val="95"/>
              </w:rPr>
              <w:t>Transactions</w:t>
            </w:r>
          </w:p>
        </w:tc>
        <w:tc>
          <w:tcPr>
            <w:tcW w:w="2400" w:type="dxa"/>
            <w:vAlign w:val="bottom"/>
            <w:gridSpan w:val="10"/>
          </w:tcPr>
          <w:p>
            <w:pPr>
              <w:spacing w:after="0"/>
              <w:rPr>
                <w:sz w:val="18"/>
                <w:szCs w:val="18"/>
                <w:color w:val="auto"/>
              </w:rPr>
            </w:pPr>
          </w:p>
        </w:tc>
        <w:tc>
          <w:tcPr>
            <w:tcW w:w="66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26</w:t>
            </w:r>
            <w:r>
              <w:rPr>
                <w:rFonts w:ascii="Arial" w:cs="Arial" w:eastAsia="Arial" w:hAnsi="Arial"/>
                <w:sz w:val="18"/>
                <w:szCs w:val="18"/>
                <w:color w:val="auto"/>
              </w:rPr>
              <w:t>​</w:t>
            </w:r>
          </w:p>
        </w:tc>
        <w:tc>
          <w:tcPr>
            <w:tcW w:w="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80" w:type="dxa"/>
            <w:vAlign w:val="bottom"/>
            <w:gridSpan w:val="12"/>
          </w:tcPr>
          <w:p>
            <w:pPr>
              <w:spacing w:after="0"/>
              <w:rPr>
                <w:sz w:val="20"/>
                <w:szCs w:val="20"/>
                <w:color w:val="auto"/>
              </w:rPr>
            </w:pPr>
            <w:r>
              <w:rPr>
                <w:rFonts w:ascii="Arial" w:cs="Arial" w:eastAsia="Arial" w:hAnsi="Arial"/>
                <w:sz w:val="18"/>
                <w:szCs w:val="18"/>
                <w:color w:val="0000EE"/>
              </w:rPr>
              <w:t>Pay Versus Performance</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59</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800" w:type="dxa"/>
            <w:vAlign w:val="bottom"/>
            <w:gridSpan w:val="5"/>
          </w:tcPr>
          <w:p>
            <w:pPr>
              <w:spacing w:after="0"/>
              <w:rPr>
                <w:sz w:val="20"/>
                <w:szCs w:val="20"/>
                <w:color w:val="auto"/>
              </w:rPr>
            </w:pPr>
            <w:r>
              <w:rPr>
                <w:rFonts w:ascii="Arial" w:cs="Arial" w:eastAsia="Arial" w:hAnsi="Arial"/>
                <w:sz w:val="18"/>
                <w:szCs w:val="18"/>
                <w:color w:val="0000EE"/>
                <w:w w:val="96"/>
              </w:rPr>
              <w:t>Director Compensation</w:t>
            </w:r>
          </w:p>
        </w:tc>
        <w:tc>
          <w:tcPr>
            <w:tcW w:w="140" w:type="dxa"/>
            <w:vAlign w:val="bottom"/>
          </w:tcPr>
          <w:p>
            <w:pPr>
              <w:spacing w:after="0"/>
              <w:rPr>
                <w:sz w:val="24"/>
                <w:szCs w:val="24"/>
                <w:color w:val="auto"/>
              </w:rPr>
            </w:pPr>
          </w:p>
        </w:tc>
        <w:tc>
          <w:tcPr>
            <w:tcW w:w="1540" w:type="dxa"/>
            <w:vAlign w:val="bottom"/>
            <w:gridSpan w:val="6"/>
          </w:tcPr>
          <w:p>
            <w:pPr>
              <w:spacing w:after="0"/>
              <w:rPr>
                <w:sz w:val="24"/>
                <w:szCs w:val="24"/>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63</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60" w:type="dxa"/>
            <w:vAlign w:val="bottom"/>
            <w:gridSpan w:val="14"/>
          </w:tcPr>
          <w:p>
            <w:pPr>
              <w:spacing w:after="0"/>
              <w:rPr>
                <w:sz w:val="20"/>
                <w:szCs w:val="20"/>
                <w:color w:val="auto"/>
              </w:rPr>
            </w:pPr>
            <w:r>
              <w:rPr>
                <w:rFonts w:ascii="Arial" w:cs="Arial" w:eastAsia="Arial" w:hAnsi="Arial"/>
                <w:sz w:val="20"/>
                <w:szCs w:val="20"/>
                <w:color w:val="0075A8"/>
              </w:rPr>
              <w:t>​ Compensation Committee Report</w:t>
            </w:r>
          </w:p>
        </w:tc>
        <w:tc>
          <w:tcPr>
            <w:tcW w:w="680" w:type="dxa"/>
            <w:vAlign w:val="bottom"/>
            <w:gridSpan w:val="3"/>
          </w:tcPr>
          <w:p>
            <w:pPr>
              <w:ind w:left="40"/>
              <w:spacing w:after="0"/>
              <w:rPr>
                <w:sz w:val="20"/>
                <w:szCs w:val="20"/>
                <w:color w:val="auto"/>
              </w:rPr>
            </w:pPr>
            <w:r>
              <w:rPr>
                <w:rFonts w:ascii="Arial" w:cs="Arial" w:eastAsia="Arial" w:hAnsi="Arial"/>
                <w:sz w:val="20"/>
                <w:szCs w:val="20"/>
                <w:color w:val="0075A8"/>
              </w:rPr>
              <w:t>​ ​​65​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gridSpan w:val="2"/>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700" w:type="dxa"/>
            <w:vAlign w:val="bottom"/>
            <w:shd w:val="clear" w:color="auto" w:fill="0075A8"/>
          </w:tcPr>
          <w:p>
            <w:pPr>
              <w:spacing w:after="0" w:line="20" w:lineRule="exact"/>
              <w:rPr>
                <w:sz w:val="1"/>
                <w:szCs w:val="1"/>
                <w:color w:val="auto"/>
              </w:rPr>
            </w:pPr>
          </w:p>
        </w:tc>
        <w:tc>
          <w:tcPr>
            <w:tcW w:w="260" w:type="dxa"/>
            <w:vAlign w:val="bottom"/>
            <w:shd w:val="clear" w:color="auto" w:fill="0075A8"/>
          </w:tcPr>
          <w:p>
            <w:pPr>
              <w:spacing w:after="0" w:line="20" w:lineRule="exact"/>
              <w:rPr>
                <w:sz w:val="1"/>
                <w:szCs w:val="1"/>
                <w:color w:val="auto"/>
              </w:rPr>
            </w:pPr>
          </w:p>
        </w:tc>
        <w:tc>
          <w:tcPr>
            <w:tcW w:w="860" w:type="dxa"/>
            <w:vAlign w:val="bottom"/>
            <w:gridSpan w:val="3"/>
            <w:shd w:val="clear" w:color="auto" w:fill="0075A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75A8"/>
            </w:tcBorders>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840" w:type="dxa"/>
            <w:vAlign w:val="bottom"/>
            <w:gridSpan w:val="13"/>
          </w:tcPr>
          <w:p>
            <w:pPr>
              <w:spacing w:after="0"/>
              <w:rPr>
                <w:sz w:val="20"/>
                <w:szCs w:val="20"/>
                <w:color w:val="auto"/>
              </w:rPr>
            </w:pPr>
            <w:r>
              <w:rPr>
                <w:rFonts w:ascii="Arial" w:cs="Arial" w:eastAsia="Arial" w:hAnsi="Arial"/>
                <w:sz w:val="20"/>
                <w:szCs w:val="20"/>
                <w:color w:val="0075A8"/>
                <w:w w:val="96"/>
              </w:rPr>
              <w:t>Proposal 4: Stockholder Proposal Regarding</w:t>
            </w:r>
          </w:p>
        </w:tc>
        <w:tc>
          <w:tcPr>
            <w:tcW w:w="680" w:type="dxa"/>
            <w:vAlign w:val="bottom"/>
            <w:gridSpan w:val="3"/>
            <w:vMerge w:val="restart"/>
          </w:tcPr>
          <w:p>
            <w:pPr>
              <w:ind w:left="40"/>
              <w:spacing w:after="0"/>
              <w:rPr>
                <w:sz w:val="20"/>
                <w:szCs w:val="20"/>
                <w:color w:val="auto"/>
              </w:rPr>
            </w:pPr>
            <w:r>
              <w:rPr>
                <w:rFonts w:ascii="Arial" w:cs="Arial" w:eastAsia="Arial" w:hAnsi="Arial"/>
                <w:sz w:val="20"/>
                <w:szCs w:val="20"/>
                <w:color w:val="0075A8"/>
              </w:rPr>
              <w:t>​ ​​66​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760" w:type="dxa"/>
            <w:vAlign w:val="bottom"/>
            <w:tcBorders>
              <w:top w:val="single" w:sz="8" w:color="0075A8"/>
            </w:tcBorders>
            <w:gridSpan w:val="4"/>
          </w:tcPr>
          <w:p>
            <w:pPr>
              <w:spacing w:after="0" w:line="156" w:lineRule="exact"/>
              <w:rPr>
                <w:sz w:val="20"/>
                <w:szCs w:val="20"/>
                <w:color w:val="auto"/>
              </w:rPr>
            </w:pPr>
            <w:r>
              <w:rPr>
                <w:rFonts w:ascii="Arial" w:cs="Arial" w:eastAsia="Arial" w:hAnsi="Arial"/>
                <w:sz w:val="18"/>
                <w:szCs w:val="18"/>
                <w:color w:val="0075A8"/>
              </w:rPr>
              <w:t>Simple Majority Vote</w:t>
            </w:r>
          </w:p>
        </w:tc>
        <w:tc>
          <w:tcPr>
            <w:tcW w:w="2060" w:type="dxa"/>
            <w:vAlign w:val="bottom"/>
            <w:tcBorders>
              <w:top w:val="single" w:sz="8" w:color="0075A8"/>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520" w:type="dxa"/>
            <w:vAlign w:val="bottom"/>
            <w:shd w:val="clear" w:color="auto" w:fill="0075A8"/>
          </w:tcPr>
          <w:p>
            <w:pPr>
              <w:spacing w:after="0"/>
              <w:rPr>
                <w:sz w:val="2"/>
                <w:szCs w:val="2"/>
                <w:color w:val="auto"/>
              </w:rPr>
            </w:pPr>
          </w:p>
        </w:tc>
        <w:tc>
          <w:tcPr>
            <w:tcW w:w="180" w:type="dxa"/>
            <w:vAlign w:val="bottom"/>
            <w:shd w:val="clear" w:color="auto" w:fill="0075A8"/>
          </w:tcPr>
          <w:p>
            <w:pPr>
              <w:spacing w:after="0"/>
              <w:rPr>
                <w:sz w:val="2"/>
                <w:szCs w:val="2"/>
                <w:color w:val="auto"/>
              </w:rPr>
            </w:pPr>
          </w:p>
        </w:tc>
        <w:tc>
          <w:tcPr>
            <w:tcW w:w="700" w:type="dxa"/>
            <w:vAlign w:val="bottom"/>
            <w:shd w:val="clear" w:color="auto" w:fill="0075A8"/>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00" w:type="dxa"/>
            <w:vAlign w:val="bottom"/>
            <w:tcBorders>
              <w:right w:val="single" w:sz="8" w:color="0075A8"/>
            </w:tcBorders>
          </w:tcPr>
          <w:p>
            <w:pPr>
              <w:spacing w:after="0"/>
              <w:rPr>
                <w:sz w:val="2"/>
                <w:szCs w:val="2"/>
                <w:color w:val="auto"/>
              </w:rPr>
            </w:pPr>
          </w:p>
        </w:tc>
        <w:tc>
          <w:tcPr>
            <w:tcW w:w="180" w:type="dxa"/>
            <w:vAlign w:val="bottom"/>
            <w:shd w:val="clear" w:color="auto" w:fill="0075A8"/>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12"/>
          </w:tcPr>
          <w:p>
            <w:pPr>
              <w:spacing w:after="0"/>
              <w:rPr>
                <w:sz w:val="20"/>
                <w:szCs w:val="20"/>
                <w:color w:val="auto"/>
              </w:rPr>
            </w:pPr>
            <w:r>
              <w:rPr>
                <w:rFonts w:ascii="Arial" w:cs="Arial" w:eastAsia="Arial" w:hAnsi="Arial"/>
                <w:sz w:val="18"/>
                <w:szCs w:val="18"/>
                <w:color w:val="0000EE"/>
              </w:rPr>
              <w:t>Statement by the Board of Directors on the</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Stockholder Proposal</w:t>
            </w:r>
          </w:p>
        </w:tc>
        <w:tc>
          <w:tcPr>
            <w:tcW w:w="160" w:type="dxa"/>
            <w:vAlign w:val="bottom"/>
            <w:gridSpan w:val="2"/>
          </w:tcPr>
          <w:p>
            <w:pPr>
              <w:spacing w:after="0"/>
              <w:rPr>
                <w:sz w:val="18"/>
                <w:szCs w:val="18"/>
                <w:color w:val="auto"/>
              </w:rPr>
            </w:pPr>
          </w:p>
        </w:tc>
        <w:tc>
          <w:tcPr>
            <w:tcW w:w="68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67</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0" w:type="dxa"/>
            <w:vAlign w:val="bottom"/>
          </w:tcPr>
          <w:p>
            <w:pPr>
              <w:spacing w:after="0"/>
              <w:rPr>
                <w:sz w:val="24"/>
                <w:szCs w:val="24"/>
                <w:color w:val="auto"/>
              </w:rPr>
            </w:pPr>
          </w:p>
        </w:tc>
        <w:tc>
          <w:tcPr>
            <w:tcW w:w="3840" w:type="dxa"/>
            <w:vAlign w:val="bottom"/>
            <w:gridSpan w:val="13"/>
          </w:tcPr>
          <w:p>
            <w:pPr>
              <w:spacing w:after="0"/>
              <w:rPr>
                <w:sz w:val="20"/>
                <w:szCs w:val="20"/>
                <w:color w:val="auto"/>
              </w:rPr>
            </w:pPr>
            <w:r>
              <w:rPr>
                <w:rFonts w:ascii="Arial" w:cs="Arial" w:eastAsia="Arial" w:hAnsi="Arial"/>
                <w:sz w:val="20"/>
                <w:szCs w:val="20"/>
                <w:color w:val="0075A8"/>
                <w:w w:val="96"/>
              </w:rPr>
              <w:t>Proposal 5: Stockholder Proposal Regarding</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820" w:type="dxa"/>
            <w:vAlign w:val="bottom"/>
            <w:tcBorders>
              <w:top w:val="single" w:sz="8" w:color="0075A8"/>
            </w:tcBorders>
            <w:gridSpan w:val="12"/>
          </w:tcPr>
          <w:p>
            <w:pPr>
              <w:spacing w:after="0" w:line="183" w:lineRule="exact"/>
              <w:rPr>
                <w:sz w:val="20"/>
                <w:szCs w:val="20"/>
                <w:color w:val="auto"/>
              </w:rPr>
            </w:pPr>
            <w:r>
              <w:rPr>
                <w:rFonts w:ascii="Arial" w:cs="Arial" w:eastAsia="Arial" w:hAnsi="Arial"/>
                <w:sz w:val="20"/>
                <w:szCs w:val="20"/>
                <w:color w:val="0075A8"/>
              </w:rPr>
              <w:t>Disclosure of Scope 3 Greenhouse Gas</w:t>
            </w:r>
          </w:p>
        </w:tc>
        <w:tc>
          <w:tcPr>
            <w:tcW w:w="20" w:type="dxa"/>
            <w:vAlign w:val="bottom"/>
          </w:tcPr>
          <w:p>
            <w:pPr>
              <w:spacing w:after="0"/>
              <w:rPr>
                <w:sz w:val="15"/>
                <w:szCs w:val="15"/>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20"/>
                <w:szCs w:val="20"/>
                <w:color w:val="0075A8"/>
              </w:rPr>
              <w:t>​ ​​69​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880" w:type="dxa"/>
            <w:vAlign w:val="bottom"/>
            <w:tcBorders>
              <w:top w:val="single" w:sz="8" w:color="0075A8"/>
            </w:tcBorders>
            <w:gridSpan w:val="2"/>
          </w:tcPr>
          <w:p>
            <w:pPr>
              <w:spacing w:after="0" w:line="169" w:lineRule="exact"/>
              <w:rPr>
                <w:sz w:val="20"/>
                <w:szCs w:val="20"/>
                <w:color w:val="auto"/>
              </w:rPr>
            </w:pPr>
            <w:r>
              <w:rPr>
                <w:rFonts w:ascii="Arial" w:cs="Arial" w:eastAsia="Arial" w:hAnsi="Arial"/>
                <w:sz w:val="19"/>
                <w:szCs w:val="19"/>
                <w:color w:val="0075A8"/>
                <w:w w:val="99"/>
              </w:rPr>
              <w:t>Emissions</w:t>
            </w:r>
          </w:p>
        </w:tc>
        <w:tc>
          <w:tcPr>
            <w:tcW w:w="2520" w:type="dxa"/>
            <w:vAlign w:val="bottom"/>
            <w:tcBorders>
              <w:top w:val="single" w:sz="8" w:color="0075A8"/>
            </w:tcBorders>
            <w:gridSpan w:val="7"/>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Borders>
              <w:right w:val="single" w:sz="8" w:color="0075A8"/>
            </w:tcBorders>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12"/>
          </w:tcPr>
          <w:p>
            <w:pPr>
              <w:spacing w:after="0"/>
              <w:rPr>
                <w:sz w:val="20"/>
                <w:szCs w:val="20"/>
                <w:color w:val="auto"/>
              </w:rPr>
            </w:pPr>
            <w:r>
              <w:rPr>
                <w:rFonts w:ascii="Arial" w:cs="Arial" w:eastAsia="Arial" w:hAnsi="Arial"/>
                <w:sz w:val="18"/>
                <w:szCs w:val="18"/>
                <w:color w:val="0000EE"/>
              </w:rPr>
              <w:t>Statement of Opposition by the Board of</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Directors</w:t>
            </w:r>
          </w:p>
        </w:tc>
        <w:tc>
          <w:tcPr>
            <w:tcW w:w="2420" w:type="dxa"/>
            <w:vAlign w:val="bottom"/>
            <w:tcBorders>
              <w:top w:val="single" w:sz="8" w:color="0000EE"/>
            </w:tcBorders>
            <w:gridSpan w:val="7"/>
          </w:tcPr>
          <w:p>
            <w:pPr>
              <w:spacing w:after="0"/>
              <w:rPr>
                <w:sz w:val="18"/>
                <w:szCs w:val="18"/>
                <w:color w:val="auto"/>
              </w:rPr>
            </w:pPr>
          </w:p>
        </w:tc>
        <w:tc>
          <w:tcPr>
            <w:tcW w:w="360" w:type="dxa"/>
            <w:vAlign w:val="bottom"/>
            <w:gridSpan w:val="3"/>
          </w:tcPr>
          <w:p>
            <w:pPr>
              <w:spacing w:after="0"/>
              <w:rPr>
                <w:sz w:val="18"/>
                <w:szCs w:val="18"/>
                <w:color w:val="auto"/>
              </w:rPr>
            </w:pPr>
          </w:p>
        </w:tc>
        <w:tc>
          <w:tcPr>
            <w:tcW w:w="68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71</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5240" w:space="280"/>
            <w:col w:w="4760"/>
          </w:cols>
          <w:pgMar w:left="580" w:top="97" w:right="1039" w:bottom="1440" w:gutter="0" w:footer="0" w:header="0"/>
          <w:type w:val="continuous"/>
        </w:sectPr>
      </w:pPr>
    </w:p>
    <w:tbl>
      <w:tblPr>
        <w:tblLayout w:type="fixed"/>
        <w:tblInd w:w="62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3800" w:type="dxa"/>
            <w:vAlign w:val="bottom"/>
            <w:gridSpan w:val="15"/>
          </w:tcPr>
          <w:p>
            <w:pPr>
              <w:spacing w:after="0"/>
              <w:rPr>
                <w:sz w:val="20"/>
                <w:szCs w:val="20"/>
                <w:color w:val="auto"/>
              </w:rPr>
            </w:pPr>
            <w:r>
              <w:rPr>
                <w:rFonts w:ascii="Arial" w:cs="Arial" w:eastAsia="Arial" w:hAnsi="Arial"/>
                <w:sz w:val="20"/>
                <w:szCs w:val="20"/>
                <w:color w:val="0075A8"/>
              </w:rPr>
              <w:t>Proposal 2: Ratification of Independent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60" w:type="dxa"/>
            <w:vAlign w:val="bottom"/>
            <w:gridSpan w:val="9"/>
            <w:vMerge w:val="restart"/>
          </w:tcPr>
          <w:p>
            <w:pPr>
              <w:spacing w:after="0"/>
              <w:rPr>
                <w:sz w:val="20"/>
                <w:szCs w:val="20"/>
                <w:color w:val="auto"/>
              </w:rPr>
            </w:pPr>
            <w:r>
              <w:rPr>
                <w:rFonts w:ascii="Arial" w:cs="Arial" w:eastAsia="Arial" w:hAnsi="Arial"/>
                <w:sz w:val="20"/>
                <w:szCs w:val="20"/>
                <w:color w:val="0075A8"/>
                <w:w w:val="96"/>
              </w:rPr>
              <w:t>Security Ownership of Certain Beneficial</w:t>
            </w:r>
          </w:p>
        </w:tc>
        <w:tc>
          <w:tcPr>
            <w:tcW w:w="12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600" w:type="dxa"/>
            <w:vAlign w:val="bottom"/>
            <w:shd w:val="clear" w:color="auto" w:fill="0075A8"/>
          </w:tcPr>
          <w:p>
            <w:pPr>
              <w:spacing w:after="0" w:line="20" w:lineRule="exact"/>
              <w:rPr>
                <w:sz w:val="1"/>
                <w:szCs w:val="1"/>
                <w:color w:val="auto"/>
              </w:rPr>
            </w:pPr>
          </w:p>
        </w:tc>
        <w:tc>
          <w:tcPr>
            <w:tcW w:w="6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1040" w:type="dxa"/>
            <w:vAlign w:val="bottom"/>
            <w:shd w:val="clear" w:color="auto" w:fill="0075A8"/>
          </w:tcPr>
          <w:p>
            <w:pPr>
              <w:spacing w:after="0" w:line="20" w:lineRule="exact"/>
              <w:rPr>
                <w:sz w:val="1"/>
                <w:szCs w:val="1"/>
                <w:color w:val="auto"/>
              </w:rPr>
            </w:pPr>
          </w:p>
        </w:tc>
        <w:tc>
          <w:tcPr>
            <w:tcW w:w="1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Borders>
              <w:right w:val="single" w:sz="8" w:color="0075A8"/>
            </w:tcBorders>
            <w:shd w:val="clear" w:color="auto" w:fill="0075A8"/>
          </w:tcPr>
          <w:p>
            <w:pPr>
              <w:spacing w:after="0" w:line="20" w:lineRule="exact"/>
              <w:rPr>
                <w:sz w:val="1"/>
                <w:szCs w:val="1"/>
                <w:color w:val="auto"/>
              </w:rPr>
            </w:pPr>
          </w:p>
        </w:tc>
        <w:tc>
          <w:tcPr>
            <w:tcW w:w="160" w:type="dxa"/>
            <w:vAlign w:val="bottom"/>
            <w:shd w:val="clear" w:color="auto" w:fill="0075A8"/>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920" w:type="dxa"/>
            <w:vAlign w:val="bottom"/>
            <w:gridSpan w:val="16"/>
            <w:vMerge w:val="restart"/>
          </w:tcPr>
          <w:p>
            <w:pPr>
              <w:spacing w:after="0" w:line="156" w:lineRule="exact"/>
              <w:rPr>
                <w:sz w:val="20"/>
                <w:szCs w:val="20"/>
                <w:color w:val="auto"/>
              </w:rPr>
            </w:pPr>
            <w:r>
              <w:rPr>
                <w:rFonts w:ascii="Arial" w:cs="Arial" w:eastAsia="Arial" w:hAnsi="Arial"/>
                <w:sz w:val="18"/>
                <w:szCs w:val="18"/>
                <w:color w:val="0075A8"/>
              </w:rPr>
              <w:t>​ Registered Public Accounting Firm</w:t>
            </w:r>
          </w:p>
        </w:tc>
        <w:tc>
          <w:tcPr>
            <w:tcW w:w="840" w:type="dxa"/>
            <w:vAlign w:val="bottom"/>
            <w:gridSpan w:val="4"/>
            <w:vMerge w:val="restart"/>
          </w:tcPr>
          <w:p>
            <w:pPr>
              <w:ind w:left="60"/>
              <w:spacing w:after="0" w:line="156" w:lineRule="exact"/>
              <w:rPr>
                <w:sz w:val="20"/>
                <w:szCs w:val="20"/>
                <w:color w:val="auto"/>
              </w:rPr>
            </w:pPr>
            <w:r>
              <w:rPr>
                <w:rFonts w:ascii="Arial" w:cs="Arial" w:eastAsia="Arial" w:hAnsi="Arial"/>
                <w:sz w:val="18"/>
                <w:szCs w:val="18"/>
                <w:color w:val="0075A8"/>
              </w:rPr>
              <w:t>​ ​​28​ ​</w:t>
            </w:r>
          </w:p>
        </w:tc>
        <w:tc>
          <w:tcPr>
            <w:tcW w:w="260" w:type="dxa"/>
            <w:vAlign w:val="bottom"/>
          </w:tcPr>
          <w:p>
            <w:pPr>
              <w:spacing w:after="0"/>
              <w:rPr>
                <w:sz w:val="5"/>
                <w:szCs w:val="5"/>
                <w:color w:val="auto"/>
              </w:rPr>
            </w:pPr>
          </w:p>
        </w:tc>
        <w:tc>
          <w:tcPr>
            <w:tcW w:w="3460" w:type="dxa"/>
            <w:vAlign w:val="bottom"/>
            <w:tcBorders>
              <w:bottom w:val="single" w:sz="8" w:color="0075A8"/>
            </w:tcBorders>
            <w:gridSpan w:val="9"/>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920" w:type="dxa"/>
            <w:vAlign w:val="bottom"/>
            <w:gridSpan w:val="16"/>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3840" w:type="dxa"/>
            <w:vAlign w:val="bottom"/>
            <w:gridSpan w:val="11"/>
            <w:vMerge w:val="restart"/>
          </w:tcPr>
          <w:p>
            <w:pPr>
              <w:ind w:left="140"/>
              <w:spacing w:after="0" w:line="156" w:lineRule="exact"/>
              <w:rPr>
                <w:sz w:val="20"/>
                <w:szCs w:val="20"/>
                <w:color w:val="auto"/>
              </w:rPr>
            </w:pPr>
            <w:r>
              <w:rPr>
                <w:rFonts w:ascii="Arial" w:cs="Arial" w:eastAsia="Arial" w:hAnsi="Arial"/>
                <w:sz w:val="18"/>
                <w:szCs w:val="18"/>
                <w:color w:val="0075A8"/>
              </w:rPr>
              <w:t>​ Owners and Management</w:t>
            </w:r>
          </w:p>
        </w:tc>
        <w:tc>
          <w:tcPr>
            <w:tcW w:w="940" w:type="dxa"/>
            <w:vAlign w:val="bottom"/>
            <w:gridSpan w:val="3"/>
            <w:vMerge w:val="restart"/>
          </w:tcPr>
          <w:p>
            <w:pPr>
              <w:jc w:val="right"/>
              <w:spacing w:after="0" w:line="156" w:lineRule="exact"/>
              <w:rPr>
                <w:sz w:val="20"/>
                <w:szCs w:val="20"/>
                <w:color w:val="auto"/>
              </w:rPr>
            </w:pPr>
            <w:r>
              <w:rPr>
                <w:rFonts w:ascii="Arial" w:cs="Arial" w:eastAsia="Arial" w:hAnsi="Arial"/>
                <w:sz w:val="18"/>
                <w:szCs w:val="18"/>
                <w:color w:val="0075A8"/>
              </w:rPr>
              <w:t>​ ​​73​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600" w:type="dxa"/>
            <w:vAlign w:val="bottom"/>
            <w:shd w:val="clear" w:color="auto" w:fill="0075A8"/>
          </w:tcPr>
          <w:p>
            <w:pPr>
              <w:spacing w:after="0" w:line="20" w:lineRule="exact"/>
              <w:rPr>
                <w:sz w:val="1"/>
                <w:szCs w:val="1"/>
                <w:color w:val="auto"/>
              </w:rPr>
            </w:pPr>
          </w:p>
        </w:tc>
        <w:tc>
          <w:tcPr>
            <w:tcW w:w="6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1040" w:type="dxa"/>
            <w:vAlign w:val="bottom"/>
            <w:shd w:val="clear" w:color="auto" w:fill="0075A8"/>
          </w:tcPr>
          <w:p>
            <w:pPr>
              <w:spacing w:after="0" w:line="20" w:lineRule="exact"/>
              <w:rPr>
                <w:sz w:val="1"/>
                <w:szCs w:val="1"/>
                <w:color w:val="auto"/>
              </w:rPr>
            </w:pPr>
          </w:p>
        </w:tc>
        <w:tc>
          <w:tcPr>
            <w:tcW w:w="1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Borders>
              <w:right w:val="single" w:sz="8" w:color="0075A8"/>
            </w:tcBorders>
            <w:shd w:val="clear" w:color="auto" w:fill="0075A8"/>
          </w:tcPr>
          <w:p>
            <w:pPr>
              <w:spacing w:after="0" w:line="20" w:lineRule="exact"/>
              <w:rPr>
                <w:sz w:val="1"/>
                <w:szCs w:val="1"/>
                <w:color w:val="auto"/>
              </w:rPr>
            </w:pPr>
          </w:p>
        </w:tc>
        <w:tc>
          <w:tcPr>
            <w:tcW w:w="160" w:type="dxa"/>
            <w:vAlign w:val="bottom"/>
            <w:shd w:val="clear" w:color="auto" w:fill="0075A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0075A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gridSpan w:val="11"/>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3"/>
                <w:szCs w:val="3"/>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EE"/>
                <w:w w:val="95"/>
              </w:rPr>
              <w:t>Audit Fees</w:t>
            </w:r>
          </w:p>
        </w:tc>
        <w:tc>
          <w:tcPr>
            <w:tcW w:w="1760" w:type="dxa"/>
            <w:vAlign w:val="bottom"/>
            <w:gridSpan w:val="6"/>
            <w:vMerge w:val="restart"/>
          </w:tcPr>
          <w:p>
            <w:pPr>
              <w:spacing w:after="0"/>
              <w:rPr>
                <w:sz w:val="3"/>
                <w:szCs w:val="3"/>
                <w:color w:val="auto"/>
              </w:rPr>
            </w:pPr>
          </w:p>
        </w:tc>
        <w:tc>
          <w:tcPr>
            <w:tcW w:w="840" w:type="dxa"/>
            <w:vAlign w:val="bottom"/>
            <w:gridSpan w:val="5"/>
            <w:vMerge w:val="restart"/>
          </w:tcPr>
          <w:p>
            <w:pPr>
              <w:spacing w:after="0"/>
              <w:rPr>
                <w:sz w:val="3"/>
                <w:szCs w:val="3"/>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29</w:t>
            </w:r>
            <w:r>
              <w:rPr>
                <w:rFonts w:ascii="Arial" w:cs="Arial" w:eastAsia="Arial" w:hAnsi="Arial"/>
                <w:sz w:val="18"/>
                <w:szCs w:val="18"/>
                <w:color w:val="auto"/>
              </w:rPr>
              <w:t>​</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840" w:type="dxa"/>
            <w:vAlign w:val="bottom"/>
            <w:gridSpan w:val="11"/>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12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760" w:type="dxa"/>
            <w:vAlign w:val="bottom"/>
            <w:gridSpan w:val="6"/>
            <w:vMerge w:val="continue"/>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820" w:type="dxa"/>
            <w:vAlign w:val="bottom"/>
            <w:shd w:val="clear" w:color="auto" w:fill="0075A8"/>
          </w:tcPr>
          <w:p>
            <w:pPr>
              <w:spacing w:after="0"/>
              <w:rPr>
                <w:sz w:val="2"/>
                <w:szCs w:val="2"/>
                <w:color w:val="auto"/>
              </w:rPr>
            </w:pPr>
          </w:p>
        </w:tc>
        <w:tc>
          <w:tcPr>
            <w:tcW w:w="520" w:type="dxa"/>
            <w:vAlign w:val="bottom"/>
            <w:shd w:val="clear" w:color="auto" w:fill="0075A8"/>
          </w:tcPr>
          <w:p>
            <w:pPr>
              <w:spacing w:after="0"/>
              <w:rPr>
                <w:sz w:val="2"/>
                <w:szCs w:val="2"/>
                <w:color w:val="auto"/>
              </w:rPr>
            </w:pPr>
          </w:p>
        </w:tc>
        <w:tc>
          <w:tcPr>
            <w:tcW w:w="260" w:type="dxa"/>
            <w:vAlign w:val="bottom"/>
            <w:shd w:val="clear" w:color="auto" w:fill="0075A8"/>
          </w:tcPr>
          <w:p>
            <w:pPr>
              <w:spacing w:after="0"/>
              <w:rPr>
                <w:sz w:val="2"/>
                <w:szCs w:val="2"/>
                <w:color w:val="auto"/>
              </w:rPr>
            </w:pPr>
          </w:p>
        </w:tc>
        <w:tc>
          <w:tcPr>
            <w:tcW w:w="260" w:type="dxa"/>
            <w:vAlign w:val="bottom"/>
            <w:shd w:val="clear" w:color="auto" w:fill="0075A8"/>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0075A8"/>
            </w:tcBorders>
          </w:tcPr>
          <w:p>
            <w:pPr>
              <w:spacing w:after="0"/>
              <w:rPr>
                <w:sz w:val="2"/>
                <w:szCs w:val="2"/>
                <w:color w:val="auto"/>
              </w:rPr>
            </w:pPr>
          </w:p>
        </w:tc>
        <w:tc>
          <w:tcPr>
            <w:tcW w:w="180" w:type="dxa"/>
            <w:vAlign w:val="bottom"/>
            <w:shd w:val="clear" w:color="auto" w:fill="0075A8"/>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1760" w:type="dxa"/>
            <w:vAlign w:val="bottom"/>
            <w:gridSpan w:val="6"/>
            <w:vMerge w:val="continue"/>
          </w:tcPr>
          <w:p>
            <w:pPr>
              <w:spacing w:after="0"/>
              <w:rPr>
                <w:sz w:val="19"/>
                <w:szCs w:val="19"/>
                <w:color w:val="auto"/>
              </w:rPr>
            </w:pPr>
          </w:p>
        </w:tc>
        <w:tc>
          <w:tcPr>
            <w:tcW w:w="840" w:type="dxa"/>
            <w:vAlign w:val="bottom"/>
            <w:gridSpan w:val="5"/>
            <w:vMerge w:val="continue"/>
          </w:tcPr>
          <w:p>
            <w:pPr>
              <w:spacing w:after="0"/>
              <w:rPr>
                <w:sz w:val="19"/>
                <w:szCs w:val="19"/>
                <w:color w:val="auto"/>
              </w:rPr>
            </w:pPr>
          </w:p>
        </w:tc>
        <w:tc>
          <w:tcPr>
            <w:tcW w:w="60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840" w:type="dxa"/>
            <w:vAlign w:val="bottom"/>
            <w:gridSpan w:val="11"/>
            <w:vMerge w:val="restart"/>
          </w:tcPr>
          <w:p>
            <w:pPr>
              <w:ind w:left="140"/>
              <w:spacing w:after="0"/>
              <w:rPr>
                <w:sz w:val="20"/>
                <w:szCs w:val="20"/>
                <w:color w:val="auto"/>
              </w:rPr>
            </w:pPr>
            <w:r>
              <w:rPr>
                <w:rFonts w:ascii="Arial" w:cs="Arial" w:eastAsia="Arial" w:hAnsi="Arial"/>
                <w:sz w:val="20"/>
                <w:szCs w:val="20"/>
                <w:color w:val="0075A8"/>
              </w:rPr>
              <w:t>​ General Information</w:t>
            </w:r>
          </w:p>
        </w:tc>
        <w:tc>
          <w:tcPr>
            <w:tcW w:w="940" w:type="dxa"/>
            <w:vAlign w:val="bottom"/>
            <w:gridSpan w:val="3"/>
            <w:vMerge w:val="restart"/>
          </w:tcPr>
          <w:p>
            <w:pPr>
              <w:jc w:val="right"/>
              <w:spacing w:after="0"/>
              <w:rPr>
                <w:sz w:val="20"/>
                <w:szCs w:val="20"/>
                <w:color w:val="auto"/>
              </w:rPr>
            </w:pPr>
            <w:r>
              <w:rPr>
                <w:rFonts w:ascii="Arial" w:cs="Arial" w:eastAsia="Arial" w:hAnsi="Arial"/>
                <w:sz w:val="20"/>
                <w:szCs w:val="20"/>
                <w:color w:val="0075A8"/>
              </w:rPr>
              <w:t>​ ​​75​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gridSpan w:val="11"/>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920" w:type="dxa"/>
            <w:vAlign w:val="bottom"/>
            <w:gridSpan w:val="16"/>
            <w:vMerge w:val="restart"/>
          </w:tcPr>
          <w:p>
            <w:pPr>
              <w:spacing w:after="0"/>
              <w:rPr>
                <w:sz w:val="20"/>
                <w:szCs w:val="20"/>
                <w:color w:val="auto"/>
              </w:rPr>
            </w:pPr>
            <w:r>
              <w:rPr>
                <w:rFonts w:ascii="Arial" w:cs="Arial" w:eastAsia="Arial" w:hAnsi="Arial"/>
                <w:sz w:val="20"/>
                <w:szCs w:val="20"/>
                <w:color w:val="0075A8"/>
              </w:rPr>
              <w:t>​ Report of the Audit Committee</w:t>
            </w:r>
          </w:p>
        </w:tc>
        <w:tc>
          <w:tcPr>
            <w:tcW w:w="840" w:type="dxa"/>
            <w:vAlign w:val="bottom"/>
            <w:gridSpan w:val="4"/>
            <w:vMerge w:val="restart"/>
          </w:tcPr>
          <w:p>
            <w:pPr>
              <w:ind w:left="60"/>
              <w:spacing w:after="0"/>
              <w:rPr>
                <w:sz w:val="20"/>
                <w:szCs w:val="20"/>
                <w:color w:val="auto"/>
              </w:rPr>
            </w:pPr>
            <w:r>
              <w:rPr>
                <w:rFonts w:ascii="Arial" w:cs="Arial" w:eastAsia="Arial" w:hAnsi="Arial"/>
                <w:sz w:val="20"/>
                <w:szCs w:val="20"/>
                <w:color w:val="0075A8"/>
              </w:rPr>
              <w:t>​ ​​30​ ​</w:t>
            </w:r>
          </w:p>
        </w:tc>
        <w:tc>
          <w:tcPr>
            <w:tcW w:w="3840" w:type="dxa"/>
            <w:vAlign w:val="bottom"/>
            <w:gridSpan w:val="11"/>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gridSpan w:val="16"/>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2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0075A8"/>
            </w:tcBorders>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gridSpan w:val="16"/>
            <w:vMerge w:val="continue"/>
          </w:tcPr>
          <w:p>
            <w:pPr>
              <w:spacing w:after="0"/>
              <w:rPr>
                <w:sz w:val="19"/>
                <w:szCs w:val="19"/>
                <w:color w:val="auto"/>
              </w:rPr>
            </w:pPr>
          </w:p>
        </w:tc>
        <w:tc>
          <w:tcPr>
            <w:tcW w:w="840" w:type="dxa"/>
            <w:vAlign w:val="bottom"/>
            <w:gridSpan w:val="4"/>
            <w:vMerge w:val="continue"/>
          </w:tcPr>
          <w:p>
            <w:pPr>
              <w:spacing w:after="0"/>
              <w:rPr>
                <w:sz w:val="19"/>
                <w:szCs w:val="19"/>
                <w:color w:val="auto"/>
              </w:rPr>
            </w:pPr>
          </w:p>
        </w:tc>
        <w:tc>
          <w:tcPr>
            <w:tcW w:w="3840" w:type="dxa"/>
            <w:vAlign w:val="bottom"/>
            <w:gridSpan w:val="11"/>
            <w:vMerge w:val="restart"/>
          </w:tcPr>
          <w:p>
            <w:pPr>
              <w:ind w:left="140"/>
              <w:spacing w:after="0"/>
              <w:rPr>
                <w:sz w:val="20"/>
                <w:szCs w:val="20"/>
                <w:color w:val="auto"/>
              </w:rPr>
            </w:pPr>
            <w:r>
              <w:rPr>
                <w:rFonts w:ascii="Arial" w:cs="Arial" w:eastAsia="Arial" w:hAnsi="Arial"/>
                <w:sz w:val="20"/>
                <w:szCs w:val="20"/>
                <w:color w:val="0075A8"/>
              </w:rPr>
              <w:t>​ Other Proposed Action</w:t>
            </w:r>
          </w:p>
        </w:tc>
        <w:tc>
          <w:tcPr>
            <w:tcW w:w="940" w:type="dxa"/>
            <w:vAlign w:val="bottom"/>
            <w:gridSpan w:val="3"/>
            <w:vMerge w:val="restart"/>
          </w:tcPr>
          <w:p>
            <w:pPr>
              <w:jc w:val="right"/>
              <w:spacing w:after="0"/>
              <w:rPr>
                <w:sz w:val="20"/>
                <w:szCs w:val="20"/>
                <w:color w:val="auto"/>
              </w:rPr>
            </w:pPr>
            <w:r>
              <w:rPr>
                <w:rFonts w:ascii="Arial" w:cs="Arial" w:eastAsia="Arial" w:hAnsi="Arial"/>
                <w:sz w:val="20"/>
                <w:szCs w:val="20"/>
                <w:color w:val="0075A8"/>
              </w:rPr>
              <w:t>​ ​​81​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600" w:type="dxa"/>
            <w:vAlign w:val="bottom"/>
            <w:shd w:val="clear" w:color="auto" w:fill="0075A8"/>
          </w:tcPr>
          <w:p>
            <w:pPr>
              <w:spacing w:after="0" w:line="20" w:lineRule="exact"/>
              <w:rPr>
                <w:sz w:val="1"/>
                <w:szCs w:val="1"/>
                <w:color w:val="auto"/>
              </w:rPr>
            </w:pPr>
          </w:p>
        </w:tc>
        <w:tc>
          <w:tcPr>
            <w:tcW w:w="6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1040" w:type="dxa"/>
            <w:vAlign w:val="bottom"/>
            <w:shd w:val="clear" w:color="auto" w:fill="0075A8"/>
          </w:tcPr>
          <w:p>
            <w:pPr>
              <w:spacing w:after="0" w:line="20" w:lineRule="exact"/>
              <w:rPr>
                <w:sz w:val="1"/>
                <w:szCs w:val="1"/>
                <w:color w:val="auto"/>
              </w:rPr>
            </w:pPr>
          </w:p>
        </w:tc>
        <w:tc>
          <w:tcPr>
            <w:tcW w:w="1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gridSpan w:val="11"/>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3800" w:type="dxa"/>
            <w:vAlign w:val="bottom"/>
            <w:gridSpan w:val="15"/>
            <w:vMerge w:val="restart"/>
          </w:tcPr>
          <w:p>
            <w:pPr>
              <w:spacing w:after="0"/>
              <w:rPr>
                <w:sz w:val="20"/>
                <w:szCs w:val="20"/>
                <w:color w:val="auto"/>
              </w:rPr>
            </w:pPr>
            <w:r>
              <w:rPr>
                <w:rFonts w:ascii="Arial" w:cs="Arial" w:eastAsia="Arial" w:hAnsi="Arial"/>
                <w:sz w:val="20"/>
                <w:szCs w:val="20"/>
                <w:color w:val="0075A8"/>
              </w:rPr>
              <w:t>Proposal 3: Advisory Vote on the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40" w:type="dxa"/>
            <w:vAlign w:val="bottom"/>
            <w:gridSpan w:val="11"/>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800" w:type="dxa"/>
            <w:vAlign w:val="bottom"/>
            <w:gridSpan w:val="15"/>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vMerge w:val="restart"/>
          </w:tcPr>
          <w:p>
            <w:pPr>
              <w:ind w:left="140"/>
              <w:spacing w:after="0"/>
              <w:rPr>
                <w:sz w:val="20"/>
                <w:szCs w:val="20"/>
                <w:color w:val="auto"/>
              </w:rPr>
            </w:pPr>
            <w:r>
              <w:rPr>
                <w:rFonts w:ascii="Arial" w:cs="Arial" w:eastAsia="Arial" w:hAnsi="Arial"/>
                <w:sz w:val="20"/>
                <w:szCs w:val="20"/>
                <w:color w:val="0075A8"/>
              </w:rPr>
              <w:t>​</w:t>
            </w:r>
          </w:p>
        </w:tc>
        <w:tc>
          <w:tcPr>
            <w:tcW w:w="1180" w:type="dxa"/>
            <w:vAlign w:val="bottom"/>
            <w:tcBorders>
              <w:top w:val="single" w:sz="8" w:color="0075A8"/>
            </w:tcBorders>
            <w:gridSpan w:val="2"/>
            <w:vMerge w:val="restart"/>
          </w:tcPr>
          <w:p>
            <w:pPr>
              <w:spacing w:after="0"/>
              <w:rPr>
                <w:sz w:val="20"/>
                <w:szCs w:val="20"/>
                <w:color w:val="auto"/>
              </w:rPr>
            </w:pPr>
            <w:r>
              <w:rPr>
                <w:rFonts w:ascii="Arial" w:cs="Arial" w:eastAsia="Arial" w:hAnsi="Arial"/>
                <w:sz w:val="20"/>
                <w:szCs w:val="20"/>
                <w:color w:val="0075A8"/>
                <w:w w:val="94"/>
              </w:rPr>
              <w:t>Other Matters</w:t>
            </w:r>
          </w:p>
        </w:tc>
        <w:tc>
          <w:tcPr>
            <w:tcW w:w="520" w:type="dxa"/>
            <w:vAlign w:val="bottom"/>
            <w:tcBorders>
              <w:top w:val="single" w:sz="8" w:color="0075A8"/>
            </w:tcBorders>
          </w:tcPr>
          <w:p>
            <w:pPr>
              <w:spacing w:after="0"/>
              <w:rPr>
                <w:sz w:val="19"/>
                <w:szCs w:val="19"/>
                <w:color w:val="auto"/>
              </w:rPr>
            </w:pPr>
          </w:p>
        </w:tc>
        <w:tc>
          <w:tcPr>
            <w:tcW w:w="260" w:type="dxa"/>
            <w:vAlign w:val="bottom"/>
            <w:tcBorders>
              <w:top w:val="single" w:sz="8" w:color="0075A8"/>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restart"/>
          </w:tcPr>
          <w:p>
            <w:pPr>
              <w:ind w:left="300"/>
              <w:spacing w:after="0"/>
              <w:rPr>
                <w:sz w:val="20"/>
                <w:szCs w:val="20"/>
                <w:color w:val="auto"/>
              </w:rPr>
            </w:pPr>
            <w:r>
              <w:rPr>
                <w:rFonts w:ascii="Arial" w:cs="Arial" w:eastAsia="Arial" w:hAnsi="Arial"/>
                <w:sz w:val="20"/>
                <w:szCs w:val="20"/>
                <w:color w:val="0075A8"/>
              </w:rPr>
              <w:t>​ ​​</w:t>
            </w:r>
          </w:p>
        </w:tc>
        <w:tc>
          <w:tcPr>
            <w:tcW w:w="180" w:type="dxa"/>
            <w:vAlign w:val="bottom"/>
            <w:tcBorders>
              <w:top w:val="single" w:sz="8" w:color="0075A8"/>
            </w:tcBorders>
            <w:vMerge w:val="restart"/>
          </w:tcPr>
          <w:p>
            <w:pPr>
              <w:jc w:val="right"/>
              <w:spacing w:after="0"/>
              <w:rPr>
                <w:sz w:val="20"/>
                <w:szCs w:val="20"/>
                <w:color w:val="auto"/>
              </w:rPr>
            </w:pPr>
            <w:r>
              <w:rPr>
                <w:rFonts w:ascii="Arial" w:cs="Arial" w:eastAsia="Arial" w:hAnsi="Arial"/>
                <w:sz w:val="20"/>
                <w:szCs w:val="20"/>
                <w:color w:val="0075A8"/>
                <w:w w:val="71"/>
              </w:rPr>
              <w:t>81</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0075A8"/>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600" w:type="dxa"/>
            <w:vAlign w:val="bottom"/>
            <w:shd w:val="clear" w:color="auto" w:fill="0075A8"/>
          </w:tcPr>
          <w:p>
            <w:pPr>
              <w:spacing w:after="0" w:line="20" w:lineRule="exact"/>
              <w:rPr>
                <w:sz w:val="1"/>
                <w:szCs w:val="1"/>
                <w:color w:val="auto"/>
              </w:rPr>
            </w:pPr>
          </w:p>
        </w:tc>
        <w:tc>
          <w:tcPr>
            <w:tcW w:w="60" w:type="dxa"/>
            <w:vAlign w:val="bottom"/>
            <w:shd w:val="clear" w:color="auto" w:fill="0075A8"/>
          </w:tcPr>
          <w:p>
            <w:pPr>
              <w:spacing w:after="0" w:line="20" w:lineRule="exact"/>
              <w:rPr>
                <w:sz w:val="1"/>
                <w:szCs w:val="1"/>
                <w:color w:val="auto"/>
              </w:rPr>
            </w:pPr>
          </w:p>
        </w:tc>
        <w:tc>
          <w:tcPr>
            <w:tcW w:w="220" w:type="dxa"/>
            <w:vAlign w:val="bottom"/>
            <w:gridSpan w:val="2"/>
            <w:shd w:val="clear" w:color="auto" w:fill="0075A8"/>
          </w:tcPr>
          <w:p>
            <w:pPr>
              <w:spacing w:after="0" w:line="20" w:lineRule="exact"/>
              <w:rPr>
                <w:sz w:val="1"/>
                <w:szCs w:val="1"/>
                <w:color w:val="auto"/>
              </w:rPr>
            </w:pPr>
          </w:p>
        </w:tc>
        <w:tc>
          <w:tcPr>
            <w:tcW w:w="1040" w:type="dxa"/>
            <w:vAlign w:val="bottom"/>
            <w:shd w:val="clear" w:color="auto" w:fill="0075A8"/>
          </w:tcPr>
          <w:p>
            <w:pPr>
              <w:spacing w:after="0" w:line="20" w:lineRule="exact"/>
              <w:rPr>
                <w:sz w:val="1"/>
                <w:szCs w:val="1"/>
                <w:color w:val="auto"/>
              </w:rPr>
            </w:pPr>
          </w:p>
        </w:tc>
        <w:tc>
          <w:tcPr>
            <w:tcW w:w="140" w:type="dxa"/>
            <w:vAlign w:val="bottom"/>
            <w:shd w:val="clear" w:color="auto" w:fill="0075A8"/>
          </w:tcPr>
          <w:p>
            <w:pPr>
              <w:spacing w:after="0" w:line="20" w:lineRule="exact"/>
              <w:rPr>
                <w:sz w:val="1"/>
                <w:szCs w:val="1"/>
                <w:color w:val="auto"/>
              </w:rPr>
            </w:pPr>
          </w:p>
        </w:tc>
        <w:tc>
          <w:tcPr>
            <w:tcW w:w="380" w:type="dxa"/>
            <w:vAlign w:val="bottom"/>
            <w:tcBorders>
              <w:right w:val="single" w:sz="8" w:color="0075A8"/>
            </w:tcBorders>
            <w:gridSpan w:val="2"/>
            <w:shd w:val="clear" w:color="auto" w:fill="0075A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40" w:type="dxa"/>
            <w:vAlign w:val="bottom"/>
            <w:gridSpan w:val="4"/>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800" w:type="dxa"/>
            <w:vAlign w:val="bottom"/>
            <w:gridSpan w:val="15"/>
            <w:vMerge w:val="restart"/>
          </w:tcPr>
          <w:p>
            <w:pPr>
              <w:spacing w:after="0" w:line="183" w:lineRule="exact"/>
              <w:rPr>
                <w:sz w:val="20"/>
                <w:szCs w:val="20"/>
                <w:color w:val="auto"/>
              </w:rPr>
            </w:pPr>
            <w:r>
              <w:rPr>
                <w:rFonts w:ascii="Arial" w:cs="Arial" w:eastAsia="Arial" w:hAnsi="Arial"/>
                <w:sz w:val="20"/>
                <w:szCs w:val="20"/>
                <w:color w:val="0075A8"/>
              </w:rPr>
              <w:t>Compensation of Our Named Executive</w:t>
            </w:r>
          </w:p>
        </w:tc>
        <w:tc>
          <w:tcPr>
            <w:tcW w:w="840" w:type="dxa"/>
            <w:vAlign w:val="bottom"/>
            <w:gridSpan w:val="4"/>
            <w:vMerge w:val="restart"/>
          </w:tcPr>
          <w:p>
            <w:pPr>
              <w:ind w:left="60"/>
              <w:spacing w:after="0"/>
              <w:rPr>
                <w:sz w:val="20"/>
                <w:szCs w:val="20"/>
                <w:color w:val="auto"/>
              </w:rPr>
            </w:pPr>
            <w:r>
              <w:rPr>
                <w:rFonts w:ascii="Arial" w:cs="Arial" w:eastAsia="Arial" w:hAnsi="Arial"/>
                <w:sz w:val="20"/>
                <w:szCs w:val="20"/>
                <w:color w:val="0075A8"/>
              </w:rPr>
              <w:t>​ ​​31​ ​</w:t>
            </w:r>
          </w:p>
        </w:tc>
        <w:tc>
          <w:tcPr>
            <w:tcW w:w="260" w:type="dxa"/>
            <w:vAlign w:val="bottom"/>
            <w:vMerge w:val="continue"/>
          </w:tcPr>
          <w:p>
            <w:pPr>
              <w:spacing w:after="0"/>
              <w:rPr>
                <w:sz w:val="12"/>
                <w:szCs w:val="12"/>
                <w:color w:val="auto"/>
              </w:rPr>
            </w:pPr>
          </w:p>
        </w:tc>
        <w:tc>
          <w:tcPr>
            <w:tcW w:w="1180" w:type="dxa"/>
            <w:vAlign w:val="bottom"/>
            <w:tcBorders>
              <w:bottom w:val="single" w:sz="8" w:color="0075A8"/>
            </w:tcBorders>
            <w:gridSpan w:val="2"/>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Borders>
              <w:bottom w:val="single" w:sz="8" w:color="0075A8"/>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3800" w:type="dxa"/>
            <w:vAlign w:val="bottom"/>
            <w:gridSpan w:val="15"/>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3420" w:type="dxa"/>
            <w:vAlign w:val="bottom"/>
            <w:tcBorders>
              <w:top w:val="single" w:sz="8" w:color="0075A8"/>
            </w:tcBorders>
            <w:gridSpan w:val="12"/>
          </w:tcPr>
          <w:p>
            <w:pPr>
              <w:spacing w:after="0" w:line="169" w:lineRule="exact"/>
              <w:rPr>
                <w:sz w:val="20"/>
                <w:szCs w:val="20"/>
                <w:color w:val="auto"/>
              </w:rPr>
            </w:pPr>
            <w:r>
              <w:rPr>
                <w:rFonts w:ascii="Arial" w:cs="Arial" w:eastAsia="Arial" w:hAnsi="Arial"/>
                <w:sz w:val="19"/>
                <w:szCs w:val="19"/>
                <w:color w:val="0075A8"/>
              </w:rPr>
              <w:t>Officers (“Say-on-Pay” Vote)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10"/>
            <w:vMerge w:val="restart"/>
          </w:tcPr>
          <w:p>
            <w:pPr>
              <w:spacing w:after="0"/>
              <w:rPr>
                <w:sz w:val="20"/>
                <w:szCs w:val="20"/>
                <w:color w:val="auto"/>
              </w:rPr>
            </w:pPr>
            <w:r>
              <w:rPr>
                <w:rFonts w:ascii="Arial" w:cs="Arial" w:eastAsia="Arial" w:hAnsi="Arial"/>
                <w:sz w:val="20"/>
                <w:szCs w:val="20"/>
                <w:color w:val="0075A8"/>
                <w:w w:val="97"/>
              </w:rPr>
              <w:t>Appendix A: Unaudited Reconciliations of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360" w:type="dxa"/>
            <w:vAlign w:val="bottom"/>
            <w:tcBorders>
              <w:top w:val="single" w:sz="8" w:color="0075A8"/>
            </w:tcBorders>
          </w:tcPr>
          <w:p>
            <w:pPr>
              <w:spacing w:after="0"/>
              <w:rPr>
                <w:sz w:val="13"/>
                <w:szCs w:val="13"/>
                <w:color w:val="auto"/>
              </w:rPr>
            </w:pPr>
          </w:p>
        </w:tc>
        <w:tc>
          <w:tcPr>
            <w:tcW w:w="600" w:type="dxa"/>
            <w:vAlign w:val="bottom"/>
            <w:tcBorders>
              <w:top w:val="single" w:sz="8" w:color="0075A8"/>
            </w:tcBorders>
          </w:tcPr>
          <w:p>
            <w:pPr>
              <w:spacing w:after="0"/>
              <w:rPr>
                <w:sz w:val="13"/>
                <w:szCs w:val="13"/>
                <w:color w:val="auto"/>
              </w:rPr>
            </w:pPr>
          </w:p>
        </w:tc>
        <w:tc>
          <w:tcPr>
            <w:tcW w:w="60" w:type="dxa"/>
            <w:vAlign w:val="bottom"/>
            <w:tcBorders>
              <w:top w:val="single" w:sz="8" w:color="0075A8"/>
            </w:tcBorders>
          </w:tcPr>
          <w:p>
            <w:pPr>
              <w:spacing w:after="0"/>
              <w:rPr>
                <w:sz w:val="13"/>
                <w:szCs w:val="13"/>
                <w:color w:val="auto"/>
              </w:rPr>
            </w:pPr>
          </w:p>
        </w:tc>
        <w:tc>
          <w:tcPr>
            <w:tcW w:w="180" w:type="dxa"/>
            <w:vAlign w:val="bottom"/>
            <w:tcBorders>
              <w:top w:val="single" w:sz="8" w:color="0075A8"/>
            </w:tcBorders>
          </w:tcPr>
          <w:p>
            <w:pPr>
              <w:spacing w:after="0"/>
              <w:rPr>
                <w:sz w:val="13"/>
                <w:szCs w:val="13"/>
                <w:color w:val="auto"/>
              </w:rPr>
            </w:pPr>
          </w:p>
        </w:tc>
        <w:tc>
          <w:tcPr>
            <w:tcW w:w="40" w:type="dxa"/>
            <w:vAlign w:val="bottom"/>
            <w:tcBorders>
              <w:top w:val="single" w:sz="8" w:color="0075A8"/>
            </w:tcBorders>
          </w:tcPr>
          <w:p>
            <w:pPr>
              <w:spacing w:after="0"/>
              <w:rPr>
                <w:sz w:val="13"/>
                <w:szCs w:val="13"/>
                <w:color w:val="auto"/>
              </w:rPr>
            </w:pPr>
          </w:p>
        </w:tc>
        <w:tc>
          <w:tcPr>
            <w:tcW w:w="1040" w:type="dxa"/>
            <w:vAlign w:val="bottom"/>
            <w:tcBorders>
              <w:top w:val="single" w:sz="8" w:color="0075A8"/>
            </w:tcBorders>
          </w:tcPr>
          <w:p>
            <w:pPr>
              <w:spacing w:after="0"/>
              <w:rPr>
                <w:sz w:val="13"/>
                <w:szCs w:val="13"/>
                <w:color w:val="auto"/>
              </w:rPr>
            </w:pPr>
          </w:p>
        </w:tc>
        <w:tc>
          <w:tcPr>
            <w:tcW w:w="140" w:type="dxa"/>
            <w:vAlign w:val="bottom"/>
            <w:tcBorders>
              <w:top w:val="single" w:sz="8" w:color="0075A8"/>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0075A8"/>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vMerge w:val="restart"/>
          </w:tcPr>
          <w:p>
            <w:pPr>
              <w:ind w:left="140"/>
              <w:spacing w:after="0"/>
              <w:rPr>
                <w:sz w:val="20"/>
                <w:szCs w:val="20"/>
                <w:color w:val="auto"/>
              </w:rPr>
            </w:pPr>
            <w:r>
              <w:rPr>
                <w:rFonts w:ascii="Arial" w:cs="Arial" w:eastAsia="Arial" w:hAnsi="Arial"/>
                <w:sz w:val="20"/>
                <w:szCs w:val="20"/>
                <w:color w:val="0075A8"/>
              </w:rPr>
              <w:t>​</w:t>
            </w:r>
          </w:p>
        </w:tc>
        <w:tc>
          <w:tcPr>
            <w:tcW w:w="3580" w:type="dxa"/>
            <w:vAlign w:val="bottom"/>
            <w:tcBorders>
              <w:bottom w:val="single" w:sz="8" w:color="0075A8"/>
            </w:tcBorders>
            <w:gridSpan w:val="10"/>
            <w:vMerge w:val="continue"/>
          </w:tcPr>
          <w:p>
            <w:pPr>
              <w:spacing w:after="0"/>
              <w:rPr>
                <w:sz w:val="13"/>
                <w:szCs w:val="13"/>
                <w:color w:val="auto"/>
              </w:rPr>
            </w:pPr>
          </w:p>
        </w:tc>
        <w:tc>
          <w:tcPr>
            <w:tcW w:w="560" w:type="dxa"/>
            <w:vAlign w:val="bottom"/>
            <w:vMerge w:val="restart"/>
          </w:tcPr>
          <w:p>
            <w:pPr>
              <w:ind w:left="300"/>
              <w:spacing w:after="0"/>
              <w:rPr>
                <w:sz w:val="20"/>
                <w:szCs w:val="20"/>
                <w:color w:val="auto"/>
              </w:rPr>
            </w:pPr>
            <w:r>
              <w:rPr>
                <w:rFonts w:ascii="Arial" w:cs="Arial" w:eastAsia="Arial" w:hAnsi="Arial"/>
                <w:sz w:val="20"/>
                <w:szCs w:val="20"/>
                <w:color w:val="0075A8"/>
              </w:rPr>
              <w:t>​ ​​</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0075A8"/>
                <w:w w:val="71"/>
              </w:rPr>
              <w:t>83</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0075A8"/>
              </w:rPr>
              <w:t>​ ​</w:t>
            </w:r>
          </w:p>
        </w:tc>
        <w:tc>
          <w:tcPr>
            <w:tcW w:w="0" w:type="dxa"/>
            <w:vAlign w:val="bottom"/>
          </w:tcPr>
          <w:p>
            <w:pPr>
              <w:spacing w:after="0"/>
              <w:rPr>
                <w:sz w:val="1"/>
                <w:szCs w:val="1"/>
                <w:color w:val="auto"/>
              </w:rPr>
            </w:pPr>
          </w:p>
        </w:tc>
      </w:tr>
      <w:tr>
        <w:trPr>
          <w:trHeight w:val="189"/>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800" w:type="dxa"/>
            <w:vAlign w:val="bottom"/>
            <w:gridSpan w:val="15"/>
          </w:tcPr>
          <w:p>
            <w:pPr>
              <w:spacing w:after="0" w:line="183" w:lineRule="exact"/>
              <w:rPr>
                <w:sz w:val="20"/>
                <w:szCs w:val="20"/>
                <w:color w:val="auto"/>
              </w:rPr>
            </w:pPr>
            <w:r>
              <w:rPr>
                <w:rFonts w:ascii="Arial" w:cs="Arial" w:eastAsia="Arial" w:hAnsi="Arial"/>
                <w:sz w:val="20"/>
                <w:szCs w:val="20"/>
                <w:color w:val="0075A8"/>
              </w:rPr>
              <w:t>Information About Executive and Director</w:t>
            </w:r>
          </w:p>
        </w:tc>
        <w:tc>
          <w:tcPr>
            <w:tcW w:w="840" w:type="dxa"/>
            <w:vAlign w:val="bottom"/>
            <w:gridSpan w:val="4"/>
            <w:vMerge w:val="restart"/>
          </w:tcPr>
          <w:p>
            <w:pPr>
              <w:ind w:left="60"/>
              <w:spacing w:after="0"/>
              <w:rPr>
                <w:sz w:val="20"/>
                <w:szCs w:val="20"/>
                <w:color w:val="auto"/>
              </w:rPr>
            </w:pPr>
            <w:r>
              <w:rPr>
                <w:rFonts w:ascii="Arial" w:cs="Arial" w:eastAsia="Arial" w:hAnsi="Arial"/>
                <w:sz w:val="20"/>
                <w:szCs w:val="20"/>
                <w:color w:val="0075A8"/>
              </w:rPr>
              <w:t>​ ​​32​ ​</w:t>
            </w:r>
          </w:p>
        </w:tc>
        <w:tc>
          <w:tcPr>
            <w:tcW w:w="260" w:type="dxa"/>
            <w:vAlign w:val="bottom"/>
            <w:vMerge w:val="continue"/>
          </w:tcPr>
          <w:p>
            <w:pPr>
              <w:spacing w:after="0"/>
              <w:rPr>
                <w:sz w:val="16"/>
                <w:szCs w:val="16"/>
                <w:color w:val="auto"/>
              </w:rPr>
            </w:pPr>
          </w:p>
        </w:tc>
        <w:tc>
          <w:tcPr>
            <w:tcW w:w="2680" w:type="dxa"/>
            <w:vAlign w:val="bottom"/>
            <w:tcBorders>
              <w:bottom w:val="single" w:sz="8" w:color="0075A8"/>
            </w:tcBorders>
            <w:gridSpan w:val="7"/>
          </w:tcPr>
          <w:p>
            <w:pPr>
              <w:spacing w:after="0" w:line="169" w:lineRule="exact"/>
              <w:rPr>
                <w:sz w:val="20"/>
                <w:szCs w:val="20"/>
                <w:color w:val="auto"/>
              </w:rPr>
            </w:pPr>
            <w:r>
              <w:rPr>
                <w:rFonts w:ascii="Arial" w:cs="Arial" w:eastAsia="Arial" w:hAnsi="Arial"/>
                <w:sz w:val="19"/>
                <w:szCs w:val="19"/>
                <w:color w:val="0075A8"/>
              </w:rPr>
              <w:t>Non-GAAP Financial Measures</w:t>
            </w:r>
          </w:p>
        </w:tc>
        <w:tc>
          <w:tcPr>
            <w:tcW w:w="66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Borders>
              <w:bottom w:val="single" w:sz="8" w:color="0075A8"/>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360" w:type="dxa"/>
            <w:vAlign w:val="bottom"/>
            <w:tcBorders>
              <w:bottom w:val="single" w:sz="8" w:color="0075A8"/>
            </w:tcBorders>
          </w:tcPr>
          <w:p>
            <w:pPr>
              <w:spacing w:after="0" w:line="20" w:lineRule="exact"/>
              <w:rPr>
                <w:sz w:val="1"/>
                <w:szCs w:val="1"/>
                <w:color w:val="auto"/>
              </w:rPr>
            </w:pPr>
          </w:p>
        </w:tc>
        <w:tc>
          <w:tcPr>
            <w:tcW w:w="600" w:type="dxa"/>
            <w:vAlign w:val="bottom"/>
            <w:tcBorders>
              <w:bottom w:val="single" w:sz="8" w:color="0075A8"/>
            </w:tcBorders>
          </w:tcPr>
          <w:p>
            <w:pPr>
              <w:spacing w:after="0" w:line="20" w:lineRule="exact"/>
              <w:rPr>
                <w:sz w:val="1"/>
                <w:szCs w:val="1"/>
                <w:color w:val="auto"/>
              </w:rPr>
            </w:pPr>
          </w:p>
        </w:tc>
        <w:tc>
          <w:tcPr>
            <w:tcW w:w="60" w:type="dxa"/>
            <w:vAlign w:val="bottom"/>
            <w:tcBorders>
              <w:bottom w:val="single" w:sz="8" w:color="0075A8"/>
            </w:tcBorders>
          </w:tcPr>
          <w:p>
            <w:pPr>
              <w:spacing w:after="0" w:line="20" w:lineRule="exact"/>
              <w:rPr>
                <w:sz w:val="1"/>
                <w:szCs w:val="1"/>
                <w:color w:val="auto"/>
              </w:rPr>
            </w:pPr>
          </w:p>
        </w:tc>
        <w:tc>
          <w:tcPr>
            <w:tcW w:w="220" w:type="dxa"/>
            <w:vAlign w:val="bottom"/>
            <w:tcBorders>
              <w:bottom w:val="single" w:sz="8" w:color="0075A8"/>
            </w:tcBorders>
            <w:gridSpan w:val="2"/>
          </w:tcPr>
          <w:p>
            <w:pPr>
              <w:spacing w:after="0" w:line="20" w:lineRule="exact"/>
              <w:rPr>
                <w:sz w:val="1"/>
                <w:szCs w:val="1"/>
                <w:color w:val="auto"/>
              </w:rPr>
            </w:pPr>
          </w:p>
        </w:tc>
        <w:tc>
          <w:tcPr>
            <w:tcW w:w="1040" w:type="dxa"/>
            <w:vAlign w:val="bottom"/>
            <w:tcBorders>
              <w:bottom w:val="single" w:sz="8" w:color="0075A8"/>
            </w:tcBorders>
          </w:tcPr>
          <w:p>
            <w:pPr>
              <w:spacing w:after="0" w:line="20" w:lineRule="exact"/>
              <w:rPr>
                <w:sz w:val="1"/>
                <w:szCs w:val="1"/>
                <w:color w:val="auto"/>
              </w:rPr>
            </w:pPr>
          </w:p>
        </w:tc>
        <w:tc>
          <w:tcPr>
            <w:tcW w:w="520" w:type="dxa"/>
            <w:vAlign w:val="bottom"/>
            <w:tcBorders>
              <w:bottom w:val="single" w:sz="8" w:color="0075A8"/>
            </w:tcBorders>
            <w:gridSpan w:val="3"/>
          </w:tcPr>
          <w:p>
            <w:pPr>
              <w:spacing w:after="0" w:line="20" w:lineRule="exact"/>
              <w:rPr>
                <w:sz w:val="1"/>
                <w:szCs w:val="1"/>
                <w:color w:val="auto"/>
              </w:rPr>
            </w:pPr>
          </w:p>
        </w:tc>
        <w:tc>
          <w:tcPr>
            <w:tcW w:w="720" w:type="dxa"/>
            <w:vAlign w:val="bottom"/>
            <w:tcBorders>
              <w:bottom w:val="single" w:sz="8" w:color="0075A8"/>
            </w:tcBorders>
            <w:gridSpan w:val="4"/>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vMerge w:val="continue"/>
          </w:tcPr>
          <w:p>
            <w:pPr>
              <w:spacing w:after="0"/>
              <w:rPr>
                <w:sz w:val="13"/>
                <w:szCs w:val="13"/>
                <w:color w:val="auto"/>
              </w:rPr>
            </w:pPr>
          </w:p>
        </w:tc>
        <w:tc>
          <w:tcPr>
            <w:tcW w:w="3520" w:type="dxa"/>
            <w:vAlign w:val="bottom"/>
            <w:gridSpan w:val="13"/>
          </w:tcPr>
          <w:p>
            <w:pPr>
              <w:spacing w:after="0" w:line="150" w:lineRule="exact"/>
              <w:rPr>
                <w:sz w:val="20"/>
                <w:szCs w:val="20"/>
                <w:color w:val="auto"/>
              </w:rPr>
            </w:pPr>
            <w:r>
              <w:rPr>
                <w:rFonts w:ascii="Arial" w:cs="Arial" w:eastAsia="Arial" w:hAnsi="Arial"/>
                <w:sz w:val="16"/>
                <w:szCs w:val="16"/>
                <w:color w:val="0075A8"/>
              </w:rPr>
              <w:t>Compensation</w:t>
            </w:r>
          </w:p>
        </w:tc>
        <w:tc>
          <w:tcPr>
            <w:tcW w:w="2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3580" w:type="dxa"/>
            <w:vAlign w:val="bottom"/>
            <w:gridSpan w:val="10"/>
            <w:vMerge w:val="restart"/>
          </w:tcPr>
          <w:p>
            <w:pPr>
              <w:ind w:left="360"/>
              <w:spacing w:after="0"/>
              <w:rPr>
                <w:sz w:val="20"/>
                <w:szCs w:val="20"/>
                <w:color w:val="auto"/>
              </w:rPr>
            </w:pPr>
            <w:r>
              <w:rPr>
                <w:rFonts w:ascii="Arial" w:cs="Arial" w:eastAsia="Arial" w:hAnsi="Arial"/>
                <w:sz w:val="18"/>
                <w:szCs w:val="18"/>
                <w:color w:val="0000EE"/>
              </w:rPr>
              <w:t>Discussion Regarding the Use of Non-</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360" w:type="dxa"/>
            <w:vAlign w:val="bottom"/>
            <w:tcBorders>
              <w:top w:val="single" w:sz="8" w:color="0075A8"/>
            </w:tcBorders>
          </w:tcPr>
          <w:p>
            <w:pPr>
              <w:spacing w:after="0"/>
              <w:rPr>
                <w:sz w:val="5"/>
                <w:szCs w:val="5"/>
                <w:color w:val="auto"/>
              </w:rPr>
            </w:pPr>
          </w:p>
        </w:tc>
        <w:tc>
          <w:tcPr>
            <w:tcW w:w="600" w:type="dxa"/>
            <w:vAlign w:val="bottom"/>
            <w:tcBorders>
              <w:top w:val="single" w:sz="8" w:color="0075A8"/>
            </w:tcBorders>
          </w:tcPr>
          <w:p>
            <w:pPr>
              <w:spacing w:after="0"/>
              <w:rPr>
                <w:sz w:val="5"/>
                <w:szCs w:val="5"/>
                <w:color w:val="auto"/>
              </w:rPr>
            </w:pPr>
          </w:p>
        </w:tc>
        <w:tc>
          <w:tcPr>
            <w:tcW w:w="60" w:type="dxa"/>
            <w:vAlign w:val="bottom"/>
            <w:tcBorders>
              <w:top w:val="single" w:sz="8" w:color="0075A8"/>
            </w:tcBorders>
          </w:tcPr>
          <w:p>
            <w:pPr>
              <w:spacing w:after="0"/>
              <w:rPr>
                <w:sz w:val="5"/>
                <w:szCs w:val="5"/>
                <w:color w:val="auto"/>
              </w:rPr>
            </w:pPr>
          </w:p>
        </w:tc>
        <w:tc>
          <w:tcPr>
            <w:tcW w:w="180" w:type="dxa"/>
            <w:vAlign w:val="bottom"/>
            <w:tcBorders>
              <w:top w:val="single" w:sz="8" w:color="0075A8"/>
            </w:tcBorders>
          </w:tcPr>
          <w:p>
            <w:pPr>
              <w:spacing w:after="0"/>
              <w:rPr>
                <w:sz w:val="5"/>
                <w:szCs w:val="5"/>
                <w:color w:val="auto"/>
              </w:rPr>
            </w:pPr>
          </w:p>
        </w:tc>
        <w:tc>
          <w:tcPr>
            <w:tcW w:w="40" w:type="dxa"/>
            <w:vAlign w:val="bottom"/>
            <w:tcBorders>
              <w:top w:val="single" w:sz="8" w:color="0075A8"/>
            </w:tcBorders>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0075A8"/>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580" w:type="dxa"/>
            <w:vAlign w:val="bottom"/>
            <w:gridSpan w:val="10"/>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gridSpan w:val="1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20" w:type="dxa"/>
            <w:vAlign w:val="bottom"/>
            <w:gridSpan w:val="5"/>
          </w:tcPr>
          <w:p>
            <w:pPr>
              <w:spacing w:after="0" w:line="196" w:lineRule="exact"/>
              <w:rPr>
                <w:sz w:val="20"/>
                <w:szCs w:val="20"/>
                <w:color w:val="auto"/>
              </w:rPr>
            </w:pPr>
            <w:r>
              <w:rPr>
                <w:rFonts w:ascii="Arial" w:cs="Arial" w:eastAsia="Arial" w:hAnsi="Arial"/>
                <w:sz w:val="18"/>
                <w:szCs w:val="18"/>
                <w:color w:val="0000EE"/>
                <w:w w:val="96"/>
              </w:rPr>
              <w:t>Summary and Highlights</w:t>
            </w:r>
          </w:p>
        </w:tc>
        <w:tc>
          <w:tcPr>
            <w:tcW w:w="1520" w:type="dxa"/>
            <w:vAlign w:val="bottom"/>
            <w:gridSpan w:val="9"/>
          </w:tcPr>
          <w:p>
            <w:pPr>
              <w:spacing w:after="0"/>
              <w:rPr>
                <w:sz w:val="18"/>
                <w:szCs w:val="18"/>
                <w:color w:val="auto"/>
              </w:rPr>
            </w:pPr>
          </w:p>
        </w:tc>
        <w:tc>
          <w:tcPr>
            <w:tcW w:w="60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32</w:t>
            </w:r>
            <w:r>
              <w:rPr>
                <w:rFonts w:ascii="Arial" w:cs="Arial" w:eastAsia="Arial" w:hAnsi="Arial"/>
                <w:sz w:val="18"/>
                <w:szCs w:val="18"/>
                <w:color w:val="auto"/>
              </w:rPr>
              <w:t>​</w:t>
            </w:r>
          </w:p>
        </w:tc>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   ​</w:t>
            </w:r>
          </w:p>
        </w:tc>
        <w:tc>
          <w:tcPr>
            <w:tcW w:w="3580" w:type="dxa"/>
            <w:vAlign w:val="bottom"/>
            <w:gridSpan w:val="10"/>
          </w:tcPr>
          <w:p>
            <w:pPr>
              <w:ind w:left="360"/>
              <w:spacing w:after="0" w:line="196" w:lineRule="exact"/>
              <w:rPr>
                <w:sz w:val="20"/>
                <w:szCs w:val="20"/>
                <w:color w:val="auto"/>
              </w:rPr>
            </w:pPr>
            <w:r>
              <w:rPr>
                <w:rFonts w:ascii="Arial" w:cs="Arial" w:eastAsia="Arial" w:hAnsi="Arial"/>
                <w:sz w:val="18"/>
                <w:szCs w:val="18"/>
                <w:color w:val="0000EE"/>
              </w:rPr>
              <w:t>GAAP Financial Measures</w:t>
            </w:r>
          </w:p>
        </w:tc>
        <w:tc>
          <w:tcPr>
            <w:tcW w:w="9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84</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60" w:type="dxa"/>
            <w:vAlign w:val="bottom"/>
            <w:gridSpan w:val="3"/>
            <w:shd w:val="clear" w:color="auto" w:fill="0000EE"/>
          </w:tcPr>
          <w:p>
            <w:pPr>
              <w:spacing w:after="0"/>
              <w:rPr>
                <w:sz w:val="2"/>
                <w:szCs w:val="2"/>
                <w:color w:val="auto"/>
              </w:rPr>
            </w:pPr>
          </w:p>
        </w:tc>
        <w:tc>
          <w:tcPr>
            <w:tcW w:w="520" w:type="dxa"/>
            <w:vAlign w:val="bottom"/>
            <w:gridSpan w:val="3"/>
          </w:tcPr>
          <w:p>
            <w:pPr>
              <w:spacing w:after="0"/>
              <w:rPr>
                <w:sz w:val="2"/>
                <w:szCs w:val="2"/>
                <w:color w:val="auto"/>
              </w:rPr>
            </w:pPr>
          </w:p>
        </w:tc>
        <w:tc>
          <w:tcPr>
            <w:tcW w:w="94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Compensation Discussion and</w:t>
            </w:r>
          </w:p>
        </w:tc>
        <w:tc>
          <w:tcPr>
            <w:tcW w:w="100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5"/>
              </w:rPr>
              <w:t>Analysis</w:t>
            </w:r>
          </w:p>
        </w:tc>
        <w:tc>
          <w:tcPr>
            <w:tcW w:w="2780" w:type="dxa"/>
            <w:vAlign w:val="bottom"/>
            <w:gridSpan w:val="12"/>
          </w:tcPr>
          <w:p>
            <w:pPr>
              <w:spacing w:after="0"/>
              <w:rPr>
                <w:sz w:val="19"/>
                <w:szCs w:val="19"/>
                <w:color w:val="auto"/>
              </w:rPr>
            </w:pPr>
          </w:p>
        </w:tc>
        <w:tc>
          <w:tcPr>
            <w:tcW w:w="60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33</w:t>
            </w:r>
            <w:r>
              <w:rPr>
                <w:rFonts w:ascii="Arial" w:cs="Arial" w:eastAsia="Arial" w:hAnsi="Arial"/>
                <w:sz w:val="18"/>
                <w:szCs w:val="18"/>
                <w:color w:val="auto"/>
              </w:rPr>
              <w:t>​</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6"/>
              </w:rPr>
              <w:t>Compensation Tables for Named Executive</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0000EE"/>
                <w:w w:val="93"/>
              </w:rPr>
              <w:t>Officers</w:t>
            </w:r>
          </w:p>
        </w:tc>
        <w:tc>
          <w:tcPr>
            <w:tcW w:w="2840" w:type="dxa"/>
            <w:vAlign w:val="bottom"/>
            <w:gridSpan w:val="13"/>
          </w:tcPr>
          <w:p>
            <w:pPr>
              <w:spacing w:after="0"/>
              <w:rPr>
                <w:sz w:val="18"/>
                <w:szCs w:val="18"/>
                <w:color w:val="auto"/>
              </w:rPr>
            </w:pPr>
          </w:p>
        </w:tc>
        <w:tc>
          <w:tcPr>
            <w:tcW w:w="60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48</w:t>
            </w:r>
            <w:r>
              <w:rPr>
                <w:rFonts w:ascii="Arial" w:cs="Arial" w:eastAsia="Arial" w:hAnsi="Arial"/>
                <w:sz w:val="18"/>
                <w:szCs w:val="18"/>
                <w:color w:val="auto"/>
              </w:rPr>
              <w:t>​</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tabs>
          <w:tab w:leader="none" w:pos="1980" w:val="left"/>
          <w:tab w:leader="none" w:pos="2300" w:val="left"/>
          <w:tab w:leader="none" w:pos="8560" w:val="left"/>
          <w:tab w:leader="none" w:pos="9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424180</wp:posOffset>
            </wp:positionV>
            <wp:extent cx="2305685"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56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0075A8"/>
        </w:rPr>
        <w:t>PROXY STATEMENT SUMMARY</w:t>
      </w:r>
    </w:p>
    <w:p>
      <w:pPr>
        <w:spacing w:after="0" w:line="248" w:lineRule="exact"/>
        <w:rPr>
          <w:sz w:val="20"/>
          <w:szCs w:val="20"/>
          <w:color w:val="auto"/>
        </w:rPr>
      </w:pPr>
    </w:p>
    <w:p>
      <w:pPr>
        <w:ind w:left="660" w:right="220"/>
        <w:spacing w:after="0" w:line="261" w:lineRule="auto"/>
        <w:rPr>
          <w:sz w:val="20"/>
          <w:szCs w:val="20"/>
          <w:color w:val="auto"/>
        </w:rPr>
      </w:pPr>
      <w:r>
        <w:rPr>
          <w:rFonts w:ascii="Arial" w:cs="Arial" w:eastAsia="Arial" w:hAnsi="Arial"/>
          <w:sz w:val="20"/>
          <w:szCs w:val="20"/>
          <w:color w:val="auto"/>
        </w:rPr>
        <w:t>This summary highlights financial and other accomplishments during our fiscal year ended September 27, 2024 (“fiscal year 2024”), as well as information generally contained elsewhere in this Proxy Statement. This summary does not contain all of the information that you should consider in advance of the 2025 Annual Meeting of Stockholders, and we encourage you to read the entire Proxy Statement before voting your shares.</w:t>
      </w:r>
    </w:p>
    <w:p>
      <w:pPr>
        <w:spacing w:after="0" w:line="212" w:lineRule="exact"/>
        <w:rPr>
          <w:sz w:val="20"/>
          <w:szCs w:val="20"/>
          <w:color w:val="auto"/>
        </w:rPr>
      </w:pPr>
    </w:p>
    <w:p>
      <w:pPr>
        <w:ind w:left="2480"/>
        <w:spacing w:after="0"/>
        <w:rPr>
          <w:sz w:val="20"/>
          <w:szCs w:val="20"/>
          <w:color w:val="auto"/>
        </w:rPr>
      </w:pPr>
      <w:r>
        <w:rPr>
          <w:rFonts w:ascii="Arial" w:cs="Arial" w:eastAsia="Arial" w:hAnsi="Arial"/>
          <w:sz w:val="32"/>
          <w:szCs w:val="32"/>
          <w:b w:val="1"/>
          <w:bCs w:val="1"/>
          <w:color w:val="auto"/>
        </w:rPr>
        <w:t>2025 Annual Meeting of Stockholders</w:t>
      </w:r>
    </w:p>
    <w:p>
      <w:pPr>
        <w:sectPr>
          <w:pgSz w:w="11900" w:h="16838" w:orient="portrait"/>
          <w:cols w:equalWidth="0" w:num="1">
            <w:col w:w="10120"/>
          </w:cols>
          <w:pgMar w:left="580" w:top="97" w:right="1199" w:bottom="1440" w:gutter="0" w:footer="0" w:header="0"/>
        </w:sectPr>
      </w:pP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-131445</wp:posOffset>
            </wp:positionV>
            <wp:extent cx="454025"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420" w:hanging="766"/>
        <w:spacing w:after="0"/>
        <w:tabs>
          <w:tab w:leader="none" w:pos="1420" w:val="left"/>
        </w:tabs>
        <w:numPr>
          <w:ilvl w:val="0"/>
          <w:numId w:val="6"/>
        </w:numPr>
        <w:rPr>
          <w:rFonts w:ascii="Arial" w:cs="Arial" w:eastAsia="Arial" w:hAnsi="Arial"/>
          <w:sz w:val="39"/>
          <w:szCs w:val="39"/>
          <w:b w:val="1"/>
          <w:bCs w:val="1"/>
          <w:color w:val="auto"/>
          <w:vertAlign w:val="superscript"/>
        </w:rPr>
      </w:pPr>
      <w:r>
        <w:rPr>
          <w:rFonts w:ascii="Arial" w:cs="Arial" w:eastAsia="Arial" w:hAnsi="Arial"/>
          <w:sz w:val="19"/>
          <w:szCs w:val="19"/>
          <w:b w:val="1"/>
          <w:bCs w:val="1"/>
          <w:color w:val="auto"/>
        </w:rPr>
        <w:t>Date and Time</w:t>
      </w:r>
    </w:p>
    <w:p>
      <w:pPr>
        <w:ind w:left="1420" w:right="100" w:hanging="766"/>
        <w:spacing w:after="0" w:line="279" w:lineRule="auto"/>
        <w:tabs>
          <w:tab w:leader="none" w:pos="1478" w:val="left"/>
        </w:tabs>
        <w:numPr>
          <w:ilvl w:val="0"/>
          <w:numId w:val="6"/>
        </w:numPr>
        <w:rPr>
          <w:rFonts w:ascii="Arial" w:cs="Arial" w:eastAsia="Arial" w:hAnsi="Arial"/>
          <w:sz w:val="19"/>
          <w:szCs w:val="19"/>
          <w:color w:val="auto"/>
        </w:rPr>
      </w:pPr>
      <w:r>
        <w:rPr>
          <w:rFonts w:ascii="Arial" w:cs="Arial" w:eastAsia="Arial" w:hAnsi="Arial"/>
          <w:sz w:val="19"/>
          <w:szCs w:val="19"/>
          <w:color w:val="auto"/>
        </w:rPr>
        <w:t>May 14, 2025 11:00 a.m. PDT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-131445</wp:posOffset>
            </wp:positionV>
            <wp:extent cx="514350"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471805"/>
                    </a:xfrm>
                    <a:prstGeom prst="rect">
                      <a:avLst/>
                    </a:prstGeom>
                    <a:noFill/>
                  </pic:spPr>
                </pic:pic>
              </a:graphicData>
            </a:graphic>
          </wp:anchor>
        </w:drawing>
      </w:r>
    </w:p>
    <w:p>
      <w:pPr>
        <w:spacing w:after="0" w:line="388" w:lineRule="exact"/>
        <w:rPr>
          <w:sz w:val="20"/>
          <w:szCs w:val="20"/>
          <w:color w:val="auto"/>
        </w:rPr>
      </w:pPr>
    </w:p>
    <w:p>
      <w:pPr>
        <w:spacing w:after="0"/>
        <w:tabs>
          <w:tab w:leader="none" w:pos="1340" w:val="left"/>
          <w:tab w:leader="none" w:pos="3420" w:val="left"/>
        </w:tabs>
        <w:rPr>
          <w:sz w:val="20"/>
          <w:szCs w:val="20"/>
          <w:color w:val="auto"/>
        </w:rPr>
      </w:pPr>
      <w:r>
        <w:rPr>
          <w:rFonts w:ascii="Arial" w:cs="Arial" w:eastAsia="Arial" w:hAnsi="Arial"/>
          <w:sz w:val="39"/>
          <w:szCs w:val="39"/>
          <w:b w:val="1"/>
          <w:bCs w:val="1"/>
          <w:color w:val="auto"/>
          <w:vertAlign w:val="superscript"/>
        </w:rPr>
        <w:t>​ ​</w:t>
      </w:r>
      <w:r>
        <w:rPr>
          <w:sz w:val="20"/>
          <w:szCs w:val="20"/>
          <w:color w:val="auto"/>
        </w:rPr>
        <w:tab/>
      </w:r>
      <w:r>
        <w:rPr>
          <w:rFonts w:ascii="Arial" w:cs="Arial" w:eastAsia="Arial" w:hAnsi="Arial"/>
          <w:sz w:val="20"/>
          <w:szCs w:val="20"/>
          <w:b w:val="1"/>
          <w:bCs w:val="1"/>
          <w:color w:val="auto"/>
        </w:rPr>
        <w:t>Location</w:t>
      </w:r>
      <w:r>
        <w:rPr>
          <w:sz w:val="20"/>
          <w:szCs w:val="20"/>
          <w:color w:val="auto"/>
        </w:rPr>
        <w:tab/>
      </w:r>
      <w:r>
        <w:rPr>
          <w:rFonts w:ascii="Arial" w:cs="Arial" w:eastAsia="Arial" w:hAnsi="Arial"/>
          <w:sz w:val="40"/>
          <w:szCs w:val="40"/>
          <w:b w:val="1"/>
          <w:bCs w:val="1"/>
          <w:color w:val="auto"/>
          <w:vertAlign w:val="superscript"/>
        </w:rPr>
        <w:t>​ ​</w:t>
      </w:r>
    </w:p>
    <w:p>
      <w:pPr>
        <w:jc w:val="center"/>
        <w:ind w:right="40"/>
        <w:spacing w:after="0"/>
        <w:rPr>
          <w:sz w:val="20"/>
          <w:szCs w:val="20"/>
          <w:color w:val="auto"/>
        </w:rPr>
      </w:pPr>
      <w:r>
        <w:rPr>
          <w:rFonts w:ascii="Arial" w:cs="Arial" w:eastAsia="Arial" w:hAnsi="Arial"/>
          <w:sz w:val="20"/>
          <w:szCs w:val="20"/>
          <w:color w:val="auto"/>
        </w:rPr>
        <w:t>​ ​ www.virtualshareholdermeeting.com/​ ​ ​</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SWKS2025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-131445</wp:posOffset>
            </wp:positionV>
            <wp:extent cx="454025" cy="45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388"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20"/>
          <w:szCs w:val="20"/>
          <w:b w:val="1"/>
          <w:bCs w:val="1"/>
          <w:color w:val="auto"/>
        </w:rPr>
        <w:t>Record Date</w:t>
      </w:r>
      <w:r>
        <w:rPr>
          <w:sz w:val="20"/>
          <w:szCs w:val="20"/>
          <w:color w:val="auto"/>
        </w:rPr>
        <w:tab/>
      </w:r>
      <w:r>
        <w:rPr>
          <w:rFonts w:ascii="Arial" w:cs="Arial" w:eastAsia="Arial" w:hAnsi="Arial"/>
          <w:sz w:val="40"/>
          <w:szCs w:val="40"/>
          <w:b w:val="1"/>
          <w:bCs w:val="1"/>
          <w:color w:val="auto"/>
          <w:vertAlign w:val="superscript"/>
        </w:rPr>
        <w:t>​</w:t>
      </w:r>
    </w:p>
    <w:p>
      <w:pPr>
        <w:spacing w:after="0"/>
        <w:tabs>
          <w:tab w:leader="none" w:pos="2100" w:val="left"/>
        </w:tabs>
        <w:rPr>
          <w:sz w:val="20"/>
          <w:szCs w:val="20"/>
          <w:color w:val="auto"/>
        </w:rPr>
      </w:pPr>
      <w:r>
        <w:rPr>
          <w:rFonts w:ascii="Arial" w:cs="Arial" w:eastAsia="Arial" w:hAnsi="Arial"/>
          <w:sz w:val="20"/>
          <w:szCs w:val="20"/>
          <w:color w:val="auto"/>
        </w:rPr>
        <w:t>March 20, 2025</w:t>
      </w:r>
      <w:r>
        <w:rPr>
          <w:sz w:val="20"/>
          <w:szCs w:val="20"/>
          <w:color w:val="auto"/>
        </w:rPr>
        <w:tab/>
      </w:r>
      <w:r>
        <w:rPr>
          <w:rFonts w:ascii="Arial" w:cs="Arial" w:eastAsia="Arial" w:hAnsi="Arial"/>
          <w:sz w:val="20"/>
          <w:szCs w:val="20"/>
          <w:color w:val="auto"/>
        </w:rPr>
        <w:t>​</w:t>
      </w:r>
    </w:p>
    <w:p>
      <w:pPr>
        <w:spacing w:after="0" w:line="505" w:lineRule="exact"/>
        <w:rPr>
          <w:sz w:val="20"/>
          <w:szCs w:val="20"/>
          <w:color w:val="auto"/>
        </w:rPr>
      </w:pPr>
    </w:p>
    <w:p>
      <w:pPr>
        <w:sectPr>
          <w:pgSz w:w="11900" w:h="16838" w:orient="portrait"/>
          <w:cols w:equalWidth="0" w:num="3">
            <w:col w:w="2860" w:space="720"/>
            <w:col w:w="3640" w:space="720"/>
            <w:col w:w="2180"/>
          </w:cols>
          <w:pgMar w:left="580" w:top="97" w:right="1199" w:bottom="1440" w:gutter="0" w:footer="0" w:header="0"/>
          <w:type w:val="continuous"/>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Matters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60" w:right="180"/>
        <w:spacing w:after="0" w:line="286" w:lineRule="auto"/>
        <w:rPr>
          <w:sz w:val="20"/>
          <w:szCs w:val="20"/>
          <w:color w:val="auto"/>
        </w:rPr>
      </w:pPr>
      <w:r>
        <w:rPr>
          <w:rFonts w:ascii="Arial" w:cs="Arial" w:eastAsia="Arial" w:hAnsi="Arial"/>
          <w:sz w:val="20"/>
          <w:szCs w:val="20"/>
          <w:color w:val="auto"/>
        </w:rPr>
        <w:t>Your vote is very important to us. Please cast your vote on all of the proposals to ensure that your shares are represented.</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2580" w:type="dxa"/>
            <w:vAlign w:val="bottom"/>
            <w:shd w:val="clear" w:color="auto" w:fill="0075A8"/>
          </w:tcPr>
          <w:p>
            <w:pPr>
              <w:ind w:left="40"/>
              <w:spacing w:after="0"/>
              <w:rPr>
                <w:sz w:val="20"/>
                <w:szCs w:val="20"/>
                <w:color w:val="auto"/>
              </w:rPr>
            </w:pPr>
            <w:r>
              <w:rPr>
                <w:rFonts w:ascii="Arial" w:cs="Arial" w:eastAsia="Arial" w:hAnsi="Arial"/>
                <w:sz w:val="18"/>
                <w:szCs w:val="18"/>
                <w:b w:val="1"/>
                <w:bCs w:val="1"/>
                <w:color w:val="FFFFFF"/>
              </w:rPr>
              <w:t>​Proposal</w:t>
            </w:r>
          </w:p>
        </w:tc>
        <w:tc>
          <w:tcPr>
            <w:tcW w:w="3480" w:type="dxa"/>
            <w:vAlign w:val="bottom"/>
            <w:shd w:val="clear" w:color="auto" w:fill="0075A8"/>
          </w:tcPr>
          <w:p>
            <w:pPr>
              <w:ind w:left="68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Required Vote</w:t>
            </w:r>
          </w:p>
        </w:tc>
        <w:tc>
          <w:tcPr>
            <w:tcW w:w="360" w:type="dxa"/>
            <w:vAlign w:val="bottom"/>
            <w:shd w:val="clear" w:color="auto" w:fill="0075A8"/>
          </w:tcPr>
          <w:p>
            <w:pPr>
              <w:ind w:left="200"/>
              <w:spacing w:after="0"/>
              <w:rPr>
                <w:sz w:val="20"/>
                <w:szCs w:val="20"/>
                <w:color w:val="auto"/>
              </w:rPr>
            </w:pPr>
            <w:r>
              <w:rPr>
                <w:rFonts w:ascii="Arial" w:cs="Arial" w:eastAsia="Arial" w:hAnsi="Arial"/>
                <w:sz w:val="18"/>
                <w:szCs w:val="18"/>
                <w:b w:val="1"/>
                <w:bCs w:val="1"/>
                <w:color w:val="FFFFFF"/>
              </w:rPr>
              <w:t>​ ​</w:t>
            </w:r>
          </w:p>
        </w:tc>
        <w:tc>
          <w:tcPr>
            <w:tcW w:w="1520" w:type="dxa"/>
            <w:vAlign w:val="bottom"/>
            <w:shd w:val="clear" w:color="auto" w:fill="0075A8"/>
          </w:tcPr>
          <w:p>
            <w:pPr>
              <w:jc w:val="center"/>
              <w:spacing w:after="0"/>
              <w:rPr>
                <w:sz w:val="20"/>
                <w:szCs w:val="20"/>
                <w:color w:val="auto"/>
              </w:rPr>
            </w:pPr>
            <w:r>
              <w:rPr>
                <w:rFonts w:ascii="Arial" w:cs="Arial" w:eastAsia="Arial" w:hAnsi="Arial"/>
                <w:sz w:val="18"/>
                <w:szCs w:val="18"/>
                <w:b w:val="1"/>
                <w:bCs w:val="1"/>
                <w:color w:val="FFFFFF"/>
                <w:w w:val="96"/>
              </w:rPr>
              <w:t>Board</w:t>
            </w:r>
          </w:p>
        </w:tc>
        <w:tc>
          <w:tcPr>
            <w:tcW w:w="340" w:type="dxa"/>
            <w:vAlign w:val="bottom"/>
            <w:shd w:val="clear" w:color="auto" w:fill="0075A8"/>
          </w:tcPr>
          <w:p>
            <w:pPr>
              <w:ind w:left="40"/>
              <w:spacing w:after="0"/>
              <w:rPr>
                <w:sz w:val="20"/>
                <w:szCs w:val="20"/>
                <w:color w:val="auto"/>
              </w:rPr>
            </w:pPr>
            <w:r>
              <w:rPr>
                <w:rFonts w:ascii="Arial" w:cs="Arial" w:eastAsia="Arial" w:hAnsi="Arial"/>
                <w:sz w:val="18"/>
                <w:szCs w:val="18"/>
                <w:b w:val="1"/>
                <w:bCs w:val="1"/>
                <w:color w:val="FFFFFF"/>
              </w:rPr>
              <w:t>​ ​</w:t>
            </w:r>
          </w:p>
        </w:tc>
        <w:tc>
          <w:tcPr>
            <w:tcW w:w="1040" w:type="dxa"/>
            <w:vAlign w:val="bottom"/>
            <w:gridSpan w:val="3"/>
            <w:shd w:val="clear" w:color="auto" w:fill="0075A8"/>
          </w:tcPr>
          <w:p>
            <w:pPr>
              <w:ind w:left="120"/>
              <w:spacing w:after="0"/>
              <w:rPr>
                <w:sz w:val="20"/>
                <w:szCs w:val="20"/>
                <w:color w:val="auto"/>
              </w:rPr>
            </w:pPr>
            <w:r>
              <w:rPr>
                <w:rFonts w:ascii="Arial" w:cs="Arial" w:eastAsia="Arial" w:hAnsi="Arial"/>
                <w:sz w:val="35"/>
                <w:szCs w:val="35"/>
                <w:b w:val="1"/>
                <w:bCs w:val="1"/>
                <w:color w:val="FFFFFF"/>
                <w:vertAlign w:val="subscript"/>
              </w:rPr>
              <w:t>​   ​ ​</w:t>
            </w:r>
            <w:r>
              <w:rPr>
                <w:rFonts w:ascii="Arial" w:cs="Arial" w:eastAsia="Arial" w:hAnsi="Arial"/>
                <w:sz w:val="18"/>
                <w:szCs w:val="18"/>
                <w:b w:val="1"/>
                <w:bCs w:val="1"/>
                <w:color w:val="FFFFFF"/>
              </w:rPr>
              <w:t xml:space="preserve"> See</w:t>
            </w:r>
          </w:p>
        </w:tc>
        <w:tc>
          <w:tcPr>
            <w:tcW w:w="80" w:type="dxa"/>
            <w:vAlign w:val="bottom"/>
            <w:shd w:val="clear" w:color="auto" w:fill="0075A8"/>
          </w:tcPr>
          <w:p>
            <w:pPr>
              <w:ind w:left="20"/>
              <w:spacing w:after="0"/>
              <w:rPr>
                <w:sz w:val="20"/>
                <w:szCs w:val="20"/>
                <w:color w:val="auto"/>
              </w:rPr>
            </w:pPr>
            <w:r>
              <w:rPr>
                <w:rFonts w:ascii="Arial" w:cs="Arial" w:eastAsia="Arial" w:hAnsi="Arial"/>
                <w:sz w:val="18"/>
                <w:szCs w:val="18"/>
                <w:b w:val="1"/>
                <w:bCs w:val="1"/>
                <w:color w:val="FFFFFF"/>
              </w:rPr>
              <w:t>​</w:t>
            </w:r>
          </w:p>
        </w:tc>
      </w:tr>
      <w:tr>
        <w:trPr>
          <w:trHeight w:val="202"/>
        </w:trPr>
        <w:tc>
          <w:tcPr>
            <w:tcW w:w="2580" w:type="dxa"/>
            <w:vAlign w:val="bottom"/>
            <w:shd w:val="clear" w:color="auto" w:fill="0075A8"/>
          </w:tcPr>
          <w:p>
            <w:pPr>
              <w:spacing w:after="0"/>
              <w:rPr>
                <w:sz w:val="17"/>
                <w:szCs w:val="17"/>
                <w:color w:val="auto"/>
              </w:rPr>
            </w:pPr>
          </w:p>
        </w:tc>
        <w:tc>
          <w:tcPr>
            <w:tcW w:w="3480" w:type="dxa"/>
            <w:vAlign w:val="bottom"/>
            <w:shd w:val="clear" w:color="auto" w:fill="0075A8"/>
          </w:tcPr>
          <w:p>
            <w:pPr>
              <w:ind w:left="860"/>
              <w:spacing w:after="0" w:line="189" w:lineRule="exact"/>
              <w:rPr>
                <w:sz w:val="20"/>
                <w:szCs w:val="20"/>
                <w:color w:val="auto"/>
              </w:rPr>
            </w:pPr>
            <w:r>
              <w:rPr>
                <w:rFonts w:ascii="Arial" w:cs="Arial" w:eastAsia="Arial" w:hAnsi="Arial"/>
                <w:sz w:val="18"/>
                <w:szCs w:val="18"/>
                <w:b w:val="1"/>
                <w:bCs w:val="1"/>
                <w:color w:val="FFFFFF"/>
              </w:rPr>
              <w:t>for Approval</w:t>
            </w:r>
          </w:p>
        </w:tc>
        <w:tc>
          <w:tcPr>
            <w:tcW w:w="360" w:type="dxa"/>
            <w:vAlign w:val="bottom"/>
            <w:shd w:val="clear" w:color="auto" w:fill="0075A8"/>
          </w:tcPr>
          <w:p>
            <w:pPr>
              <w:spacing w:after="0"/>
              <w:rPr>
                <w:sz w:val="17"/>
                <w:szCs w:val="17"/>
                <w:color w:val="auto"/>
              </w:rPr>
            </w:pPr>
          </w:p>
        </w:tc>
        <w:tc>
          <w:tcPr>
            <w:tcW w:w="1520" w:type="dxa"/>
            <w:vAlign w:val="bottom"/>
            <w:shd w:val="clear" w:color="auto" w:fill="0075A8"/>
          </w:tcPr>
          <w:p>
            <w:pPr>
              <w:jc w:val="center"/>
              <w:spacing w:after="0" w:line="189" w:lineRule="exact"/>
              <w:rPr>
                <w:sz w:val="20"/>
                <w:szCs w:val="20"/>
                <w:color w:val="auto"/>
              </w:rPr>
            </w:pPr>
            <w:r>
              <w:rPr>
                <w:rFonts w:ascii="Arial" w:cs="Arial" w:eastAsia="Arial" w:hAnsi="Arial"/>
                <w:sz w:val="18"/>
                <w:szCs w:val="18"/>
                <w:b w:val="1"/>
                <w:bCs w:val="1"/>
                <w:color w:val="FFFFFF"/>
                <w:w w:val="97"/>
              </w:rPr>
              <w:t>Recommendation</w:t>
            </w:r>
          </w:p>
        </w:tc>
        <w:tc>
          <w:tcPr>
            <w:tcW w:w="340" w:type="dxa"/>
            <w:vAlign w:val="bottom"/>
            <w:shd w:val="clear" w:color="auto" w:fill="0075A8"/>
          </w:tcPr>
          <w:p>
            <w:pPr>
              <w:spacing w:after="0"/>
              <w:rPr>
                <w:sz w:val="17"/>
                <w:szCs w:val="17"/>
                <w:color w:val="auto"/>
              </w:rPr>
            </w:pPr>
          </w:p>
        </w:tc>
        <w:tc>
          <w:tcPr>
            <w:tcW w:w="1040" w:type="dxa"/>
            <w:vAlign w:val="bottom"/>
            <w:gridSpan w:val="3"/>
            <w:shd w:val="clear" w:color="auto" w:fill="0075A8"/>
          </w:tcPr>
          <w:p>
            <w:pPr>
              <w:ind w:left="580"/>
              <w:spacing w:after="0" w:line="189" w:lineRule="exact"/>
              <w:rPr>
                <w:sz w:val="20"/>
                <w:szCs w:val="20"/>
                <w:color w:val="auto"/>
              </w:rPr>
            </w:pPr>
            <w:r>
              <w:rPr>
                <w:rFonts w:ascii="Arial" w:cs="Arial" w:eastAsia="Arial" w:hAnsi="Arial"/>
                <w:sz w:val="18"/>
                <w:szCs w:val="18"/>
                <w:b w:val="1"/>
                <w:bCs w:val="1"/>
                <w:color w:val="FFFFFF"/>
              </w:rPr>
              <w:t>Page</w:t>
            </w:r>
          </w:p>
        </w:tc>
        <w:tc>
          <w:tcPr>
            <w:tcW w:w="80" w:type="dxa"/>
            <w:vAlign w:val="bottom"/>
            <w:shd w:val="clear" w:color="auto" w:fill="0075A8"/>
          </w:tcPr>
          <w:p>
            <w:pPr>
              <w:spacing w:after="0"/>
              <w:rPr>
                <w:sz w:val="17"/>
                <w:szCs w:val="17"/>
                <w:color w:val="auto"/>
              </w:rPr>
            </w:pPr>
          </w:p>
        </w:tc>
      </w:tr>
      <w:tr>
        <w:trPr>
          <w:trHeight w:val="331"/>
        </w:trPr>
        <w:tc>
          <w:tcPr>
            <w:tcW w:w="2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 1. ​ ​Election of Directors</w:t>
            </w:r>
          </w:p>
        </w:tc>
        <w:tc>
          <w:tcPr>
            <w:tcW w:w="3480" w:type="dxa"/>
            <w:vAlign w:val="bottom"/>
            <w:shd w:val="clear" w:color="auto" w:fill="E5E5E5"/>
          </w:tcPr>
          <w:p>
            <w:pPr>
              <w:ind w:left="680"/>
              <w:spacing w:after="0" w:line="324"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For each director, majority of votes</w:t>
            </w:r>
          </w:p>
        </w:tc>
        <w:tc>
          <w:tcPr>
            <w:tcW w:w="3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 ​</w:t>
            </w:r>
          </w:p>
        </w:tc>
        <w:tc>
          <w:tcPr>
            <w:tcW w:w="15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FOR Each</w:t>
            </w:r>
          </w:p>
        </w:tc>
        <w:tc>
          <w:tcPr>
            <w:tcW w:w="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 ​</w:t>
            </w:r>
          </w:p>
        </w:tc>
        <w:tc>
          <w:tcPr>
            <w:tcW w:w="1040" w:type="dxa"/>
            <w:vAlign w:val="bottom"/>
            <w:gridSpan w:val="3"/>
            <w:shd w:val="clear" w:color="auto" w:fill="E5E5E5"/>
          </w:tcPr>
          <w:p>
            <w:pPr>
              <w:ind w:left="40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8</w:t>
            </w:r>
          </w:p>
        </w:tc>
        <w:tc>
          <w:tcPr>
            <w:tcW w:w="8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r>
      <w:tr>
        <w:trPr>
          <w:trHeight w:val="203"/>
        </w:trPr>
        <w:tc>
          <w:tcPr>
            <w:tcW w:w="2580" w:type="dxa"/>
            <w:vAlign w:val="bottom"/>
            <w:tcBorders>
              <w:top w:val="single" w:sz="8" w:color="E5E5E5"/>
            </w:tcBorders>
            <w:shd w:val="clear" w:color="auto" w:fill="E5E5E5"/>
          </w:tcPr>
          <w:p>
            <w:pPr>
              <w:spacing w:after="0"/>
              <w:rPr>
                <w:sz w:val="17"/>
                <w:szCs w:val="17"/>
                <w:color w:val="auto"/>
              </w:rPr>
            </w:pPr>
          </w:p>
        </w:tc>
        <w:tc>
          <w:tcPr>
            <w:tcW w:w="3480" w:type="dxa"/>
            <w:vAlign w:val="bottom"/>
            <w:tcBorders>
              <w:top w:val="single" w:sz="8" w:color="E5E5E5"/>
            </w:tcBorders>
            <w:shd w:val="clear" w:color="auto" w:fill="E5E5E5"/>
          </w:tcPr>
          <w:p>
            <w:pPr>
              <w:ind w:left="880"/>
              <w:spacing w:after="0"/>
              <w:rPr>
                <w:sz w:val="20"/>
                <w:szCs w:val="20"/>
                <w:color w:val="auto"/>
              </w:rPr>
            </w:pPr>
            <w:r>
              <w:rPr>
                <w:rFonts w:ascii="Arial" w:cs="Arial" w:eastAsia="Arial" w:hAnsi="Arial"/>
                <w:sz w:val="16"/>
                <w:szCs w:val="16"/>
                <w:color w:val="auto"/>
              </w:rPr>
              <w:t>cast</w:t>
            </w:r>
          </w:p>
        </w:tc>
        <w:tc>
          <w:tcPr>
            <w:tcW w:w="360" w:type="dxa"/>
            <w:vAlign w:val="bottom"/>
            <w:tcBorders>
              <w:top w:val="single" w:sz="8" w:color="E5E5E5"/>
            </w:tcBorders>
            <w:shd w:val="clear" w:color="auto" w:fill="E5E5E5"/>
          </w:tcPr>
          <w:p>
            <w:pPr>
              <w:spacing w:after="0"/>
              <w:rPr>
                <w:sz w:val="17"/>
                <w:szCs w:val="17"/>
                <w:color w:val="auto"/>
              </w:rPr>
            </w:pPr>
          </w:p>
        </w:tc>
        <w:tc>
          <w:tcPr>
            <w:tcW w:w="1520" w:type="dxa"/>
            <w:vAlign w:val="bottom"/>
            <w:tcBorders>
              <w:top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99"/>
              </w:rPr>
              <w:t>Nominee</w:t>
            </w:r>
          </w:p>
        </w:tc>
        <w:tc>
          <w:tcPr>
            <w:tcW w:w="340" w:type="dxa"/>
            <w:vAlign w:val="bottom"/>
            <w:tcBorders>
              <w:top w:val="single" w:sz="8" w:color="E5E5E5"/>
            </w:tcBorders>
            <w:shd w:val="clear" w:color="auto" w:fill="E5E5E5"/>
          </w:tcPr>
          <w:p>
            <w:pPr>
              <w:spacing w:after="0"/>
              <w:rPr>
                <w:sz w:val="17"/>
                <w:szCs w:val="17"/>
                <w:color w:val="auto"/>
              </w:rPr>
            </w:pPr>
          </w:p>
        </w:tc>
        <w:tc>
          <w:tcPr>
            <w:tcW w:w="740" w:type="dxa"/>
            <w:vAlign w:val="bottom"/>
            <w:tcBorders>
              <w:top w:val="single" w:sz="8" w:color="E5E5E5"/>
            </w:tcBorders>
            <w:shd w:val="clear" w:color="auto" w:fill="E5E5E5"/>
          </w:tcPr>
          <w:p>
            <w:pPr>
              <w:spacing w:after="0"/>
              <w:rPr>
                <w:sz w:val="17"/>
                <w:szCs w:val="17"/>
                <w:color w:val="auto"/>
              </w:rPr>
            </w:pPr>
          </w:p>
        </w:tc>
        <w:tc>
          <w:tcPr>
            <w:tcW w:w="100" w:type="dxa"/>
            <w:vAlign w:val="bottom"/>
            <w:tcBorders>
              <w:top w:val="single" w:sz="8" w:color="0000EE"/>
            </w:tcBorders>
            <w:shd w:val="clear" w:color="auto" w:fill="E5E5E5"/>
          </w:tcPr>
          <w:p>
            <w:pPr>
              <w:spacing w:after="0"/>
              <w:rPr>
                <w:sz w:val="17"/>
                <w:szCs w:val="17"/>
                <w:color w:val="auto"/>
              </w:rPr>
            </w:pPr>
          </w:p>
        </w:tc>
        <w:tc>
          <w:tcPr>
            <w:tcW w:w="200" w:type="dxa"/>
            <w:vAlign w:val="bottom"/>
            <w:tcBorders>
              <w:top w:val="single" w:sz="8" w:color="E5E5E5"/>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-307975</wp:posOffset>
            </wp:positionV>
            <wp:extent cx="26543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430" cy="26606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p>
      <w:pPr>
        <w:ind w:left="700"/>
        <w:spacing w:after="0"/>
        <w:rPr>
          <w:sz w:val="20"/>
          <w:szCs w:val="20"/>
          <w:color w:val="auto"/>
        </w:rPr>
      </w:pPr>
      <w:r>
        <w:rPr>
          <w:rFonts w:ascii="Arial" w:cs="Arial" w:eastAsia="Arial" w:hAnsi="Arial"/>
          <w:sz w:val="27"/>
          <w:szCs w:val="27"/>
          <w:color w:val="auto"/>
          <w:vertAlign w:val="subscript"/>
        </w:rPr>
        <w:t>​ 2. ​ ​</w:t>
      </w:r>
      <w:r>
        <w:rPr>
          <w:rFonts w:ascii="Arial" w:cs="Arial" w:eastAsia="Arial" w:hAnsi="Arial"/>
          <w:sz w:val="14"/>
          <w:szCs w:val="14"/>
          <w:color w:val="auto"/>
        </w:rPr>
        <w:t>Ratification</w:t>
      </w:r>
      <w:r>
        <w:rPr>
          <w:rFonts w:ascii="Arial" w:cs="Arial" w:eastAsia="Arial" w:hAnsi="Arial"/>
          <w:sz w:val="27"/>
          <w:szCs w:val="27"/>
          <w:color w:val="auto"/>
          <w:vertAlign w:val="subscript"/>
        </w:rPr>
        <w:t>LLP</w:t>
      </w:r>
      <w:r>
        <w:rPr>
          <w:rFonts w:ascii="Arial" w:cs="Arial" w:eastAsia="Arial" w:hAnsi="Arial"/>
          <w:sz w:val="14"/>
          <w:szCs w:val="14"/>
          <w:color w:val="auto"/>
        </w:rPr>
        <w:t xml:space="preserve"> of Appointment of KPMG</w:t>
      </w:r>
    </w:p>
    <w:p>
      <w:pPr>
        <w:spacing w:after="0" w:line="263"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Advisory Vote to Approve</w:t>
      </w:r>
    </w:p>
    <w:p>
      <w:pPr>
        <w:ind w:left="1120" w:right="140" w:hanging="412"/>
        <w:spacing w:after="0" w:line="248" w:lineRule="auto"/>
        <w:tabs>
          <w:tab w:leader="none" w:pos="784" w:val="left"/>
        </w:tabs>
        <w:numPr>
          <w:ilvl w:val="0"/>
          <w:numId w:val="7"/>
        </w:numPr>
        <w:rPr>
          <w:rFonts w:ascii="Arial" w:cs="Arial" w:eastAsia="Arial" w:hAnsi="Arial"/>
          <w:sz w:val="16"/>
          <w:szCs w:val="16"/>
          <w:color w:val="auto"/>
        </w:rPr>
      </w:pPr>
      <w:r>
        <w:rPr>
          <w:rFonts w:ascii="Arial" w:cs="Arial" w:eastAsia="Arial" w:hAnsi="Arial"/>
          <w:sz w:val="16"/>
          <w:szCs w:val="16"/>
          <w:color w:val="auto"/>
        </w:rPr>
        <w:t>3. ​ ​Compensation of Named Executive Officers</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Stockholder Proposal Regarding</w:t>
      </w:r>
    </w:p>
    <w:p>
      <w:pPr>
        <w:ind w:left="1120" w:right="320" w:hanging="412"/>
        <w:spacing w:after="0" w:line="280" w:lineRule="auto"/>
        <w:tabs>
          <w:tab w:leader="none" w:pos="784" w:val="left"/>
        </w:tabs>
        <w:numPr>
          <w:ilvl w:val="0"/>
          <w:numId w:val="8"/>
        </w:numPr>
        <w:rPr>
          <w:rFonts w:ascii="Arial" w:cs="Arial" w:eastAsia="Arial" w:hAnsi="Arial"/>
          <w:sz w:val="15"/>
          <w:szCs w:val="15"/>
          <w:color w:val="auto"/>
        </w:rPr>
      </w:pPr>
      <w:r>
        <w:rPr>
          <w:rFonts w:ascii="Arial" w:cs="Arial" w:eastAsia="Arial" w:hAnsi="Arial"/>
          <w:sz w:val="15"/>
          <w:szCs w:val="15"/>
          <w:color w:val="auto"/>
        </w:rPr>
        <w:t>4. ​ ​Simple Majority Vote, if Properly Presented at the Annual Meeting</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Stockholder Proposal Regarding</w:t>
      </w:r>
    </w:p>
    <w:p>
      <w:pPr>
        <w:ind w:left="1120" w:hanging="412"/>
        <w:spacing w:after="0" w:line="184" w:lineRule="auto"/>
        <w:tabs>
          <w:tab w:leader="none" w:pos="784" w:val="left"/>
        </w:tabs>
        <w:numPr>
          <w:ilvl w:val="0"/>
          <w:numId w:val="9"/>
        </w:numPr>
        <w:rPr>
          <w:rFonts w:ascii="Arial" w:cs="Arial" w:eastAsia="Arial" w:hAnsi="Arial"/>
          <w:sz w:val="29"/>
          <w:szCs w:val="29"/>
          <w:color w:val="auto"/>
          <w:vertAlign w:val="subscript"/>
        </w:rPr>
      </w:pPr>
      <w:r>
        <w:rPr>
          <w:rFonts w:ascii="Arial" w:cs="Arial" w:eastAsia="Arial" w:hAnsi="Arial"/>
          <w:sz w:val="29"/>
          <w:szCs w:val="29"/>
          <w:color w:val="auto"/>
          <w:vertAlign w:val="subscript"/>
        </w:rPr>
        <w:t>5. ​ ​</w:t>
      </w:r>
      <w:r>
        <w:rPr>
          <w:rFonts w:ascii="Arial" w:cs="Arial" w:eastAsia="Arial" w:hAnsi="Arial"/>
          <w:sz w:val="15"/>
          <w:szCs w:val="15"/>
          <w:color w:val="auto"/>
        </w:rPr>
        <w:t>Disclosure of Scope 3 Greenhouse Gas Emissions, if Properly Presented at the Annual Meeting</w:t>
      </w:r>
    </w:p>
    <w:p>
      <w:pPr>
        <w:spacing w:after="0" w:line="20" w:lineRule="exact"/>
        <w:rPr>
          <w:sz w:val="20"/>
          <w:szCs w:val="20"/>
          <w:color w:val="auto"/>
        </w:rPr>
      </w:pPr>
      <w:r>
        <w:rPr>
          <w:sz w:val="20"/>
          <w:szCs w:val="20"/>
          <w:color w:val="auto"/>
        </w:rPr>
        <w:br w:type="column"/>
      </w:r>
    </w:p>
    <w:p>
      <w:pPr>
        <w:ind w:left="192" w:hanging="192"/>
        <w:spacing w:after="0" w:line="204" w:lineRule="auto"/>
        <w:tabs>
          <w:tab w:leader="none" w:pos="131" w:val="left"/>
        </w:tabs>
        <w:numPr>
          <w:ilvl w:val="0"/>
          <w:numId w:val="10"/>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52" w:lineRule="exact"/>
        <w:rPr>
          <w:rFonts w:ascii="Arial" w:cs="Arial" w:eastAsia="Arial" w:hAnsi="Arial"/>
          <w:sz w:val="32"/>
          <w:szCs w:val="32"/>
          <w:color w:val="auto"/>
          <w:vertAlign w:val="subscript"/>
        </w:rPr>
      </w:pPr>
    </w:p>
    <w:p>
      <w:pPr>
        <w:ind w:left="192" w:hanging="192"/>
        <w:spacing w:after="0" w:line="224" w:lineRule="auto"/>
        <w:tabs>
          <w:tab w:leader="none" w:pos="131" w:val="left"/>
        </w:tabs>
        <w:numPr>
          <w:ilvl w:val="0"/>
          <w:numId w:val="10"/>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65" w:lineRule="exact"/>
        <w:rPr>
          <w:rFonts w:ascii="Arial" w:cs="Arial" w:eastAsia="Arial" w:hAnsi="Arial"/>
          <w:sz w:val="32"/>
          <w:szCs w:val="32"/>
          <w:color w:val="auto"/>
          <w:vertAlign w:val="subscript"/>
        </w:rPr>
      </w:pPr>
    </w:p>
    <w:p>
      <w:pPr>
        <w:ind w:left="192" w:hanging="192"/>
        <w:spacing w:after="0" w:line="224" w:lineRule="auto"/>
        <w:tabs>
          <w:tab w:leader="none" w:pos="131" w:val="left"/>
        </w:tabs>
        <w:numPr>
          <w:ilvl w:val="0"/>
          <w:numId w:val="10"/>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146" w:lineRule="exact"/>
        <w:rPr>
          <w:rFonts w:ascii="Arial" w:cs="Arial" w:eastAsia="Arial" w:hAnsi="Arial"/>
          <w:sz w:val="32"/>
          <w:szCs w:val="32"/>
          <w:color w:val="auto"/>
          <w:vertAlign w:val="subscript"/>
        </w:rPr>
      </w:pPr>
    </w:p>
    <w:p>
      <w:pPr>
        <w:ind w:left="192" w:hanging="192"/>
        <w:spacing w:after="0" w:line="224" w:lineRule="auto"/>
        <w:tabs>
          <w:tab w:leader="none" w:pos="131" w:val="left"/>
        </w:tabs>
        <w:numPr>
          <w:ilvl w:val="0"/>
          <w:numId w:val="10"/>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-1086485</wp:posOffset>
            </wp:positionV>
            <wp:extent cx="5974715" cy="368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74715" cy="36893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-349250</wp:posOffset>
            </wp:positionV>
            <wp:extent cx="5974715"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74715"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1140" w:type="dxa"/>
            <w:vAlign w:val="bottom"/>
          </w:tcPr>
          <w:p>
            <w:pPr>
              <w:jc w:val="center"/>
              <w:spacing w:after="0"/>
              <w:rPr>
                <w:sz w:val="20"/>
                <w:szCs w:val="20"/>
                <w:color w:val="auto"/>
              </w:rPr>
            </w:pPr>
            <w:r>
              <w:rPr>
                <w:rFonts w:ascii="Arial" w:cs="Arial" w:eastAsia="Arial" w:hAnsi="Arial"/>
                <w:sz w:val="16"/>
                <w:szCs w:val="16"/>
                <w:color w:val="auto"/>
              </w:rPr>
              <w:t>FOR</w:t>
            </w:r>
          </w:p>
        </w:tc>
        <w:tc>
          <w:tcPr>
            <w:tcW w:w="660" w:type="dxa"/>
            <w:vAlign w:val="bottom"/>
          </w:tcPr>
          <w:p>
            <w:pPr>
              <w:ind w:left="220"/>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28</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547"/>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1140" w:type="dxa"/>
            <w:vAlign w:val="bottom"/>
          </w:tcPr>
          <w:p>
            <w:pPr>
              <w:jc w:val="center"/>
              <w:spacing w:after="0"/>
              <w:rPr>
                <w:sz w:val="20"/>
                <w:szCs w:val="20"/>
                <w:color w:val="auto"/>
              </w:rPr>
            </w:pPr>
            <w:r>
              <w:rPr>
                <w:rFonts w:ascii="Arial" w:cs="Arial" w:eastAsia="Arial" w:hAnsi="Arial"/>
                <w:sz w:val="16"/>
                <w:szCs w:val="16"/>
                <w:color w:val="auto"/>
              </w:rPr>
              <w:t>FOR</w:t>
            </w:r>
          </w:p>
        </w:tc>
        <w:tc>
          <w:tcPr>
            <w:tcW w:w="660" w:type="dxa"/>
            <w:vAlign w:val="bottom"/>
          </w:tcPr>
          <w:p>
            <w:pPr>
              <w:ind w:left="220"/>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31</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560"/>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1140" w:type="dxa"/>
            <w:vAlign w:val="bottom"/>
          </w:tcPr>
          <w:p>
            <w:pPr>
              <w:jc w:val="center"/>
              <w:spacing w:after="0"/>
              <w:rPr>
                <w:sz w:val="20"/>
                <w:szCs w:val="20"/>
                <w:color w:val="auto"/>
              </w:rPr>
            </w:pPr>
            <w:r>
              <w:rPr>
                <w:rFonts w:ascii="Arial" w:cs="Arial" w:eastAsia="Arial" w:hAnsi="Arial"/>
                <w:sz w:val="16"/>
                <w:szCs w:val="16"/>
                <w:color w:val="auto"/>
              </w:rPr>
              <w:t>NEUTRAL</w:t>
            </w:r>
          </w:p>
        </w:tc>
        <w:tc>
          <w:tcPr>
            <w:tcW w:w="660" w:type="dxa"/>
            <w:vAlign w:val="bottom"/>
          </w:tcPr>
          <w:p>
            <w:pPr>
              <w:ind w:left="220"/>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66</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641"/>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AGAINST</w:t>
            </w:r>
          </w:p>
        </w:tc>
        <w:tc>
          <w:tcPr>
            <w:tcW w:w="660" w:type="dxa"/>
            <w:vAlign w:val="bottom"/>
          </w:tcPr>
          <w:p>
            <w:pPr>
              <w:ind w:left="220"/>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69</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-1336675</wp:posOffset>
            </wp:positionV>
            <wp:extent cx="26543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-599440</wp:posOffset>
            </wp:positionV>
            <wp:extent cx="26543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3">
            <w:col w:w="3740" w:space="188"/>
            <w:col w:w="2772" w:space="220"/>
            <w:col w:w="3200"/>
          </w:cols>
          <w:pgMar w:left="580" w:top="97" w:right="1199" w:bottom="1440" w:gutter="0" w:footer="0" w:header="0"/>
          <w:type w:val="continuous"/>
        </w:sectPr>
      </w:pPr>
    </w:p>
    <w:p>
      <w:pPr>
        <w:spacing w:after="0" w:line="297"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Financial Highlights from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180"/>
        <w:spacing w:after="0" w:line="261" w:lineRule="auto"/>
        <w:rPr>
          <w:sz w:val="20"/>
          <w:szCs w:val="20"/>
          <w:color w:val="auto"/>
        </w:rPr>
      </w:pPr>
      <w:r>
        <w:rPr>
          <w:rFonts w:ascii="Arial" w:cs="Arial" w:eastAsia="Arial" w:hAnsi="Arial"/>
          <w:sz w:val="20"/>
          <w:szCs w:val="20"/>
          <w:color w:val="auto"/>
        </w:rPr>
        <w:t>During the fiscal year ended September 27, 2024 (“fiscal year 2024”), the Company delivered solid results despite ongoing macroeconomic volatility, reflecting our resilient business model and operational excellence. We continued making strategic investments in growth areas and sought to expand our customer base and diversify the reach of our business, positioning us to capture new opportunities across a range of markets benefitting from secular trends.</w:t>
      </w:r>
    </w:p>
    <w:p>
      <w:pPr>
        <w:spacing w:after="0" w:line="124" w:lineRule="exact"/>
        <w:rPr>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Delivered net revenue of </w:t>
      </w:r>
      <w:r>
        <w:rPr>
          <w:rFonts w:ascii="Arial" w:cs="Arial" w:eastAsia="Arial" w:hAnsi="Arial"/>
          <w:sz w:val="20"/>
          <w:szCs w:val="20"/>
          <w:b w:val="1"/>
          <w:bCs w:val="1"/>
          <w:color w:val="auto"/>
        </w:rPr>
        <w:t>$4.2 billion</w:t>
      </w:r>
    </w:p>
    <w:p>
      <w:pPr>
        <w:spacing w:after="0" w:line="33" w:lineRule="exact"/>
        <w:rPr>
          <w:rFonts w:ascii="Arial" w:cs="Arial" w:eastAsia="Arial" w:hAnsi="Arial"/>
          <w:sz w:val="20"/>
          <w:szCs w:val="20"/>
          <w:color w:val="auto"/>
        </w:rPr>
      </w:pPr>
    </w:p>
    <w:p>
      <w:pPr>
        <w:ind w:left="1200" w:hanging="186"/>
        <w:spacing w:after="0" w:line="187"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Achieved operating margin of </w:t>
      </w:r>
      <w:r>
        <w:rPr>
          <w:rFonts w:ascii="Arial" w:cs="Arial" w:eastAsia="Arial" w:hAnsi="Arial"/>
          <w:sz w:val="20"/>
          <w:szCs w:val="20"/>
          <w:b w:val="1"/>
          <w:bCs w:val="1"/>
          <w:color w:val="auto"/>
        </w:rPr>
        <w:t>15.3%</w:t>
      </w:r>
      <w:r>
        <w:rPr>
          <w:rFonts w:ascii="Arial" w:cs="Arial" w:eastAsia="Arial" w:hAnsi="Arial"/>
          <w:sz w:val="20"/>
          <w:szCs w:val="20"/>
          <w:color w:val="auto"/>
        </w:rPr>
        <w:t xml:space="preserve"> on a GAAP basis (</w:t>
      </w:r>
      <w:r>
        <w:rPr>
          <w:rFonts w:ascii="Arial" w:cs="Arial" w:eastAsia="Arial" w:hAnsi="Arial"/>
          <w:sz w:val="20"/>
          <w:szCs w:val="20"/>
          <w:b w:val="1"/>
          <w:bCs w:val="1"/>
          <w:color w:val="auto"/>
        </w:rPr>
        <w:t>27.2%</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spacing w:after="0" w:line="1" w:lineRule="exact"/>
        <w:rPr>
          <w:rFonts w:ascii="Arial" w:cs="Arial" w:eastAsia="Arial" w:hAnsi="Arial"/>
          <w:sz w:val="20"/>
          <w:szCs w:val="20"/>
          <w:color w:val="auto"/>
        </w:rPr>
      </w:pPr>
    </w:p>
    <w:p>
      <w:pPr>
        <w:ind w:left="1200" w:hanging="186"/>
        <w:spacing w:after="0" w:line="187"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Posted diluted earnings per share of </w:t>
      </w:r>
      <w:r>
        <w:rPr>
          <w:rFonts w:ascii="Arial" w:cs="Arial" w:eastAsia="Arial" w:hAnsi="Arial"/>
          <w:sz w:val="20"/>
          <w:szCs w:val="20"/>
          <w:b w:val="1"/>
          <w:bCs w:val="1"/>
          <w:color w:val="auto"/>
        </w:rPr>
        <w:t>$3.69</w:t>
      </w:r>
      <w:r>
        <w:rPr>
          <w:rFonts w:ascii="Arial" w:cs="Arial" w:eastAsia="Arial" w:hAnsi="Arial"/>
          <w:sz w:val="20"/>
          <w:szCs w:val="20"/>
          <w:color w:val="auto"/>
        </w:rPr>
        <w:t xml:space="preserve"> on a GAAP basis (</w:t>
      </w:r>
      <w:r>
        <w:rPr>
          <w:rFonts w:ascii="Arial" w:cs="Arial" w:eastAsia="Arial" w:hAnsi="Arial"/>
          <w:sz w:val="20"/>
          <w:szCs w:val="20"/>
          <w:b w:val="1"/>
          <w:bCs w:val="1"/>
          <w:color w:val="auto"/>
        </w:rPr>
        <w:t>$6.27</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spacing w:after="0" w:line="1" w:lineRule="exact"/>
        <w:rPr>
          <w:rFonts w:ascii="Arial" w:cs="Arial" w:eastAsia="Arial" w:hAnsi="Arial"/>
          <w:sz w:val="20"/>
          <w:szCs w:val="20"/>
          <w:color w:val="auto"/>
        </w:rPr>
      </w:pPr>
    </w:p>
    <w:p>
      <w:pPr>
        <w:ind w:left="1200" w:right="180" w:hanging="186"/>
        <w:spacing w:after="0" w:line="214"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Generated annual operating cash flow of </w:t>
      </w:r>
      <w:r>
        <w:rPr>
          <w:rFonts w:ascii="Arial" w:cs="Arial" w:eastAsia="Arial" w:hAnsi="Arial"/>
          <w:sz w:val="20"/>
          <w:szCs w:val="20"/>
          <w:b w:val="1"/>
          <w:bCs w:val="1"/>
          <w:color w:val="auto"/>
        </w:rPr>
        <w:t>$1.825 billion, or 44%</w:t>
      </w:r>
      <w:r>
        <w:rPr>
          <w:rFonts w:ascii="Arial" w:cs="Arial" w:eastAsia="Arial" w:hAnsi="Arial"/>
          <w:sz w:val="20"/>
          <w:szCs w:val="20"/>
          <w:color w:val="auto"/>
        </w:rPr>
        <w:t xml:space="preserve"> operating cash flow margin</w:t>
      </w:r>
      <w:r>
        <w:rPr>
          <w:rFonts w:ascii="Arial" w:cs="Arial" w:eastAsia="Arial" w:hAnsi="Arial"/>
          <w:sz w:val="20"/>
          <w:szCs w:val="20"/>
          <w:b w:val="1"/>
          <w:bCs w:val="1"/>
          <w:color w:val="auto"/>
        </w:rPr>
        <w:t>,</w:t>
      </w:r>
      <w:r>
        <w:rPr>
          <w:rFonts w:ascii="Arial" w:cs="Arial" w:eastAsia="Arial" w:hAnsi="Arial"/>
          <w:sz w:val="20"/>
          <w:szCs w:val="20"/>
          <w:color w:val="auto"/>
        </w:rPr>
        <w:t xml:space="preserve"> and free cash flow</w:t>
      </w:r>
      <w:r>
        <w:rPr>
          <w:rFonts w:ascii="Arial" w:cs="Arial" w:eastAsia="Arial" w:hAnsi="Arial"/>
          <w:sz w:val="30"/>
          <w:szCs w:val="30"/>
          <w:color w:val="auto"/>
          <w:vertAlign w:val="superscript"/>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$1.668 billion, or 40%</w:t>
      </w:r>
      <w:r>
        <w:rPr>
          <w:rFonts w:ascii="Arial" w:cs="Arial" w:eastAsia="Arial" w:hAnsi="Arial"/>
          <w:sz w:val="20"/>
          <w:szCs w:val="20"/>
          <w:color w:val="auto"/>
        </w:rPr>
        <w:t xml:space="preserve"> free cash flow margin</w:t>
      </w:r>
      <w:r>
        <w:rPr>
          <w:rFonts w:ascii="Arial" w:cs="Arial" w:eastAsia="Arial" w:hAnsi="Arial"/>
          <w:sz w:val="30"/>
          <w:szCs w:val="30"/>
          <w:color w:val="auto"/>
          <w:vertAlign w:val="superscript"/>
        </w:rPr>
        <w:t>(1)</w:t>
      </w: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Raised our quarterly dividend from </w:t>
      </w:r>
      <w:r>
        <w:rPr>
          <w:rFonts w:ascii="Arial" w:cs="Arial" w:eastAsia="Arial" w:hAnsi="Arial"/>
          <w:sz w:val="20"/>
          <w:szCs w:val="20"/>
          <w:b w:val="1"/>
          <w:bCs w:val="1"/>
          <w:color w:val="auto"/>
        </w:rPr>
        <w:t>$0.68</w:t>
      </w:r>
      <w:r>
        <w:rPr>
          <w:rFonts w:ascii="Arial" w:cs="Arial" w:eastAsia="Arial" w:hAnsi="Arial"/>
          <w:sz w:val="20"/>
          <w:szCs w:val="20"/>
          <w:color w:val="auto"/>
        </w:rPr>
        <w:t xml:space="preserve"> per share to </w:t>
      </w:r>
      <w:r>
        <w:rPr>
          <w:rFonts w:ascii="Arial" w:cs="Arial" w:eastAsia="Arial" w:hAnsi="Arial"/>
          <w:sz w:val="20"/>
          <w:szCs w:val="20"/>
          <w:b w:val="1"/>
          <w:bCs w:val="1"/>
          <w:color w:val="auto"/>
        </w:rPr>
        <w:t>$0.70</w:t>
      </w:r>
      <w:r>
        <w:rPr>
          <w:rFonts w:ascii="Arial" w:cs="Arial" w:eastAsia="Arial" w:hAnsi="Arial"/>
          <w:sz w:val="20"/>
          <w:szCs w:val="20"/>
          <w:color w:val="auto"/>
        </w:rPr>
        <w:t xml:space="preserve"> per share</w:t>
      </w:r>
    </w:p>
    <w:p>
      <w:pPr>
        <w:spacing w:after="0" w:line="23"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Returned approximately </w:t>
      </w:r>
      <w:r>
        <w:rPr>
          <w:rFonts w:ascii="Arial" w:cs="Arial" w:eastAsia="Arial" w:hAnsi="Arial"/>
          <w:sz w:val="20"/>
          <w:szCs w:val="20"/>
          <w:b w:val="1"/>
          <w:bCs w:val="1"/>
          <w:color w:val="auto"/>
        </w:rPr>
        <w:t>$516 million</w:t>
      </w:r>
      <w:r>
        <w:rPr>
          <w:rFonts w:ascii="Arial" w:cs="Arial" w:eastAsia="Arial" w:hAnsi="Arial"/>
          <w:sz w:val="20"/>
          <w:szCs w:val="20"/>
          <w:color w:val="auto"/>
        </w:rPr>
        <w:t xml:space="preserve"> to stockholders through dividends and share repurchases</w:t>
      </w:r>
    </w:p>
    <w:p>
      <w:pPr>
        <w:spacing w:after="0" w:line="16"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Repaid </w:t>
      </w:r>
      <w:r>
        <w:rPr>
          <w:rFonts w:ascii="Arial" w:cs="Arial" w:eastAsia="Arial" w:hAnsi="Arial"/>
          <w:sz w:val="20"/>
          <w:szCs w:val="20"/>
          <w:b w:val="1"/>
          <w:bCs w:val="1"/>
          <w:color w:val="auto"/>
        </w:rPr>
        <w:t>$300 million</w:t>
      </w:r>
      <w:r>
        <w:rPr>
          <w:rFonts w:ascii="Arial" w:cs="Arial" w:eastAsia="Arial" w:hAnsi="Arial"/>
          <w:sz w:val="20"/>
          <w:szCs w:val="20"/>
          <w:color w:val="auto"/>
        </w:rPr>
        <w:t xml:space="preserv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182245</wp:posOffset>
            </wp:positionV>
            <wp:extent cx="5726430"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6430"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right="240" w:hanging="354"/>
        <w:spacing w:after="0" w:line="283" w:lineRule="auto"/>
        <w:tabs>
          <w:tab w:leader="none" w:pos="10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Please see table on page 83 for a full reconciliation of non-GAAP results to GAAP results. The term “GAAP” means United States Generally Accepted Accounting Principles.</w:t>
      </w: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Other Accomplishments from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26" w:lineRule="exact"/>
        <w:rPr>
          <w:sz w:val="20"/>
          <w:szCs w:val="20"/>
          <w:color w:val="auto"/>
        </w:rPr>
      </w:pPr>
    </w:p>
    <w:p>
      <w:pPr>
        <w:ind w:left="660" w:right="420"/>
        <w:spacing w:after="0" w:line="264" w:lineRule="auto"/>
        <w:rPr>
          <w:sz w:val="20"/>
          <w:szCs w:val="20"/>
          <w:color w:val="auto"/>
        </w:rPr>
      </w:pPr>
      <w:r>
        <w:rPr>
          <w:rFonts w:ascii="Arial" w:cs="Arial" w:eastAsia="Arial" w:hAnsi="Arial"/>
          <w:sz w:val="20"/>
          <w:szCs w:val="20"/>
          <w:color w:val="auto"/>
        </w:rPr>
        <w:t>Throughout fiscal year 2024, our connectivity and analog mixed-signal solutions enabled a broad set of applications across mobile, Internet of Things (“IoT”), automotive, industrial, data center and 5G wireless infrastructure, providing essential technologies and products to industry-leading customers throughout the world. Highlights from the year include:</w:t>
      </w:r>
    </w:p>
    <w:p>
      <w:pPr>
        <w:spacing w:after="0" w:line="28" w:lineRule="exact"/>
        <w:rPr>
          <w:sz w:val="20"/>
          <w:szCs w:val="20"/>
          <w:color w:val="auto"/>
        </w:rPr>
      </w:pP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Secured 5G content for premium Android smartphones</w:t>
      </w:r>
    </w:p>
    <w:p>
      <w:pPr>
        <w:spacing w:after="0" w:line="31" w:lineRule="exact"/>
        <w:rPr>
          <w:rFonts w:ascii="Arial" w:cs="Arial" w:eastAsia="Arial" w:hAnsi="Arial"/>
          <w:sz w:val="20"/>
          <w:szCs w:val="20"/>
          <w:color w:val="auto"/>
        </w:rPr>
      </w:pP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Delivered next-generation smart energy solutions</w:t>
      </w:r>
    </w:p>
    <w:p>
      <w:pPr>
        <w:spacing w:after="0" w:line="26" w:lineRule="exact"/>
        <w:rPr>
          <w:rFonts w:ascii="Arial" w:cs="Arial" w:eastAsia="Arial" w:hAnsi="Arial"/>
          <w:sz w:val="20"/>
          <w:szCs w:val="20"/>
          <w:color w:val="auto"/>
        </w:rPr>
      </w:pP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Achieved several audio System-on-a-Chip design wins for wireless gaming and soundbars</w:t>
      </w:r>
    </w:p>
    <w:p>
      <w:pPr>
        <w:spacing w:after="0" w:line="13" w:lineRule="exact"/>
        <w:rPr>
          <w:rFonts w:ascii="Arial" w:cs="Arial" w:eastAsia="Arial" w:hAnsi="Arial"/>
          <w:sz w:val="20"/>
          <w:szCs w:val="20"/>
          <w:color w:val="auto"/>
        </w:rPr>
      </w:pPr>
    </w:p>
    <w:p>
      <w:pPr>
        <w:ind w:left="1200" w:right="520" w:hanging="186"/>
        <w:spacing w:after="0" w:line="267"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Increased design win momentum in automotive including 5G front-end modules, infotainment, and digital isolators, across leading original equipment manufacturers</w:t>
      </w:r>
    </w:p>
    <w:p>
      <w:pPr>
        <w:spacing w:after="0" w:line="1" w:lineRule="exact"/>
        <w:rPr>
          <w:rFonts w:ascii="Arial" w:cs="Arial" w:eastAsia="Arial" w:hAnsi="Arial"/>
          <w:sz w:val="20"/>
          <w:szCs w:val="20"/>
          <w:color w:val="auto"/>
        </w:rPr>
      </w:pPr>
    </w:p>
    <w:p>
      <w:pPr>
        <w:ind w:left="1200" w:right="100" w:hanging="186"/>
        <w:spacing w:after="0" w:line="260"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Secured several design wins in infrastructure, including optical transport products with a major operator in India and timing devices for 5G small cells for private networks</w:t>
      </w:r>
    </w:p>
    <w:p>
      <w:pPr>
        <w:spacing w:after="0" w:line="1" w:lineRule="exact"/>
        <w:rPr>
          <w:rFonts w:ascii="Arial" w:cs="Arial" w:eastAsia="Arial" w:hAnsi="Arial"/>
          <w:sz w:val="20"/>
          <w:szCs w:val="20"/>
          <w:color w:val="auto"/>
        </w:rPr>
      </w:pPr>
    </w:p>
    <w:p>
      <w:pPr>
        <w:ind w:left="1200" w:right="700" w:hanging="186"/>
        <w:spacing w:after="0" w:line="281"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Achieved International Automotive Task Force (“IATF”) 16949 automotive certification at multiple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285750</wp:posOffset>
            </wp:positionV>
            <wp:extent cx="5220335" cy="3566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033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80" w:hanging="354"/>
        <w:spacing w:after="0"/>
        <w:tabs>
          <w:tab w:leader="none" w:pos="10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Please see table on page 83 for a full reconciliation of non-GAAP results to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40"/>
        <w:spacing w:after="0" w:line="259" w:lineRule="auto"/>
        <w:rPr>
          <w:sz w:val="20"/>
          <w:szCs w:val="20"/>
          <w:color w:val="auto"/>
        </w:rPr>
      </w:pPr>
      <w:r>
        <w:rPr>
          <w:rFonts w:ascii="Arial" w:cs="Arial" w:eastAsia="Arial" w:hAnsi="Arial"/>
          <w:sz w:val="20"/>
          <w:szCs w:val="20"/>
          <w:color w:val="auto"/>
        </w:rPr>
        <w:t>Nine nominees, each of whom currently serves as a director, have been nominated for election to our Board of Directors (the “Board”) to serve until the 2026 Annual Meeting of Stockholders (the “2026 Annual Meeting”) and until their successors are elected and qualified or until their earlier resignation or removal. Additional information on each nominee may be found below under “</w:t>
      </w:r>
      <w:r>
        <w:rPr>
          <w:rFonts w:ascii="Arial" w:cs="Arial" w:eastAsia="Arial" w:hAnsi="Arial"/>
          <w:sz w:val="20"/>
          <w:szCs w:val="20"/>
          <w:i w:val="1"/>
          <w:iCs w:val="1"/>
          <w:color w:val="auto"/>
        </w:rPr>
        <w:t>Election of Directors.” The following table lists the</w:t>
      </w:r>
      <w:r>
        <w:rPr>
          <w:rFonts w:ascii="Arial" w:cs="Arial" w:eastAsia="Arial" w:hAnsi="Arial"/>
          <w:sz w:val="20"/>
          <w:szCs w:val="20"/>
          <w:color w:val="auto"/>
        </w:rPr>
        <w:t xml:space="preserve"> </w:t>
      </w:r>
      <w:r>
        <w:rPr>
          <w:rFonts w:ascii="Arial" w:cs="Arial" w:eastAsia="Arial" w:hAnsi="Arial"/>
          <w:sz w:val="20"/>
          <w:szCs w:val="20"/>
          <w:i w:val="1"/>
          <w:iCs w:val="1"/>
          <w:color w:val="auto"/>
        </w:rPr>
        <w:t>nine nominees, their age, the year such nominees were first elected as directors of the Company, their principal occupation, their independence status, their Board committee membership(s) as of March 1, 2025, and the number of other public company boards on which they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153670</wp:posOffset>
            </wp:positionV>
            <wp:extent cx="5974715"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437515"/>
                    </a:xfrm>
                    <a:prstGeom prst="rect">
                      <a:avLst/>
                    </a:prstGeom>
                    <a:noFill/>
                  </pic:spPr>
                </pic:pic>
              </a:graphicData>
            </a:graphic>
          </wp:anchor>
        </w:drawing>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gridSpan w:val="2"/>
          </w:tcPr>
          <w:p>
            <w:pPr>
              <w:jc w:val="center"/>
              <w:ind w:left="36"/>
              <w:spacing w:after="0"/>
              <w:rPr>
                <w:sz w:val="20"/>
                <w:szCs w:val="20"/>
                <w:color w:val="auto"/>
              </w:rPr>
            </w:pPr>
            <w:r>
              <w:rPr>
                <w:rFonts w:ascii="Arial" w:cs="Arial" w:eastAsia="Arial" w:hAnsi="Arial"/>
                <w:sz w:val="18"/>
                <w:szCs w:val="18"/>
                <w:b w:val="1"/>
                <w:bCs w:val="1"/>
                <w:color w:val="FFFFFF"/>
                <w:w w:val="98"/>
              </w:rPr>
              <w:t>Other Public</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​Name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FFFFFF"/>
              </w:rPr>
              <w:t>Director</w:t>
            </w:r>
          </w:p>
        </w:tc>
        <w:tc>
          <w:tcPr>
            <w:tcW w:w="2360" w:type="dxa"/>
            <w:vAlign w:val="bottom"/>
            <w:vMerge w:val="restart"/>
          </w:tcPr>
          <w:p>
            <w:pPr>
              <w:ind w:left="40"/>
              <w:spacing w:after="0"/>
              <w:rPr>
                <w:sz w:val="20"/>
                <w:szCs w:val="20"/>
                <w:color w:val="auto"/>
              </w:rPr>
            </w:pPr>
            <w:r>
              <w:rPr>
                <w:rFonts w:ascii="Arial" w:cs="Arial" w:eastAsia="Arial" w:hAnsi="Arial"/>
                <w:sz w:val="18"/>
                <w:szCs w:val="18"/>
                <w:b w:val="1"/>
                <w:bCs w:val="1"/>
                <w:color w:val="FFFFFF"/>
              </w:rPr>
              <w:t>​​   Principal Occupation</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Committee</w:t>
            </w:r>
          </w:p>
        </w:tc>
        <w:tc>
          <w:tcPr>
            <w:tcW w:w="220" w:type="dxa"/>
            <w:vAlign w:val="bottom"/>
          </w:tcPr>
          <w:p>
            <w:pPr>
              <w:spacing w:after="0"/>
              <w:rPr>
                <w:sz w:val="17"/>
                <w:szCs w:val="17"/>
                <w:color w:val="auto"/>
              </w:rPr>
            </w:pPr>
          </w:p>
        </w:tc>
        <w:tc>
          <w:tcPr>
            <w:tcW w:w="1000" w:type="dxa"/>
            <w:vAlign w:val="bottom"/>
          </w:tcPr>
          <w:p>
            <w:pPr>
              <w:jc w:val="center"/>
              <w:ind w:right="15"/>
              <w:spacing w:after="0" w:line="202" w:lineRule="exact"/>
              <w:rPr>
                <w:sz w:val="20"/>
                <w:szCs w:val="20"/>
                <w:color w:val="auto"/>
              </w:rPr>
            </w:pPr>
            <w:r>
              <w:rPr>
                <w:rFonts w:ascii="Arial" w:cs="Arial" w:eastAsia="Arial" w:hAnsi="Arial"/>
                <w:sz w:val="18"/>
                <w:szCs w:val="18"/>
                <w:b w:val="1"/>
                <w:bCs w:val="1"/>
                <w:color w:val="FFFFFF"/>
                <w:w w:val="99"/>
              </w:rPr>
              <w:t>Company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860" w:type="dxa"/>
            <w:vAlign w:val="bottom"/>
            <w:vMerge w:val="continue"/>
          </w:tcPr>
          <w:p>
            <w:pPr>
              <w:spacing w:after="0"/>
              <w:rPr>
                <w:sz w:val="22"/>
                <w:szCs w:val="22"/>
                <w:color w:val="auto"/>
              </w:rPr>
            </w:pPr>
          </w:p>
        </w:tc>
        <w:tc>
          <w:tcPr>
            <w:tcW w:w="1380" w:type="dxa"/>
            <w:vAlign w:val="bottom"/>
            <w:gridSpan w:val="4"/>
          </w:tcPr>
          <w:p>
            <w:pPr>
              <w:jc w:val="right"/>
              <w:ind w:right="19"/>
              <w:spacing w:after="0"/>
              <w:rPr>
                <w:sz w:val="20"/>
                <w:szCs w:val="20"/>
                <w:color w:val="auto"/>
              </w:rPr>
            </w:pPr>
            <w:r>
              <w:rPr>
                <w:rFonts w:ascii="Arial" w:cs="Arial" w:eastAsia="Arial" w:hAnsi="Arial"/>
                <w:sz w:val="18"/>
                <w:szCs w:val="18"/>
                <w:b w:val="1"/>
                <w:bCs w:val="1"/>
                <w:color w:val="FFFFFF"/>
              </w:rPr>
              <w:t>​​Age ​​ Since</w:t>
            </w:r>
          </w:p>
        </w:tc>
        <w:tc>
          <w:tcPr>
            <w:tcW w:w="2360" w:type="dxa"/>
            <w:vAlign w:val="bottom"/>
            <w:vMerge w:val="continue"/>
          </w:tcPr>
          <w:p>
            <w:pPr>
              <w:spacing w:after="0"/>
              <w:rPr>
                <w:sz w:val="22"/>
                <w:szCs w:val="22"/>
                <w:color w:val="auto"/>
              </w:rPr>
            </w:pPr>
          </w:p>
        </w:tc>
        <w:tc>
          <w:tcPr>
            <w:tcW w:w="2720" w:type="dxa"/>
            <w:vAlign w:val="bottom"/>
            <w:gridSpan w:val="5"/>
          </w:tcPr>
          <w:p>
            <w:pPr>
              <w:ind w:left="100"/>
              <w:spacing w:after="0"/>
              <w:rPr>
                <w:sz w:val="20"/>
                <w:szCs w:val="20"/>
                <w:color w:val="auto"/>
              </w:rPr>
            </w:pPr>
            <w:r>
              <w:rPr>
                <w:rFonts w:ascii="Arial" w:cs="Arial" w:eastAsia="Arial" w:hAnsi="Arial"/>
                <w:sz w:val="18"/>
                <w:szCs w:val="18"/>
                <w:b w:val="1"/>
                <w:bCs w:val="1"/>
                <w:color w:val="FFFFFF"/>
              </w:rPr>
              <w:t>​​Independent ​​Memberships ​​</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FFFFFF"/>
              </w:rPr>
              <w:t>Boards   ​</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280" w:type="dxa"/>
            <w:vAlign w:val="bottom"/>
          </w:tcPr>
          <w:p>
            <w:pPr>
              <w:ind w:left="180"/>
              <w:spacing w:after="0" w:line="148" w:lineRule="exact"/>
              <w:rPr>
                <w:sz w:val="20"/>
                <w:szCs w:val="20"/>
                <w:color w:val="auto"/>
              </w:rPr>
            </w:pPr>
            <w:r>
              <w:rPr>
                <w:rFonts w:ascii="Arial" w:cs="Arial" w:eastAsia="Arial" w:hAnsi="Arial"/>
                <w:sz w:val="16"/>
                <w:szCs w:val="16"/>
                <w:color w:val="auto"/>
              </w:rPr>
              <w:t>​​</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​75​</w:t>
            </w:r>
          </w:p>
        </w:tc>
        <w:tc>
          <w:tcPr>
            <w:tcW w:w="2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9"/>
              <w:spacing w:after="0"/>
              <w:rPr>
                <w:sz w:val="20"/>
                <w:szCs w:val="20"/>
                <w:color w:val="auto"/>
              </w:rPr>
            </w:pPr>
            <w:r>
              <w:rPr>
                <w:rFonts w:ascii="Arial" w:cs="Arial" w:eastAsia="Arial" w:hAnsi="Arial"/>
                <w:sz w:val="16"/>
                <w:szCs w:val="16"/>
                <w:color w:val="auto"/>
              </w:rPr>
              <w:t>​2014​</w:t>
            </w:r>
          </w:p>
        </w:tc>
        <w:tc>
          <w:tcPr>
            <w:tcW w:w="236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460" w:type="dxa"/>
            <w:vAlign w:val="bottom"/>
          </w:tcPr>
          <w:p>
            <w:pPr>
              <w:ind w:left="140"/>
              <w:spacing w:after="0" w:line="148"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line="148" w:lineRule="exact"/>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AC, CC (C)</w:t>
            </w:r>
          </w:p>
        </w:tc>
        <w:tc>
          <w:tcPr>
            <w:tcW w:w="220" w:type="dxa"/>
            <w:vAlign w:val="bottom"/>
          </w:tcPr>
          <w:p>
            <w:pPr>
              <w:ind w:left="80"/>
              <w:spacing w:after="0" w:line="148" w:lineRule="exact"/>
              <w:rPr>
                <w:sz w:val="20"/>
                <w:szCs w:val="20"/>
                <w:color w:val="auto"/>
              </w:rPr>
            </w:pPr>
            <w:r>
              <w:rPr>
                <w:rFonts w:ascii="Arial" w:cs="Arial" w:eastAsia="Arial" w:hAnsi="Arial"/>
                <w:sz w:val="16"/>
                <w:szCs w:val="16"/>
                <w:color w:val="auto"/>
              </w:rPr>
              <w:t>​​</w:t>
            </w:r>
          </w:p>
        </w:tc>
        <w:tc>
          <w:tcPr>
            <w:tcW w:w="100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60" w:type="dxa"/>
            <w:vAlign w:val="bottom"/>
          </w:tcPr>
          <w:p>
            <w:pPr>
              <w:ind w:left="40"/>
              <w:spacing w:after="0" w:line="67" w:lineRule="exact"/>
              <w:rPr>
                <w:sz w:val="20"/>
                <w:szCs w:val="20"/>
                <w:color w:val="auto"/>
              </w:rPr>
            </w:pPr>
            <w:r>
              <w:rPr>
                <w:rFonts w:ascii="Arial" w:cs="Arial" w:eastAsia="Arial" w:hAnsi="Arial"/>
                <w:sz w:val="7"/>
                <w:szCs w:val="7"/>
                <w:color w:val="auto"/>
              </w:rPr>
              <w:t>Christine King</w:t>
            </w: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360" w:type="dxa"/>
            <w:vAlign w:val="bottom"/>
          </w:tcPr>
          <w:p>
            <w:pPr>
              <w:ind w:left="120"/>
              <w:spacing w:after="0" w:line="67" w:lineRule="exact"/>
              <w:rPr>
                <w:sz w:val="20"/>
                <w:szCs w:val="20"/>
                <w:color w:val="auto"/>
              </w:rPr>
            </w:pPr>
            <w:r>
              <w:rPr>
                <w:rFonts w:ascii="Arial" w:cs="Arial" w:eastAsia="Arial" w:hAnsi="Arial"/>
                <w:sz w:val="7"/>
                <w:szCs w:val="7"/>
                <w:color w:val="auto"/>
              </w:rPr>
              <w:t>Retired Executive Chairman,</w:t>
            </w:r>
          </w:p>
        </w:tc>
        <w:tc>
          <w:tcPr>
            <w:tcW w:w="4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6"/>
                <w:szCs w:val="16"/>
                <w:i w:val="1"/>
                <w:iCs w:val="1"/>
                <w:color w:val="auto"/>
              </w:rPr>
              <w:t>Chairman of the Board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QLogic</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​54​</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9"/>
              <w:spacing w:after="0"/>
              <w:rPr>
                <w:sz w:val="20"/>
                <w:szCs w:val="20"/>
                <w:color w:val="auto"/>
              </w:rPr>
            </w:pPr>
            <w:r>
              <w:rPr>
                <w:rFonts w:ascii="Arial" w:cs="Arial" w:eastAsia="Arial" w:hAnsi="Arial"/>
                <w:sz w:val="16"/>
                <w:szCs w:val="16"/>
                <w:color w:val="auto"/>
              </w:rPr>
              <w:t>​2025​</w:t>
            </w:r>
          </w:p>
        </w:tc>
        <w:tc>
          <w:tcPr>
            <w:tcW w:w="23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ind w:left="220"/>
              <w:spacing w:after="0"/>
              <w:rPr>
                <w:sz w:val="20"/>
                <w:szCs w:val="20"/>
                <w:color w:val="auto"/>
              </w:rPr>
            </w:pPr>
            <w:r>
              <w:rPr>
                <w:rFonts w:ascii="Arial" w:cs="Arial" w:eastAsia="Arial" w:hAnsi="Arial"/>
                <w:sz w:val="16"/>
                <w:szCs w:val="16"/>
                <w:color w:val="auto"/>
              </w:rPr>
              <w:t>​ ​</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ind w:left="400"/>
              <w:spacing w:after="0"/>
              <w:rPr>
                <w:sz w:val="20"/>
                <w:szCs w:val="20"/>
                <w:color w:val="auto"/>
              </w:rPr>
            </w:pPr>
            <w:r>
              <w:rPr>
                <w:rFonts w:ascii="Arial" w:cs="Arial" w:eastAsia="Arial" w:hAnsi="Arial"/>
                <w:sz w:val="16"/>
                <w:szCs w:val="16"/>
                <w:color w:val="auto"/>
              </w:rPr>
              <w:t>​ 1​</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1860" w:type="dxa"/>
            <w:vAlign w:val="bottom"/>
          </w:tcPr>
          <w:p>
            <w:pPr>
              <w:ind w:left="40"/>
              <w:spacing w:after="0" w:line="83" w:lineRule="exact"/>
              <w:rPr>
                <w:sz w:val="20"/>
                <w:szCs w:val="20"/>
                <w:color w:val="auto"/>
              </w:rPr>
            </w:pPr>
            <w:r>
              <w:rPr>
                <w:rFonts w:ascii="Arial" w:cs="Arial" w:eastAsia="Arial" w:hAnsi="Arial"/>
                <w:sz w:val="9"/>
                <w:szCs w:val="9"/>
                <w:color w:val="auto"/>
              </w:rPr>
              <w:t>Philip G. Brace</w:t>
            </w:r>
          </w:p>
        </w:tc>
        <w:tc>
          <w:tcPr>
            <w:tcW w:w="2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360" w:type="dxa"/>
            <w:vAlign w:val="bottom"/>
          </w:tcPr>
          <w:p>
            <w:pPr>
              <w:ind w:left="120"/>
              <w:spacing w:after="0" w:line="83" w:lineRule="exact"/>
              <w:rPr>
                <w:sz w:val="20"/>
                <w:szCs w:val="20"/>
                <w:color w:val="auto"/>
              </w:rPr>
            </w:pPr>
            <w:r>
              <w:rPr>
                <w:rFonts w:ascii="Arial" w:cs="Arial" w:eastAsia="Arial" w:hAnsi="Arial"/>
                <w:sz w:val="9"/>
                <w:szCs w:val="9"/>
                <w:color w:val="auto"/>
              </w:rPr>
              <w:t>CEO and President, Skyworks</w:t>
            </w: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-446405</wp:posOffset>
            </wp:positionV>
            <wp:extent cx="597471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300355"/>
                    </a:xfrm>
                    <a:prstGeom prst="rect">
                      <a:avLst/>
                    </a:prstGeom>
                    <a:noFill/>
                  </pic:spPr>
                </pic:pic>
              </a:graphicData>
            </a:graphic>
          </wp:anchor>
        </w:drawing>
      </w:r>
    </w:p>
    <w:p>
      <w:pPr>
        <w:ind w:left="4020"/>
        <w:spacing w:after="0"/>
        <w:rPr>
          <w:sz w:val="20"/>
          <w:szCs w:val="20"/>
          <w:color w:val="auto"/>
        </w:rPr>
      </w:pPr>
      <w:r>
        <w:rPr>
          <w:rFonts w:ascii="Arial" w:cs="Arial" w:eastAsia="Arial" w:hAnsi="Arial"/>
          <w:sz w:val="16"/>
          <w:szCs w:val="16"/>
          <w:color w:val="auto"/>
        </w:rPr>
        <w:t>Solutions</w:t>
      </w:r>
    </w:p>
    <w:p>
      <w:pPr>
        <w:sectPr>
          <w:pgSz w:w="11900" w:h="16838" w:orient="portrait"/>
          <w:cols w:equalWidth="0" w:num="1">
            <w:col w:w="10100"/>
          </w:cols>
          <w:pgMar w:left="580" w:top="97" w:right="1219" w:bottom="1440" w:gutter="0" w:footer="0" w:header="0"/>
        </w:sectPr>
      </w:pP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8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​62​</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ind w:left="60"/>
              <w:spacing w:after="0"/>
              <w:rPr>
                <w:sz w:val="20"/>
                <w:szCs w:val="20"/>
                <w:color w:val="auto"/>
              </w:rPr>
            </w:pPr>
            <w:r>
              <w:rPr>
                <w:rFonts w:ascii="Arial" w:cs="Arial" w:eastAsia="Arial" w:hAnsi="Arial"/>
                <w:sz w:val="16"/>
                <w:szCs w:val="16"/>
                <w:color w:val="auto"/>
              </w:rPr>
              <w:t>​2019​</w:t>
            </w:r>
          </w:p>
        </w:tc>
        <w:tc>
          <w:tcPr>
            <w:tcW w:w="2480" w:type="dxa"/>
            <w:vAlign w:val="bottom"/>
          </w:tcPr>
          <w:p>
            <w:pPr>
              <w:ind w:left="60"/>
              <w:spacing w:after="0"/>
              <w:rPr>
                <w:sz w:val="20"/>
                <w:szCs w:val="20"/>
                <w:color w:val="auto"/>
              </w:rPr>
            </w:pPr>
            <w:r>
              <w:rPr>
                <w:rFonts w:ascii="Arial" w:cs="Arial" w:eastAsia="Arial" w:hAnsi="Arial"/>
                <w:sz w:val="16"/>
                <w:szCs w:val="16"/>
                <w:color w:val="auto"/>
              </w:rPr>
              <w:t>​​​</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CC</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00" w:type="dxa"/>
            <w:vAlign w:val="bottom"/>
          </w:tcPr>
          <w:p>
            <w:pPr>
              <w:spacing w:after="0" w:line="67" w:lineRule="exact"/>
              <w:rPr>
                <w:sz w:val="20"/>
                <w:szCs w:val="20"/>
                <w:color w:val="auto"/>
              </w:rPr>
            </w:pPr>
            <w:r>
              <w:rPr>
                <w:rFonts w:ascii="Arial" w:cs="Arial" w:eastAsia="Arial" w:hAnsi="Arial"/>
                <w:sz w:val="7"/>
                <w:szCs w:val="7"/>
                <w:color w:val="auto"/>
              </w:rPr>
              <w:t>Alan S. Batey</w:t>
            </w:r>
          </w:p>
        </w:tc>
        <w:tc>
          <w:tcPr>
            <w:tcW w:w="3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80" w:type="dxa"/>
            <w:vAlign w:val="bottom"/>
          </w:tcPr>
          <w:p>
            <w:pPr>
              <w:ind w:left="160"/>
              <w:spacing w:after="0" w:line="67" w:lineRule="exact"/>
              <w:rPr>
                <w:sz w:val="20"/>
                <w:szCs w:val="20"/>
                <w:color w:val="auto"/>
              </w:rPr>
            </w:pPr>
            <w:r>
              <w:rPr>
                <w:rFonts w:ascii="Arial" w:cs="Arial" w:eastAsia="Arial" w:hAnsi="Arial"/>
                <w:sz w:val="7"/>
                <w:szCs w:val="7"/>
                <w:color w:val="auto"/>
              </w:rPr>
              <w:t>Retired EVP and President of</w:t>
            </w: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North America, General Motors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line="178" w:lineRule="exact"/>
              <w:rPr>
                <w:sz w:val="20"/>
                <w:szCs w:val="20"/>
                <w:color w:val="auto"/>
              </w:rPr>
            </w:pPr>
            <w:r>
              <w:rPr>
                <w:rFonts w:ascii="Arial" w:cs="Arial" w:eastAsia="Arial" w:hAnsi="Arial"/>
                <w:sz w:val="16"/>
                <w:szCs w:val="16"/>
                <w:color w:val="auto"/>
              </w:rPr>
              <w:t>​​ ​</w:t>
            </w:r>
          </w:p>
        </w:tc>
        <w:tc>
          <w:tcPr>
            <w:tcW w:w="2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c>
          <w:tcPr>
            <w:tcW w:w="560" w:type="dxa"/>
            <w:vAlign w:val="bottom"/>
          </w:tcPr>
          <w:p>
            <w:pPr>
              <w:ind w:left="60"/>
              <w:spacing w:after="0" w:line="178" w:lineRule="exact"/>
              <w:rPr>
                <w:sz w:val="20"/>
                <w:szCs w:val="20"/>
                <w:color w:val="auto"/>
              </w:rPr>
            </w:pPr>
            <w:r>
              <w:rPr>
                <w:rFonts w:ascii="Arial" w:cs="Arial" w:eastAsia="Arial" w:hAnsi="Arial"/>
                <w:sz w:val="16"/>
                <w:szCs w:val="16"/>
                <w:color w:val="auto"/>
              </w:rPr>
              <w:t>​</w:t>
            </w:r>
          </w:p>
        </w:tc>
        <w:tc>
          <w:tcPr>
            <w:tcW w:w="2480" w:type="dxa"/>
            <w:vAlign w:val="bottom"/>
          </w:tcPr>
          <w:p>
            <w:pPr>
              <w:ind w:left="60"/>
              <w:spacing w:after="0" w:line="178" w:lineRule="exact"/>
              <w:rPr>
                <w:sz w:val="20"/>
                <w:szCs w:val="20"/>
                <w:color w:val="auto"/>
              </w:rPr>
            </w:pPr>
            <w:r>
              <w:rPr>
                <w:rFonts w:ascii="Arial" w:cs="Arial" w:eastAsia="Arial" w:hAnsi="Arial"/>
                <w:sz w:val="16"/>
                <w:szCs w:val="16"/>
                <w:color w:val="auto"/>
              </w:rPr>
              <w:t>​​​</w:t>
            </w:r>
          </w:p>
        </w:tc>
        <w:tc>
          <w:tcPr>
            <w:tcW w:w="380" w:type="dxa"/>
            <w:vAlign w:val="bottom"/>
          </w:tcPr>
          <w:p>
            <w:pPr>
              <w:ind w:left="60"/>
              <w:spacing w:after="0" w:line="178" w:lineRule="exact"/>
              <w:rPr>
                <w:sz w:val="20"/>
                <w:szCs w:val="20"/>
                <w:color w:val="auto"/>
              </w:rPr>
            </w:pPr>
            <w:r>
              <w:rPr>
                <w:rFonts w:ascii="Arial" w:cs="Arial" w:eastAsia="Arial" w:hAnsi="Arial"/>
                <w:sz w:val="16"/>
                <w:szCs w:val="16"/>
                <w:color w:val="auto"/>
              </w:rPr>
              <w:t>​​</w:t>
            </w:r>
          </w:p>
        </w:tc>
        <w:tc>
          <w:tcPr>
            <w:tcW w:w="60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7"/>
              </w:rPr>
              <w:t>NCGC (C)</w:t>
            </w:r>
          </w:p>
        </w:tc>
        <w:tc>
          <w:tcPr>
            <w:tcW w:w="360" w:type="dxa"/>
            <w:vAlign w:val="bottom"/>
          </w:tcPr>
          <w:p>
            <w:pPr>
              <w:ind w:left="40"/>
              <w:spacing w:after="0" w:line="178" w:lineRule="exact"/>
              <w:rPr>
                <w:sz w:val="20"/>
                <w:szCs w:val="20"/>
                <w:color w:val="auto"/>
              </w:rPr>
            </w:pPr>
            <w:r>
              <w:rPr>
                <w:rFonts w:ascii="Arial" w:cs="Arial" w:eastAsia="Arial" w:hAnsi="Arial"/>
                <w:sz w:val="16"/>
                <w:szCs w:val="16"/>
                <w:color w:val="auto"/>
              </w:rPr>
              <w:t>​​</w:t>
            </w:r>
          </w:p>
        </w:tc>
        <w:tc>
          <w:tcPr>
            <w:tcW w:w="42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4"/>
                <w:szCs w:val="14"/>
                <w:color w:val="auto"/>
              </w:rPr>
              <w:t>Kevin L. Beebe</w:t>
            </w:r>
          </w:p>
        </w:tc>
        <w:tc>
          <w:tcPr>
            <w:tcW w:w="300" w:type="dxa"/>
            <w:vAlign w:val="bottom"/>
          </w:tcPr>
          <w:p>
            <w:pPr>
              <w:spacing w:after="0"/>
              <w:rPr>
                <w:sz w:val="10"/>
                <w:szCs w:val="10"/>
                <w:color w:val="auto"/>
              </w:rPr>
            </w:pPr>
          </w:p>
        </w:tc>
        <w:tc>
          <w:tcPr>
            <w:tcW w:w="280" w:type="dxa"/>
            <w:vAlign w:val="bottom"/>
          </w:tcPr>
          <w:p>
            <w:pPr>
              <w:ind w:left="20"/>
              <w:spacing w:after="0" w:line="121"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4"/>
                <w:szCs w:val="14"/>
                <w:color w:val="auto"/>
              </w:rPr>
              <w:t>​2004​</w:t>
            </w:r>
          </w:p>
        </w:tc>
        <w:tc>
          <w:tcPr>
            <w:tcW w:w="2480" w:type="dxa"/>
            <w:vAlign w:val="bottom"/>
          </w:tcPr>
          <w:p>
            <w:pPr>
              <w:ind w:left="160"/>
              <w:spacing w:after="0" w:line="121" w:lineRule="exact"/>
              <w:rPr>
                <w:sz w:val="20"/>
                <w:szCs w:val="20"/>
                <w:color w:val="auto"/>
              </w:rPr>
            </w:pPr>
            <w:r>
              <w:rPr>
                <w:rFonts w:ascii="Arial" w:cs="Arial" w:eastAsia="Arial" w:hAnsi="Arial"/>
                <w:sz w:val="14"/>
                <w:szCs w:val="14"/>
                <w:color w:val="auto"/>
              </w:rPr>
              <w:t>President and CEO, 2BPartners</w:t>
            </w:r>
          </w:p>
        </w:tc>
        <w:tc>
          <w:tcPr>
            <w:tcW w:w="380" w:type="dxa"/>
            <w:vAlign w:val="bottom"/>
          </w:tcPr>
          <w:p>
            <w:pPr>
              <w:spacing w:after="0"/>
              <w:rPr>
                <w:sz w:val="10"/>
                <w:szCs w:val="10"/>
                <w:color w:val="auto"/>
              </w:rPr>
            </w:pPr>
          </w:p>
        </w:tc>
        <w:tc>
          <w:tcPr>
            <w:tcW w:w="600" w:type="dxa"/>
            <w:vAlign w:val="bottom"/>
          </w:tcPr>
          <w:p>
            <w:pPr>
              <w:ind w:left="220"/>
              <w:spacing w:after="0" w:line="121"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ind w:left="220"/>
              <w:spacing w:after="0" w:line="121" w:lineRule="exact"/>
              <w:rPr>
                <w:sz w:val="20"/>
                <w:szCs w:val="20"/>
                <w:color w:val="auto"/>
              </w:rPr>
            </w:pPr>
            <w:r>
              <w:rPr>
                <w:rFonts w:ascii="Arial" w:cs="Arial" w:eastAsia="Arial" w:hAnsi="Arial"/>
                <w:sz w:val="14"/>
                <w:szCs w:val="14"/>
                <w:color w:val="auto"/>
              </w:rPr>
              <w:t>​ 2​</w:t>
            </w:r>
          </w:p>
        </w:tc>
        <w:tc>
          <w:tcPr>
            <w:tcW w:w="0" w:type="dxa"/>
            <w:vAlign w:val="bottom"/>
          </w:tcPr>
          <w:p>
            <w:pPr>
              <w:spacing w:after="0"/>
              <w:rPr>
                <w:sz w:val="1"/>
                <w:szCs w:val="1"/>
                <w:color w:val="auto"/>
              </w:rPr>
            </w:pPr>
          </w:p>
        </w:tc>
      </w:tr>
      <w:tr>
        <w:trPr>
          <w:trHeight w:val="163"/>
        </w:trPr>
        <w:tc>
          <w:tcPr>
            <w:tcW w:w="18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line="163" w:lineRule="exact"/>
              <w:rPr>
                <w:sz w:val="20"/>
                <w:szCs w:val="20"/>
                <w:color w:val="auto"/>
              </w:rPr>
            </w:pPr>
            <w:r>
              <w:rPr>
                <w:rFonts w:ascii="Arial" w:cs="Arial" w:eastAsia="Arial" w:hAnsi="Arial"/>
                <w:sz w:val="16"/>
                <w:szCs w:val="16"/>
                <w:color w:val="auto"/>
              </w:rPr>
              <w:t>​​ ​</w:t>
            </w:r>
          </w:p>
        </w:tc>
        <w:tc>
          <w:tcPr>
            <w:tcW w:w="2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56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24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60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8"/>
              </w:rPr>
              <w:t>AC</w:t>
            </w:r>
          </w:p>
        </w:tc>
        <w:tc>
          <w:tcPr>
            <w:tcW w:w="3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2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4"/>
                <w:szCs w:val="14"/>
                <w:color w:val="auto"/>
              </w:rPr>
              <w:t>Eric J. Guerin</w:t>
            </w:r>
          </w:p>
        </w:tc>
        <w:tc>
          <w:tcPr>
            <w:tcW w:w="300" w:type="dxa"/>
            <w:vAlign w:val="bottom"/>
          </w:tcPr>
          <w:p>
            <w:pPr>
              <w:spacing w:after="0"/>
              <w:rPr>
                <w:sz w:val="10"/>
                <w:szCs w:val="10"/>
                <w:color w:val="auto"/>
              </w:rPr>
            </w:pPr>
          </w:p>
        </w:tc>
        <w:tc>
          <w:tcPr>
            <w:tcW w:w="280" w:type="dxa"/>
            <w:vAlign w:val="bottom"/>
          </w:tcPr>
          <w:p>
            <w:pPr>
              <w:ind w:left="20"/>
              <w:spacing w:after="0" w:line="121"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4"/>
                <w:szCs w:val="14"/>
                <w:color w:val="auto"/>
              </w:rPr>
              <w:t>​2022​</w:t>
            </w:r>
          </w:p>
        </w:tc>
        <w:tc>
          <w:tcPr>
            <w:tcW w:w="2480" w:type="dxa"/>
            <w:vAlign w:val="bottom"/>
          </w:tcPr>
          <w:p>
            <w:pPr>
              <w:ind w:left="160"/>
              <w:spacing w:after="0" w:line="121" w:lineRule="exact"/>
              <w:rPr>
                <w:sz w:val="20"/>
                <w:szCs w:val="20"/>
                <w:color w:val="auto"/>
              </w:rPr>
            </w:pPr>
            <w:r>
              <w:rPr>
                <w:rFonts w:ascii="Arial" w:cs="Arial" w:eastAsia="Arial" w:hAnsi="Arial"/>
                <w:sz w:val="14"/>
                <w:szCs w:val="14"/>
                <w:color w:val="auto"/>
              </w:rPr>
              <w:t>CFO, RB Global, Inc.</w:t>
            </w:r>
          </w:p>
        </w:tc>
        <w:tc>
          <w:tcPr>
            <w:tcW w:w="380" w:type="dxa"/>
            <w:vAlign w:val="bottom"/>
          </w:tcPr>
          <w:p>
            <w:pPr>
              <w:spacing w:after="0"/>
              <w:rPr>
                <w:sz w:val="10"/>
                <w:szCs w:val="10"/>
                <w:color w:val="auto"/>
              </w:rPr>
            </w:pPr>
          </w:p>
        </w:tc>
        <w:tc>
          <w:tcPr>
            <w:tcW w:w="600" w:type="dxa"/>
            <w:vAlign w:val="bottom"/>
          </w:tcPr>
          <w:p>
            <w:pPr>
              <w:ind w:left="220"/>
              <w:spacing w:after="0" w:line="121"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ind w:left="220"/>
              <w:spacing w:after="0" w:line="12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line="163" w:lineRule="exact"/>
              <w:rPr>
                <w:sz w:val="20"/>
                <w:szCs w:val="20"/>
                <w:color w:val="auto"/>
              </w:rPr>
            </w:pPr>
            <w:r>
              <w:rPr>
                <w:rFonts w:ascii="Arial" w:cs="Arial" w:eastAsia="Arial" w:hAnsi="Arial"/>
                <w:sz w:val="16"/>
                <w:szCs w:val="16"/>
                <w:color w:val="auto"/>
              </w:rPr>
              <w:t>​​ ​</w:t>
            </w:r>
          </w:p>
        </w:tc>
        <w:tc>
          <w:tcPr>
            <w:tcW w:w="2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56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24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60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NCGC</w:t>
            </w:r>
          </w:p>
        </w:tc>
        <w:tc>
          <w:tcPr>
            <w:tcW w:w="3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2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1800" w:type="dxa"/>
            <w:vAlign w:val="bottom"/>
          </w:tcPr>
          <w:p>
            <w:pPr>
              <w:spacing w:after="0" w:line="134" w:lineRule="exact"/>
              <w:rPr>
                <w:sz w:val="20"/>
                <w:szCs w:val="20"/>
                <w:color w:val="auto"/>
              </w:rPr>
            </w:pPr>
            <w:r>
              <w:rPr>
                <w:rFonts w:ascii="Arial" w:cs="Arial" w:eastAsia="Arial" w:hAnsi="Arial"/>
                <w:sz w:val="15"/>
                <w:szCs w:val="15"/>
                <w:color w:val="auto"/>
              </w:rPr>
              <w:t>Suzanne E. McBride</w:t>
            </w:r>
          </w:p>
        </w:tc>
        <w:tc>
          <w:tcPr>
            <w:tcW w:w="300" w:type="dxa"/>
            <w:vAlign w:val="bottom"/>
          </w:tcPr>
          <w:p>
            <w:pPr>
              <w:spacing w:after="0"/>
              <w:rPr>
                <w:sz w:val="11"/>
                <w:szCs w:val="11"/>
                <w:color w:val="auto"/>
              </w:rPr>
            </w:pPr>
          </w:p>
        </w:tc>
        <w:tc>
          <w:tcPr>
            <w:tcW w:w="280" w:type="dxa"/>
            <w:vAlign w:val="bottom"/>
          </w:tcPr>
          <w:p>
            <w:pPr>
              <w:ind w:left="20"/>
              <w:spacing w:after="0" w:line="134" w:lineRule="exact"/>
              <w:rPr>
                <w:sz w:val="20"/>
                <w:szCs w:val="20"/>
                <w:color w:val="auto"/>
              </w:rPr>
            </w:pPr>
            <w:r>
              <w:rPr>
                <w:rFonts w:ascii="Arial" w:cs="Arial" w:eastAsia="Arial" w:hAnsi="Arial"/>
                <w:sz w:val="15"/>
                <w:szCs w:val="15"/>
                <w:color w:val="auto"/>
              </w:rPr>
              <w:t>​56​</w:t>
            </w:r>
          </w:p>
        </w:tc>
        <w:tc>
          <w:tcPr>
            <w:tcW w:w="220" w:type="dxa"/>
            <w:vAlign w:val="bottom"/>
          </w:tcPr>
          <w:p>
            <w:pPr>
              <w:spacing w:after="0"/>
              <w:rPr>
                <w:sz w:val="11"/>
                <w:szCs w:val="11"/>
                <w:color w:val="auto"/>
              </w:rPr>
            </w:pPr>
          </w:p>
        </w:tc>
        <w:tc>
          <w:tcPr>
            <w:tcW w:w="560" w:type="dxa"/>
            <w:vAlign w:val="bottom"/>
          </w:tcPr>
          <w:p>
            <w:pPr>
              <w:ind w:left="60"/>
              <w:spacing w:after="0" w:line="134" w:lineRule="exact"/>
              <w:rPr>
                <w:sz w:val="20"/>
                <w:szCs w:val="20"/>
                <w:color w:val="auto"/>
              </w:rPr>
            </w:pPr>
            <w:r>
              <w:rPr>
                <w:rFonts w:ascii="Arial" w:cs="Arial" w:eastAsia="Arial" w:hAnsi="Arial"/>
                <w:sz w:val="15"/>
                <w:szCs w:val="15"/>
                <w:color w:val="auto"/>
              </w:rPr>
              <w:t>​2022​</w:t>
            </w:r>
          </w:p>
        </w:tc>
        <w:tc>
          <w:tcPr>
            <w:tcW w:w="2480" w:type="dxa"/>
            <w:vAlign w:val="bottom"/>
          </w:tcPr>
          <w:p>
            <w:pPr>
              <w:ind w:left="160"/>
              <w:spacing w:after="0" w:line="134" w:lineRule="exact"/>
              <w:rPr>
                <w:sz w:val="20"/>
                <w:szCs w:val="20"/>
                <w:color w:val="auto"/>
              </w:rPr>
            </w:pPr>
            <w:r>
              <w:rPr>
                <w:rFonts w:ascii="Arial" w:cs="Arial" w:eastAsia="Arial" w:hAnsi="Arial"/>
                <w:sz w:val="15"/>
                <w:szCs w:val="15"/>
                <w:color w:val="auto"/>
              </w:rPr>
              <w:t>COO, Iridium Communications</w:t>
            </w:r>
          </w:p>
        </w:tc>
        <w:tc>
          <w:tcPr>
            <w:tcW w:w="380" w:type="dxa"/>
            <w:vAlign w:val="bottom"/>
          </w:tcPr>
          <w:p>
            <w:pPr>
              <w:spacing w:after="0"/>
              <w:rPr>
                <w:sz w:val="11"/>
                <w:szCs w:val="11"/>
                <w:color w:val="auto"/>
              </w:rPr>
            </w:pPr>
          </w:p>
        </w:tc>
        <w:tc>
          <w:tcPr>
            <w:tcW w:w="600" w:type="dxa"/>
            <w:vAlign w:val="bottom"/>
          </w:tcPr>
          <w:p>
            <w:pPr>
              <w:ind w:left="220"/>
              <w:spacing w:after="0" w:line="134"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220"/>
              <w:spacing w:after="0" w:line="134" w:lineRule="exact"/>
              <w:rPr>
                <w:sz w:val="20"/>
                <w:szCs w:val="20"/>
                <w:color w:val="auto"/>
              </w:rPr>
            </w:pPr>
            <w:r>
              <w:rPr>
                <w:rFonts w:ascii="Arial" w:cs="Arial" w:eastAsia="Arial" w:hAnsi="Arial"/>
                <w:sz w:val="15"/>
                <w:szCs w:val="15"/>
                <w:color w:val="auto"/>
              </w:rPr>
              <w:t>​ 1​</w:t>
            </w:r>
          </w:p>
        </w:tc>
        <w:tc>
          <w:tcPr>
            <w:tcW w:w="0" w:type="dxa"/>
            <w:vAlign w:val="bottom"/>
          </w:tcPr>
          <w:p>
            <w:pPr>
              <w:spacing w:after="0"/>
              <w:rPr>
                <w:sz w:val="1"/>
                <w:szCs w:val="1"/>
                <w:color w:val="auto"/>
              </w:rPr>
            </w:pPr>
          </w:p>
        </w:tc>
      </w:tr>
      <w:tr>
        <w:trPr>
          <w:trHeight w:val="163"/>
        </w:trPr>
        <w:tc>
          <w:tcPr>
            <w:tcW w:w="18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300" w:type="dxa"/>
            <w:vAlign w:val="bottom"/>
          </w:tcPr>
          <w:p>
            <w:pPr>
              <w:ind w:left="200"/>
              <w:spacing w:after="0" w:line="163" w:lineRule="exact"/>
              <w:rPr>
                <w:sz w:val="20"/>
                <w:szCs w:val="20"/>
                <w:color w:val="auto"/>
              </w:rPr>
            </w:pPr>
            <w:r>
              <w:rPr>
                <w:rFonts w:ascii="Arial" w:cs="Arial" w:eastAsia="Arial" w:hAnsi="Arial"/>
                <w:sz w:val="16"/>
                <w:szCs w:val="16"/>
                <w:color w:val="auto"/>
              </w:rPr>
              <w:t>​​</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​64​</w:t>
            </w:r>
          </w:p>
        </w:tc>
        <w:tc>
          <w:tcPr>
            <w:tcW w:w="2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560" w:type="dxa"/>
            <w:vAlign w:val="bottom"/>
            <w:vMerge w:val="restart"/>
          </w:tcPr>
          <w:p>
            <w:pPr>
              <w:ind w:left="60"/>
              <w:spacing w:after="0"/>
              <w:rPr>
                <w:sz w:val="20"/>
                <w:szCs w:val="20"/>
                <w:color w:val="auto"/>
              </w:rPr>
            </w:pPr>
            <w:r>
              <w:rPr>
                <w:rFonts w:ascii="Arial" w:cs="Arial" w:eastAsia="Arial" w:hAnsi="Arial"/>
                <w:sz w:val="16"/>
                <w:szCs w:val="16"/>
                <w:color w:val="auto"/>
              </w:rPr>
              <w:t>​2005​</w:t>
            </w:r>
          </w:p>
        </w:tc>
        <w:tc>
          <w:tcPr>
            <w:tcW w:w="24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9"/>
              </w:rPr>
              <w:t>AC (C), NCGC</w:t>
            </w:r>
          </w:p>
        </w:tc>
        <w:tc>
          <w:tcPr>
            <w:tcW w:w="3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2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00" w:type="dxa"/>
            <w:vAlign w:val="bottom"/>
          </w:tcPr>
          <w:p>
            <w:pPr>
              <w:spacing w:after="0" w:line="67" w:lineRule="exact"/>
              <w:rPr>
                <w:sz w:val="20"/>
                <w:szCs w:val="20"/>
                <w:color w:val="auto"/>
              </w:rPr>
            </w:pPr>
            <w:r>
              <w:rPr>
                <w:rFonts w:ascii="Arial" w:cs="Arial" w:eastAsia="Arial" w:hAnsi="Arial"/>
                <w:sz w:val="7"/>
                <w:szCs w:val="7"/>
                <w:color w:val="auto"/>
              </w:rPr>
              <w:t>David P. McGlade</w:t>
            </w:r>
          </w:p>
        </w:tc>
        <w:tc>
          <w:tcPr>
            <w:tcW w:w="3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80" w:type="dxa"/>
            <w:vAlign w:val="bottom"/>
          </w:tcPr>
          <w:p>
            <w:pPr>
              <w:ind w:left="160"/>
              <w:spacing w:after="0" w:line="67" w:lineRule="exact"/>
              <w:rPr>
                <w:sz w:val="20"/>
                <w:szCs w:val="20"/>
                <w:color w:val="auto"/>
              </w:rPr>
            </w:pPr>
            <w:r>
              <w:rPr>
                <w:rFonts w:ascii="Arial" w:cs="Arial" w:eastAsia="Arial" w:hAnsi="Arial"/>
                <w:sz w:val="7"/>
                <w:szCs w:val="7"/>
                <w:color w:val="auto"/>
              </w:rPr>
              <w:t>Retired Executive Chairman,</w:t>
            </w: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Intelsat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 ​</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ind w:left="60"/>
              <w:spacing w:after="0"/>
              <w:rPr>
                <w:sz w:val="20"/>
                <w:szCs w:val="20"/>
                <w:color w:val="auto"/>
              </w:rPr>
            </w:pPr>
            <w:r>
              <w:rPr>
                <w:rFonts w:ascii="Arial" w:cs="Arial" w:eastAsia="Arial" w:hAnsi="Arial"/>
                <w:sz w:val="16"/>
                <w:szCs w:val="16"/>
                <w:color w:val="auto"/>
              </w:rPr>
              <w:t>​</w:t>
            </w:r>
          </w:p>
        </w:tc>
        <w:tc>
          <w:tcPr>
            <w:tcW w:w="2480" w:type="dxa"/>
            <w:vAlign w:val="bottom"/>
          </w:tcPr>
          <w:p>
            <w:pPr>
              <w:ind w:left="60"/>
              <w:spacing w:after="0"/>
              <w:rPr>
                <w:sz w:val="20"/>
                <w:szCs w:val="20"/>
                <w:color w:val="auto"/>
              </w:rPr>
            </w:pPr>
            <w:r>
              <w:rPr>
                <w:rFonts w:ascii="Arial" w:cs="Arial" w:eastAsia="Arial" w:hAnsi="Arial"/>
                <w:sz w:val="16"/>
                <w:szCs w:val="16"/>
                <w:color w:val="auto"/>
              </w:rPr>
              <w:t>​​​</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9"/>
              </w:rPr>
              <w:t>AC, CC</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00" w:type="dxa"/>
            <w:vAlign w:val="bottom"/>
          </w:tcPr>
          <w:p>
            <w:pPr>
              <w:spacing w:after="0" w:line="148" w:lineRule="exact"/>
              <w:rPr>
                <w:sz w:val="20"/>
                <w:szCs w:val="20"/>
                <w:color w:val="auto"/>
              </w:rPr>
            </w:pPr>
            <w:r>
              <w:rPr>
                <w:rFonts w:ascii="Arial" w:cs="Arial" w:eastAsia="Arial" w:hAnsi="Arial"/>
                <w:sz w:val="16"/>
                <w:szCs w:val="16"/>
                <w:color w:val="auto"/>
              </w:rPr>
              <w:t>Robert A. Schriesheim</w:t>
            </w:r>
          </w:p>
        </w:tc>
        <w:tc>
          <w:tcPr>
            <w:tcW w:w="300" w:type="dxa"/>
            <w:vAlign w:val="bottom"/>
          </w:tcPr>
          <w:p>
            <w:pPr>
              <w:spacing w:after="0"/>
              <w:rPr>
                <w:sz w:val="12"/>
                <w:szCs w:val="12"/>
                <w:color w:val="auto"/>
              </w:rPr>
            </w:pPr>
          </w:p>
        </w:tc>
        <w:tc>
          <w:tcPr>
            <w:tcW w:w="280" w:type="dxa"/>
            <w:vAlign w:val="bottom"/>
          </w:tcPr>
          <w:p>
            <w:pPr>
              <w:ind w:left="20"/>
              <w:spacing w:after="0" w:line="148" w:lineRule="exact"/>
              <w:rPr>
                <w:sz w:val="20"/>
                <w:szCs w:val="20"/>
                <w:color w:val="auto"/>
              </w:rPr>
            </w:pPr>
            <w:r>
              <w:rPr>
                <w:rFonts w:ascii="Arial" w:cs="Arial" w:eastAsia="Arial" w:hAnsi="Arial"/>
                <w:sz w:val="16"/>
                <w:szCs w:val="16"/>
                <w:color w:val="auto"/>
              </w:rPr>
              <w:t>​64​</w:t>
            </w:r>
          </w:p>
        </w:tc>
        <w:tc>
          <w:tcPr>
            <w:tcW w:w="220" w:type="dxa"/>
            <w:vAlign w:val="bottom"/>
          </w:tcPr>
          <w:p>
            <w:pPr>
              <w:spacing w:after="0"/>
              <w:rPr>
                <w:sz w:val="12"/>
                <w:szCs w:val="12"/>
                <w:color w:val="auto"/>
              </w:rPr>
            </w:pPr>
          </w:p>
        </w:tc>
        <w:tc>
          <w:tcPr>
            <w:tcW w:w="560" w:type="dxa"/>
            <w:vAlign w:val="bottom"/>
          </w:tcPr>
          <w:p>
            <w:pPr>
              <w:ind w:left="60"/>
              <w:spacing w:after="0" w:line="148" w:lineRule="exact"/>
              <w:rPr>
                <w:sz w:val="20"/>
                <w:szCs w:val="20"/>
                <w:color w:val="auto"/>
              </w:rPr>
            </w:pPr>
            <w:r>
              <w:rPr>
                <w:rFonts w:ascii="Arial" w:cs="Arial" w:eastAsia="Arial" w:hAnsi="Arial"/>
                <w:sz w:val="16"/>
                <w:szCs w:val="16"/>
                <w:color w:val="auto"/>
              </w:rPr>
              <w:t>​2006​</w:t>
            </w:r>
          </w:p>
        </w:tc>
        <w:tc>
          <w:tcPr>
            <w:tcW w:w="2480" w:type="dxa"/>
            <w:vAlign w:val="bottom"/>
          </w:tcPr>
          <w:p>
            <w:pPr>
              <w:ind w:left="160"/>
              <w:spacing w:after="0" w:line="148" w:lineRule="exact"/>
              <w:rPr>
                <w:sz w:val="20"/>
                <w:szCs w:val="20"/>
                <w:color w:val="auto"/>
              </w:rPr>
            </w:pPr>
            <w:r>
              <w:rPr>
                <w:rFonts w:ascii="Arial" w:cs="Arial" w:eastAsia="Arial" w:hAnsi="Arial"/>
                <w:sz w:val="16"/>
                <w:szCs w:val="16"/>
                <w:color w:val="auto"/>
              </w:rPr>
              <w:t>Chairman, Truax Partners</w:t>
            </w:r>
          </w:p>
        </w:tc>
        <w:tc>
          <w:tcPr>
            <w:tcW w:w="38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ind w:left="220"/>
              <w:spacing w:after="0" w:line="148" w:lineRule="exact"/>
              <w:rPr>
                <w:sz w:val="20"/>
                <w:szCs w:val="20"/>
                <w:color w:val="auto"/>
              </w:rPr>
            </w:pPr>
            <w:r>
              <w:rPr>
                <w:rFonts w:ascii="Arial" w:cs="Arial" w:eastAsia="Arial" w:hAnsi="Arial"/>
                <w:sz w:val="16"/>
                <w:szCs w:val="16"/>
                <w:color w:val="auto"/>
              </w:rPr>
              <w:t>​ 2​</w:t>
            </w:r>
          </w:p>
        </w:tc>
        <w:tc>
          <w:tcPr>
            <w:tcW w:w="0" w:type="dxa"/>
            <w:vAlign w:val="bottom"/>
          </w:tcPr>
          <w:p>
            <w:pPr>
              <w:spacing w:after="0"/>
              <w:rPr>
                <w:sz w:val="1"/>
                <w:szCs w:val="1"/>
                <w:color w:val="auto"/>
              </w:rPr>
            </w:pPr>
          </w:p>
        </w:tc>
      </w:tr>
      <w:tr>
        <w:trPr>
          <w:trHeight w:val="163"/>
        </w:trPr>
        <w:tc>
          <w:tcPr>
            <w:tcW w:w="18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300" w:type="dxa"/>
            <w:vAlign w:val="bottom"/>
          </w:tcPr>
          <w:p>
            <w:pPr>
              <w:ind w:left="200"/>
              <w:spacing w:after="0" w:line="163" w:lineRule="exact"/>
              <w:rPr>
                <w:sz w:val="20"/>
                <w:szCs w:val="20"/>
                <w:color w:val="auto"/>
              </w:rPr>
            </w:pPr>
            <w:r>
              <w:rPr>
                <w:rFonts w:ascii="Arial" w:cs="Arial" w:eastAsia="Arial" w:hAnsi="Arial"/>
                <w:sz w:val="16"/>
                <w:szCs w:val="16"/>
                <w:color w:val="auto"/>
              </w:rPr>
              <w:t>​​</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​59​</w:t>
            </w:r>
          </w:p>
        </w:tc>
        <w:tc>
          <w:tcPr>
            <w:tcW w:w="2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560" w:type="dxa"/>
            <w:vAlign w:val="bottom"/>
            <w:vMerge w:val="restart"/>
          </w:tcPr>
          <w:p>
            <w:pPr>
              <w:ind w:left="60"/>
              <w:spacing w:after="0"/>
              <w:rPr>
                <w:sz w:val="20"/>
                <w:szCs w:val="20"/>
                <w:color w:val="auto"/>
              </w:rPr>
            </w:pPr>
            <w:r>
              <w:rPr>
                <w:rFonts w:ascii="Arial" w:cs="Arial" w:eastAsia="Arial" w:hAnsi="Arial"/>
                <w:sz w:val="16"/>
                <w:szCs w:val="16"/>
                <w:color w:val="auto"/>
              </w:rPr>
              <w:t>​2023​</w:t>
            </w:r>
          </w:p>
        </w:tc>
        <w:tc>
          <w:tcPr>
            <w:tcW w:w="24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NCGC</w:t>
            </w:r>
          </w:p>
        </w:tc>
        <w:tc>
          <w:tcPr>
            <w:tcW w:w="3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20" w:type="dxa"/>
            <w:vAlign w:val="bottom"/>
            <w:vMerge w:val="restart"/>
          </w:tcPr>
          <w:p>
            <w:pPr>
              <w:ind w:left="220"/>
              <w:spacing w:after="0"/>
              <w:rPr>
                <w:sz w:val="20"/>
                <w:szCs w:val="20"/>
                <w:color w:val="auto"/>
              </w:rPr>
            </w:pPr>
            <w:r>
              <w:rPr>
                <w:rFonts w:ascii="Arial" w:cs="Arial" w:eastAsia="Arial" w:hAnsi="Arial"/>
                <w:sz w:val="16"/>
                <w:szCs w:val="16"/>
                <w:color w:val="auto"/>
              </w:rPr>
              <w:t>​ 2​</w:t>
            </w:r>
          </w:p>
        </w:tc>
        <w:tc>
          <w:tcPr>
            <w:tcW w:w="0" w:type="dxa"/>
            <w:vAlign w:val="bottom"/>
          </w:tcPr>
          <w:p>
            <w:pPr>
              <w:spacing w:after="0"/>
              <w:rPr>
                <w:sz w:val="1"/>
                <w:szCs w:val="1"/>
                <w:color w:val="auto"/>
              </w:rPr>
            </w:pPr>
          </w:p>
        </w:tc>
      </w:tr>
      <w:tr>
        <w:trPr>
          <w:trHeight w:val="83"/>
        </w:trPr>
        <w:tc>
          <w:tcPr>
            <w:tcW w:w="1800" w:type="dxa"/>
            <w:vAlign w:val="bottom"/>
          </w:tcPr>
          <w:p>
            <w:pPr>
              <w:spacing w:after="0" w:line="83" w:lineRule="exact"/>
              <w:rPr>
                <w:sz w:val="20"/>
                <w:szCs w:val="20"/>
                <w:color w:val="auto"/>
              </w:rPr>
            </w:pPr>
            <w:r>
              <w:rPr>
                <w:rFonts w:ascii="Arial" w:cs="Arial" w:eastAsia="Arial" w:hAnsi="Arial"/>
                <w:sz w:val="9"/>
                <w:szCs w:val="9"/>
                <w:color w:val="auto"/>
              </w:rPr>
              <w:t>Maryann Turcke</w:t>
            </w:r>
          </w:p>
        </w:tc>
        <w:tc>
          <w:tcPr>
            <w:tcW w:w="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80" w:type="dxa"/>
            <w:vAlign w:val="bottom"/>
          </w:tcPr>
          <w:p>
            <w:pPr>
              <w:ind w:left="160"/>
              <w:spacing w:after="0" w:line="83" w:lineRule="exact"/>
              <w:rPr>
                <w:sz w:val="20"/>
                <w:szCs w:val="20"/>
                <w:color w:val="auto"/>
              </w:rPr>
            </w:pPr>
            <w:r>
              <w:rPr>
                <w:rFonts w:ascii="Arial" w:cs="Arial" w:eastAsia="Arial" w:hAnsi="Arial"/>
                <w:sz w:val="9"/>
                <w:szCs w:val="9"/>
                <w:color w:val="auto"/>
              </w:rPr>
              <w:t>Former Chief Operating Officer,</w:t>
            </w:r>
          </w:p>
        </w:tc>
        <w:tc>
          <w:tcPr>
            <w:tcW w:w="3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-1483360</wp:posOffset>
            </wp:positionV>
            <wp:extent cx="5974715"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3003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-1003300</wp:posOffset>
            </wp:positionV>
            <wp:extent cx="597471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4715"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-643255</wp:posOffset>
            </wp:positionV>
            <wp:extent cx="5974715"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4715" cy="30861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-146050</wp:posOffset>
            </wp:positionV>
            <wp:extent cx="597471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74715" cy="325755"/>
                    </a:xfrm>
                    <a:prstGeom prst="rect">
                      <a:avLst/>
                    </a:prstGeom>
                    <a:noFill/>
                  </pic:spPr>
                </pic:pic>
              </a:graphicData>
            </a:graphic>
          </wp:anchor>
        </w:drawing>
      </w:r>
    </w:p>
    <w:p>
      <w:pPr>
        <w:jc w:val="center"/>
        <w:ind w:left="200"/>
        <w:spacing w:after="0"/>
        <w:rPr>
          <w:sz w:val="20"/>
          <w:szCs w:val="20"/>
          <w:color w:val="auto"/>
        </w:rPr>
      </w:pPr>
      <w:r>
        <w:rPr>
          <w:rFonts w:ascii="Arial" w:cs="Arial" w:eastAsia="Arial" w:hAnsi="Arial"/>
          <w:sz w:val="16"/>
          <w:szCs w:val="16"/>
          <w:color w:val="auto"/>
        </w:rPr>
        <w:t>National Football League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62230</wp:posOffset>
            </wp:positionV>
            <wp:extent cx="59747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87" w:lineRule="exact"/>
        <w:rPr>
          <w:sz w:val="20"/>
          <w:szCs w:val="20"/>
          <w:color w:val="auto"/>
        </w:rPr>
      </w:pPr>
    </w:p>
    <w:p>
      <w:pPr>
        <w:ind w:left="720"/>
        <w:spacing w:after="0" w:line="274" w:lineRule="auto"/>
        <w:rPr>
          <w:sz w:val="20"/>
          <w:szCs w:val="20"/>
          <w:color w:val="auto"/>
        </w:rPr>
      </w:pPr>
      <w:r>
        <w:rPr>
          <w:rFonts w:ascii="Arial" w:cs="Arial" w:eastAsia="Arial" w:hAnsi="Arial"/>
          <w:sz w:val="16"/>
          <w:szCs w:val="16"/>
          <w:i w:val="1"/>
          <w:iCs w:val="1"/>
          <w:color w:val="404040"/>
        </w:rPr>
        <w:t>“AC” indicates Audit Committee, “CC” indicates Compensation Committee, “NCGC” indicates Nominating and Corporate Governance Committee, and “(C)” indicates Committee Chair. Three of the director nominees are female and one is African-American or Black.</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266" w:lineRule="exact"/>
        <w:rPr>
          <w:sz w:val="20"/>
          <w:szCs w:val="20"/>
          <w:color w:val="auto"/>
        </w:rPr>
      </w:pPr>
    </w:p>
    <w:p>
      <w:pPr>
        <w:sectPr>
          <w:pgSz w:w="11900" w:h="16838" w:orient="portrait"/>
          <w:cols w:equalWidth="0" w:num="2">
            <w:col w:w="9620" w:space="380"/>
            <w:col w:w="100"/>
          </w:cols>
          <w:pgMar w:left="580" w:top="97" w:right="1219" w:bottom="1440" w:gutter="0" w:footer="0" w:header="0"/>
          <w:type w:val="continuous"/>
        </w:sectPr>
      </w:pPr>
    </w:p>
    <w:p>
      <w:pPr>
        <w:ind w:left="660" w:right="140"/>
        <w:spacing w:after="0" w:line="264" w:lineRule="auto"/>
        <w:rPr>
          <w:sz w:val="20"/>
          <w:szCs w:val="20"/>
          <w:color w:val="auto"/>
        </w:rPr>
      </w:pPr>
      <w:r>
        <w:rPr>
          <w:rFonts w:ascii="Arial" w:cs="Arial" w:eastAsia="Arial" w:hAnsi="Arial"/>
          <w:sz w:val="20"/>
          <w:szCs w:val="20"/>
          <w:color w:val="auto"/>
        </w:rPr>
        <w:t>The nine director nominees standing for reelection to the Board have diverse backgrounds, skills, and experiences. We believe their varied backgrounds, skills, and experiences contribute to an effective and well-balanced Board that is able to provide valuable insight to, and effective oversight of, our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142875</wp:posOffset>
            </wp:positionV>
            <wp:extent cx="3600450" cy="1534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045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140"/>
        <w:spacing w:after="0" w:line="286" w:lineRule="auto"/>
        <w:rPr>
          <w:sz w:val="20"/>
          <w:szCs w:val="20"/>
          <w:color w:val="auto"/>
        </w:rPr>
      </w:pPr>
      <w:r>
        <w:rPr>
          <w:rFonts w:ascii="Arial" w:cs="Arial" w:eastAsia="Arial" w:hAnsi="Arial"/>
          <w:sz w:val="20"/>
          <w:szCs w:val="20"/>
          <w:color w:val="auto"/>
        </w:rPr>
        <w:t>The Company has a proven track record of sound and effective corporate governance practices and policies, including those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68580</wp:posOffset>
            </wp:positionV>
            <wp:extent cx="5974715"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471805"/>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9940" w:val="left"/>
        </w:tabs>
        <w:rPr>
          <w:sz w:val="20"/>
          <w:szCs w:val="20"/>
          <w:color w:val="auto"/>
        </w:rPr>
      </w:pPr>
      <w:r>
        <w:rPr>
          <w:rFonts w:ascii="Arial" w:cs="Arial" w:eastAsia="Arial" w:hAnsi="Arial"/>
          <w:sz w:val="18"/>
          <w:szCs w:val="18"/>
          <w:b w:val="1"/>
          <w:bCs w:val="1"/>
          <w:color w:val="FFFFFF"/>
        </w:rPr>
        <w:t>​ Corporate Governance Best Practices</w:t>
      </w:r>
      <w:r>
        <w:rPr>
          <w:sz w:val="20"/>
          <w:szCs w:val="20"/>
          <w:color w:val="auto"/>
        </w:rPr>
        <w:tab/>
      </w:r>
      <w:r>
        <w:rPr>
          <w:rFonts w:ascii="Arial" w:cs="Arial" w:eastAsia="Arial" w:hAnsi="Arial"/>
          <w:sz w:val="18"/>
          <w:szCs w:val="18"/>
          <w:b w:val="1"/>
          <w:bCs w:val="1"/>
          <w:color w:val="FFFFFF"/>
        </w:rPr>
        <w:t>​</w:t>
      </w:r>
    </w:p>
    <w:p>
      <w:pPr>
        <w:sectPr>
          <w:pgSz w:w="11900" w:h="16838" w:orient="portrait"/>
          <w:cols w:equalWidth="0" w:num="1">
            <w:col w:w="10100"/>
          </w:cols>
          <w:pgMar w:left="580" w:top="97" w:right="1219" w:bottom="1440" w:gutter="0" w:footer="0" w:header="0"/>
        </w:sectPr>
      </w:pPr>
    </w:p>
    <w:p>
      <w:pPr>
        <w:spacing w:after="0" w:line="176" w:lineRule="exact"/>
        <w:rPr>
          <w:sz w:val="20"/>
          <w:szCs w:val="20"/>
          <w:color w:val="auto"/>
        </w:rPr>
      </w:pPr>
    </w:p>
    <w:p>
      <w:pPr>
        <w:ind w:left="780" w:hanging="126"/>
        <w:spacing w:after="0"/>
        <w:tabs>
          <w:tab w:leader="none" w:pos="78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0075A8"/>
        </w:rPr>
        <w:t>Annually Elected Directors</w:t>
      </w:r>
    </w:p>
    <w:p>
      <w:pPr>
        <w:spacing w:after="0" w:line="194" w:lineRule="exact"/>
        <w:rPr>
          <w:rFonts w:ascii="Arial" w:cs="Arial" w:eastAsia="Arial" w:hAnsi="Arial"/>
          <w:sz w:val="16"/>
          <w:szCs w:val="16"/>
          <w:b w:val="1"/>
          <w:bCs w:val="1"/>
          <w:color w:val="auto"/>
        </w:rPr>
      </w:pPr>
    </w:p>
    <w:p>
      <w:pPr>
        <w:ind w:left="760" w:hanging="106"/>
        <w:spacing w:after="0"/>
        <w:tabs>
          <w:tab w:leader="none" w:pos="7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0075A8"/>
        </w:rPr>
        <w:t>Majority Vote Standard</w:t>
      </w:r>
    </w:p>
    <w:p>
      <w:pPr>
        <w:spacing w:after="0" w:line="315" w:lineRule="exact"/>
        <w:rPr>
          <w:rFonts w:ascii="Arial" w:cs="Arial" w:eastAsia="Arial" w:hAnsi="Arial"/>
          <w:sz w:val="16"/>
          <w:szCs w:val="16"/>
          <w:b w:val="1"/>
          <w:bCs w:val="1"/>
          <w:color w:val="auto"/>
        </w:rPr>
      </w:pPr>
    </w:p>
    <w:p>
      <w:pPr>
        <w:ind w:left="780" w:hanging="1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75A8"/>
        </w:rPr>
        <w:t>Board Leadership</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00" w:type="dxa"/>
            <w:vAlign w:val="bottom"/>
          </w:tcPr>
          <w:p>
            <w:pPr>
              <w:ind w:left="40"/>
              <w:spacing w:after="0"/>
              <w:rPr>
                <w:sz w:val="20"/>
                <w:szCs w:val="20"/>
                <w:color w:val="auto"/>
              </w:rPr>
            </w:pPr>
            <w:r>
              <w:rPr>
                <w:rFonts w:ascii="Arial" w:cs="Arial" w:eastAsia="Arial" w:hAnsi="Arial"/>
                <w:sz w:val="16"/>
                <w:szCs w:val="16"/>
                <w:color w:val="auto"/>
              </w:rPr>
              <w:t>All of our directors are elected annually</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r>
      <w:tr>
        <w:trPr>
          <w:trHeight w:val="357"/>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00" w:type="dxa"/>
            <w:vAlign w:val="bottom"/>
          </w:tcPr>
          <w:p>
            <w:pPr>
              <w:ind w:left="20"/>
              <w:spacing w:after="0"/>
              <w:rPr>
                <w:sz w:val="20"/>
                <w:szCs w:val="20"/>
                <w:color w:val="auto"/>
              </w:rPr>
            </w:pPr>
            <w:r>
              <w:rPr>
                <w:rFonts w:ascii="Arial" w:cs="Arial" w:eastAsia="Arial" w:hAnsi="Arial"/>
                <w:sz w:val="16"/>
                <w:szCs w:val="16"/>
                <w:color w:val="auto"/>
              </w:rPr>
              <w:t>In uncontested elections, directors are elected by a majority of votes cast</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r>
      <w:tr>
        <w:trPr>
          <w:trHeight w:val="285"/>
        </w:trPr>
        <w:tc>
          <w:tcPr>
            <w:tcW w:w="18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6"/>
                <w:szCs w:val="16"/>
                <w:color w:val="auto"/>
              </w:rPr>
              <w:t>Our current Board Chairman is independent. At times when the Chairman is not</w:t>
            </w:r>
          </w:p>
        </w:tc>
        <w:tc>
          <w:tcPr>
            <w:tcW w:w="140" w:type="dxa"/>
            <w:vAlign w:val="bottom"/>
          </w:tcPr>
          <w:p>
            <w:pPr>
              <w:spacing w:after="0"/>
              <w:rPr>
                <w:sz w:val="24"/>
                <w:szCs w:val="24"/>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6"/>
                <w:szCs w:val="16"/>
                <w:color w:val="auto"/>
              </w:rPr>
              <w:t>​ ​ independent, the Board selects a lead independent director with a robust set of duties</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6"/>
                <w:szCs w:val="16"/>
                <w:color w:val="auto"/>
              </w:rPr>
              <w:t>set forth in our corporate governance guidelines</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-409575</wp:posOffset>
            </wp:positionV>
            <wp:extent cx="5974715" cy="420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42037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2860" w:space="720"/>
            <w:col w:w="6520"/>
          </w:cols>
          <w:pgMar w:left="580" w:top="97" w:right="1219" w:bottom="1440" w:gutter="0" w:footer="0" w:header="0"/>
          <w:type w:val="continuous"/>
        </w:sectPr>
      </w:pPr>
    </w:p>
    <w:p>
      <w:pPr>
        <w:spacing w:after="0" w:line="81" w:lineRule="exact"/>
        <w:rPr>
          <w:sz w:val="20"/>
          <w:szCs w:val="20"/>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Executive Sessions</w:t>
      </w:r>
    </w:p>
    <w:p>
      <w:pPr>
        <w:spacing w:after="0" w:line="248" w:lineRule="exact"/>
        <w:rPr>
          <w:rFonts w:ascii="Arial" w:cs="Arial" w:eastAsia="Arial" w:hAnsi="Arial"/>
          <w:sz w:val="16"/>
          <w:szCs w:val="16"/>
          <w:color w:val="auto"/>
        </w:rPr>
      </w:pPr>
    </w:p>
    <w:p>
      <w:pPr>
        <w:ind w:left="760" w:hanging="106"/>
        <w:spacing w:after="0"/>
        <w:tabs>
          <w:tab w:leader="none" w:pos="7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75A8"/>
        </w:rPr>
        <w:t>Independent Board Committees</w:t>
      </w:r>
    </w:p>
    <w:p>
      <w:pPr>
        <w:spacing w:after="0" w:line="207" w:lineRule="exact"/>
        <w:rPr>
          <w:rFonts w:ascii="Arial" w:cs="Arial" w:eastAsia="Arial" w:hAnsi="Arial"/>
          <w:sz w:val="16"/>
          <w:szCs w:val="16"/>
          <w:b w:val="1"/>
          <w:bCs w:val="1"/>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Board Refreshment</w:t>
      </w:r>
    </w:p>
    <w:p>
      <w:pPr>
        <w:spacing w:after="0" w:line="275" w:lineRule="exact"/>
        <w:rPr>
          <w:rFonts w:ascii="Arial" w:cs="Arial" w:eastAsia="Arial" w:hAnsi="Arial"/>
          <w:sz w:val="16"/>
          <w:szCs w:val="16"/>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Risk Assessment</w:t>
      </w:r>
    </w:p>
    <w:p>
      <w:pPr>
        <w:spacing w:after="0" w:line="369" w:lineRule="exact"/>
        <w:rPr>
          <w:rFonts w:ascii="Arial" w:cs="Arial" w:eastAsia="Arial" w:hAnsi="Arial"/>
          <w:sz w:val="16"/>
          <w:szCs w:val="16"/>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Annual Board Assessment</w:t>
      </w:r>
    </w:p>
    <w:p>
      <w:pPr>
        <w:spacing w:after="0" w:line="369" w:lineRule="exact"/>
        <w:rPr>
          <w:rFonts w:ascii="Arial" w:cs="Arial" w:eastAsia="Arial" w:hAnsi="Arial"/>
          <w:sz w:val="16"/>
          <w:szCs w:val="16"/>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Executive Succession Planning</w:t>
      </w:r>
    </w:p>
    <w:p>
      <w:pPr>
        <w:spacing w:after="0" w:line="248" w:lineRule="exact"/>
        <w:rPr>
          <w:rFonts w:ascii="Arial" w:cs="Arial" w:eastAsia="Arial" w:hAnsi="Arial"/>
          <w:sz w:val="16"/>
          <w:szCs w:val="16"/>
          <w:color w:val="auto"/>
        </w:rPr>
      </w:pPr>
    </w:p>
    <w:p>
      <w:pPr>
        <w:ind w:left="760" w:hanging="106"/>
        <w:spacing w:after="0"/>
        <w:tabs>
          <w:tab w:leader="none" w:pos="7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75A8"/>
        </w:rPr>
        <w:t>No “Poison Pill”</w:t>
      </w:r>
    </w:p>
    <w:p>
      <w:pPr>
        <w:spacing w:after="0" w:line="207" w:lineRule="exact"/>
        <w:rPr>
          <w:rFonts w:ascii="Arial" w:cs="Arial" w:eastAsia="Arial" w:hAnsi="Arial"/>
          <w:sz w:val="16"/>
          <w:szCs w:val="16"/>
          <w:b w:val="1"/>
          <w:bCs w:val="1"/>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Stock Ownership Requirements</w:t>
      </w:r>
    </w:p>
    <w:p>
      <w:pPr>
        <w:spacing w:after="0" w:line="234" w:lineRule="exact"/>
        <w:rPr>
          <w:rFonts w:ascii="Arial" w:cs="Arial" w:eastAsia="Arial" w:hAnsi="Arial"/>
          <w:sz w:val="16"/>
          <w:szCs w:val="16"/>
          <w:color w:val="auto"/>
        </w:rPr>
      </w:pPr>
    </w:p>
    <w:p>
      <w:pPr>
        <w:ind w:left="760" w:hanging="106"/>
        <w:spacing w:after="0"/>
        <w:tabs>
          <w:tab w:leader="none" w:pos="7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75A8"/>
        </w:rPr>
        <w:t>Prohibition on Pledging</w:t>
      </w:r>
    </w:p>
    <w:p>
      <w:pPr>
        <w:spacing w:after="0" w:line="207" w:lineRule="exact"/>
        <w:rPr>
          <w:rFonts w:ascii="Arial" w:cs="Arial" w:eastAsia="Arial" w:hAnsi="Arial"/>
          <w:sz w:val="16"/>
          <w:szCs w:val="16"/>
          <w:b w:val="1"/>
          <w:bCs w:val="1"/>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Special Meeting Right</w:t>
      </w:r>
    </w:p>
    <w:p>
      <w:pPr>
        <w:spacing w:after="0" w:line="261" w:lineRule="exact"/>
        <w:rPr>
          <w:rFonts w:ascii="Arial" w:cs="Arial" w:eastAsia="Arial" w:hAnsi="Arial"/>
          <w:sz w:val="16"/>
          <w:szCs w:val="16"/>
          <w:color w:val="auto"/>
        </w:rPr>
      </w:pPr>
    </w:p>
    <w:p>
      <w:pPr>
        <w:ind w:left="780" w:hanging="1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0075A8"/>
        </w:rPr>
        <w:t>Proxy Access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Our independent directors regularly meet in executive sessions without management,</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with the Chairman or Lead Independent Director presiding</w:t>
            </w:r>
          </w:p>
        </w:tc>
        <w:tc>
          <w:tcPr>
            <w:tcW w:w="60" w:type="dxa"/>
            <w:vAlign w:val="bottom"/>
          </w:tcPr>
          <w:p>
            <w:pPr>
              <w:spacing w:after="0"/>
              <w:rPr>
                <w:sz w:val="18"/>
                <w:szCs w:val="18"/>
                <w:color w:val="auto"/>
              </w:rPr>
            </w:pPr>
          </w:p>
        </w:tc>
      </w:tr>
      <w:tr>
        <w:trPr>
          <w:trHeight w:val="294"/>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All members of the Board’s three standing committees are independent directors</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r>
        <w:trPr>
          <w:trHeight w:val="314"/>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Our Board regularly takes steps to refresh its membership, including adding four new</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directors since 2022</w:t>
            </w:r>
          </w:p>
        </w:tc>
        <w:tc>
          <w:tcPr>
            <w:tcW w:w="60" w:type="dxa"/>
            <w:vAlign w:val="bottom"/>
          </w:tcPr>
          <w:p>
            <w:pPr>
              <w:spacing w:after="0"/>
              <w:rPr>
                <w:sz w:val="18"/>
                <w:szCs w:val="18"/>
                <w:color w:val="auto"/>
              </w:rPr>
            </w:pPr>
          </w:p>
        </w:tc>
      </w:tr>
      <w:tr>
        <w:trPr>
          <w:trHeight w:val="244"/>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w w:val="99"/>
              </w:rPr>
              <w:t>Our Board and its committees regularly review management’s processes for identifying,</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assessing, and managing risks</w:t>
            </w:r>
          </w:p>
        </w:tc>
        <w:tc>
          <w:tcPr>
            <w:tcW w:w="60" w:type="dxa"/>
            <w:vAlign w:val="bottom"/>
          </w:tcPr>
          <w:p>
            <w:pPr>
              <w:spacing w:after="0"/>
              <w:rPr>
                <w:sz w:val="18"/>
                <w:szCs w:val="18"/>
                <w:color w:val="auto"/>
              </w:rPr>
            </w:pPr>
          </w:p>
        </w:tc>
      </w:tr>
      <w:tr>
        <w:trPr>
          <w:trHeight w:val="339"/>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w w:val="99"/>
              </w:rPr>
              <w:t>The Nominating and Corporate Governance Committee oversees an annual evaluation</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of the effectiveness of the Board, each committee, and individual directors</w:t>
            </w:r>
          </w:p>
        </w:tc>
        <w:tc>
          <w:tcPr>
            <w:tcW w:w="60" w:type="dxa"/>
            <w:vAlign w:val="bottom"/>
          </w:tcPr>
          <w:p>
            <w:pPr>
              <w:spacing w:after="0"/>
              <w:rPr>
                <w:sz w:val="18"/>
                <w:szCs w:val="18"/>
                <w:color w:val="auto"/>
              </w:rPr>
            </w:pPr>
          </w:p>
        </w:tc>
      </w:tr>
      <w:tr>
        <w:trPr>
          <w:trHeight w:val="339"/>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The Board periodically reviews and approves the executive succession plan in</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consultation with the Compensation Committee and the Chief Executive Officer</w:t>
            </w:r>
          </w:p>
        </w:tc>
        <w:tc>
          <w:tcPr>
            <w:tcW w:w="60" w:type="dxa"/>
            <w:vAlign w:val="bottom"/>
          </w:tcPr>
          <w:p>
            <w:pPr>
              <w:spacing w:after="0"/>
              <w:rPr>
                <w:sz w:val="18"/>
                <w:szCs w:val="18"/>
                <w:color w:val="auto"/>
              </w:rPr>
            </w:pPr>
          </w:p>
        </w:tc>
      </w:tr>
      <w:tr>
        <w:trPr>
          <w:trHeight w:val="295"/>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The Board has not adopted a “poison pill”</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r>
        <w:trPr>
          <w:trHeight w:val="405"/>
        </w:trPr>
        <w:tc>
          <w:tcPr>
            <w:tcW w:w="6360" w:type="dxa"/>
            <w:vAlign w:val="bottom"/>
            <w:gridSpan w:val="2"/>
          </w:tcPr>
          <w:p>
            <w:pPr>
              <w:spacing w:after="0"/>
              <w:rPr>
                <w:sz w:val="20"/>
                <w:szCs w:val="20"/>
                <w:color w:val="auto"/>
              </w:rPr>
            </w:pPr>
            <w:r>
              <w:rPr>
                <w:rFonts w:ascii="Arial" w:cs="Arial" w:eastAsia="Arial" w:hAnsi="Arial"/>
                <w:sz w:val="16"/>
                <w:szCs w:val="16"/>
                <w:color w:val="auto"/>
              </w:rPr>
              <w:t>​ ​ All directors and executive officers are subject to robust stock ownership requirements</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405"/>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We prohibit our directors and employees from pledging Company securities</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-2218055</wp:posOffset>
            </wp:positionV>
            <wp:extent cx="5974715" cy="231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23114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-1695450</wp:posOffset>
            </wp:positionV>
            <wp:extent cx="597471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291465"/>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-992505</wp:posOffset>
            </wp:positionV>
            <wp:extent cx="5974715"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291465"/>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-469265</wp:posOffset>
            </wp:positionV>
            <wp:extent cx="5974715" cy="282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282575"/>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44450</wp:posOffset>
            </wp:positionV>
            <wp:extent cx="5974715"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74715" cy="28257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240" w:type="dxa"/>
            <w:vAlign w:val="bottom"/>
            <w:gridSpan w:val="2"/>
          </w:tcPr>
          <w:p>
            <w:pPr>
              <w:ind w:left="20"/>
              <w:spacing w:after="0"/>
              <w:rPr>
                <w:sz w:val="20"/>
                <w:szCs w:val="20"/>
                <w:color w:val="auto"/>
              </w:rPr>
            </w:pPr>
            <w:r>
              <w:rPr>
                <w:rFonts w:ascii="Arial" w:cs="Arial" w:eastAsia="Arial" w:hAnsi="Arial"/>
                <w:sz w:val="16"/>
                <w:szCs w:val="16"/>
                <w:color w:val="auto"/>
                <w:w w:val="99"/>
              </w:rPr>
              <w:t>Our stockholders have the right to call a special meeting of the Company’s stockholders ​</w:t>
            </w:r>
          </w:p>
        </w:tc>
      </w:tr>
      <w:tr>
        <w:trPr>
          <w:trHeight w:val="355"/>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080" w:type="dxa"/>
            <w:vAlign w:val="bottom"/>
          </w:tcPr>
          <w:p>
            <w:pPr>
              <w:ind w:left="20"/>
              <w:spacing w:after="0"/>
              <w:rPr>
                <w:sz w:val="20"/>
                <w:szCs w:val="20"/>
                <w:color w:val="auto"/>
              </w:rPr>
            </w:pPr>
            <w:r>
              <w:rPr>
                <w:rFonts w:ascii="Arial" w:cs="Arial" w:eastAsia="Arial" w:hAnsi="Arial"/>
                <w:sz w:val="16"/>
                <w:szCs w:val="16"/>
                <w:color w:val="auto"/>
              </w:rPr>
              <w:t>Eligible stockholders may nominate their own director nominees to be included in the</w:t>
            </w:r>
          </w:p>
        </w:tc>
        <w:tc>
          <w:tcPr>
            <w:tcW w:w="16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Company’s proxy materials</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0</wp:posOffset>
            </wp:positionV>
            <wp:extent cx="597471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360"/>
            <w:col w:w="6520"/>
          </w:cols>
          <w:pgMar w:left="580" w:top="97" w:right="1219" w:bottom="1440" w:gutter="0" w:footer="0" w:header="0"/>
          <w:type w:val="continuous"/>
        </w:sectPr>
      </w:pPr>
    </w:p>
    <w:p>
      <w:pPr>
        <w:spacing w:after="0" w:line="106" w:lineRule="exact"/>
        <w:rPr>
          <w:sz w:val="20"/>
          <w:szCs w:val="20"/>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Regular Stockholder Engagement</w:t>
      </w:r>
    </w:p>
    <w:p>
      <w:pPr>
        <w:spacing w:after="0" w:line="383" w:lineRule="exact"/>
        <w:rPr>
          <w:rFonts w:ascii="Arial" w:cs="Arial" w:eastAsia="Arial" w:hAnsi="Arial"/>
          <w:sz w:val="16"/>
          <w:szCs w:val="16"/>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Director Commitments</w:t>
      </w:r>
    </w:p>
    <w:p>
      <w:pPr>
        <w:spacing w:after="0" w:line="20" w:lineRule="exact"/>
        <w:rPr>
          <w:sz w:val="20"/>
          <w:szCs w:val="20"/>
          <w:color w:val="auto"/>
        </w:rPr>
      </w:pPr>
      <w:r>
        <w:rPr>
          <w:sz w:val="20"/>
          <w:szCs w:val="20"/>
          <w:color w:val="auto"/>
        </w:rPr>
        <w:br w:type="column"/>
      </w:r>
    </w:p>
    <w:p>
      <w:pPr>
        <w:ind w:left="210" w:right="40" w:hanging="210"/>
        <w:spacing w:after="0" w:line="192" w:lineRule="auto"/>
        <w:tabs>
          <w:tab w:leader="none" w:pos="102" w:val="left"/>
        </w:tabs>
        <w:numPr>
          <w:ilvl w:val="0"/>
          <w:numId w:val="18"/>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We regularly conduct outreach to our stockholders to understand their perspectives on various matters</w:t>
      </w:r>
    </w:p>
    <w:p>
      <w:pPr>
        <w:spacing w:after="0" w:line="43" w:lineRule="exact"/>
        <w:rPr>
          <w:sz w:val="20"/>
          <w:szCs w:val="20"/>
          <w:color w:val="auto"/>
        </w:rPr>
      </w:pPr>
    </w:p>
    <w:p>
      <w:pPr>
        <w:ind w:left="210"/>
        <w:spacing w:after="0"/>
        <w:rPr>
          <w:sz w:val="20"/>
          <w:szCs w:val="20"/>
          <w:color w:val="auto"/>
        </w:rPr>
      </w:pPr>
      <w:r>
        <w:rPr>
          <w:rFonts w:ascii="Arial" w:cs="Arial" w:eastAsia="Arial" w:hAnsi="Arial"/>
          <w:sz w:val="16"/>
          <w:szCs w:val="16"/>
          <w:color w:val="auto"/>
        </w:rPr>
        <w:t>All directors are subject to our policy on director public company board commitments</w:t>
      </w:r>
    </w:p>
    <w:p>
      <w:pPr>
        <w:spacing w:after="0" w:line="21" w:lineRule="exact"/>
        <w:rPr>
          <w:sz w:val="20"/>
          <w:szCs w:val="20"/>
          <w:color w:val="auto"/>
        </w:rPr>
      </w:pPr>
    </w:p>
    <w:p>
      <w:pPr>
        <w:ind w:left="210" w:hanging="210"/>
        <w:spacing w:after="0" w:line="300" w:lineRule="auto"/>
        <w:tabs>
          <w:tab w:leader="none" w:pos="1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and annual review by the Nominating and Corporate Governance Committee regarding those commitments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1" w:lineRule="exact"/>
        <w:rPr>
          <w:sz w:val="20"/>
          <w:szCs w:val="20"/>
          <w:color w:val="auto"/>
        </w:rPr>
      </w:pPr>
    </w:p>
    <w:p>
      <w:pPr>
        <w:sectPr>
          <w:pgSz w:w="11900" w:h="16838" w:orient="portrait"/>
          <w:cols w:equalWidth="0" w:num="3">
            <w:col w:w="3380" w:space="190"/>
            <w:col w:w="6310" w:space="80"/>
            <w:col w:w="14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60"/>
        <w:spacing w:after="0" w:line="258" w:lineRule="auto"/>
        <w:rPr>
          <w:sz w:val="20"/>
          <w:szCs w:val="20"/>
          <w:color w:val="auto"/>
        </w:rPr>
      </w:pPr>
      <w:r>
        <w:rPr>
          <w:rFonts w:ascii="Arial" w:cs="Arial" w:eastAsia="Arial" w:hAnsi="Arial"/>
          <w:sz w:val="20"/>
          <w:szCs w:val="20"/>
          <w:color w:val="auto"/>
        </w:rPr>
        <w:t>Under our pay-for-performance philosophy, we believe that executive compensation should be strongly aligned with the interests of our long-term stockholders. As a result, a substantial portion of the annual compensation for each of our Chief Executive Officer, our Chief Financial Officer, and our three next most highly paid executive officers during fiscal year 2024, as determined under the rules of the SEC (the “Named Executive Officers”) is tied to Company performance and stock price performance. The charts below show the target total direct compensation mix for fiscal year 2024 for our Chief Executive Officer and the average for the other Named Executive Officers, in each case reflecting actual salary, target short-term incentive award, and the grant date fair value of long-term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154940</wp:posOffset>
            </wp:positionV>
            <wp:extent cx="5151755" cy="2468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517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60"/>
        <w:spacing w:after="0" w:line="257" w:lineRule="auto"/>
        <w:rPr>
          <w:sz w:val="20"/>
          <w:szCs w:val="20"/>
          <w:color w:val="auto"/>
        </w:rPr>
      </w:pPr>
      <w:r>
        <w:rPr>
          <w:rFonts w:ascii="Arial" w:cs="Arial" w:eastAsia="Arial" w:hAnsi="Arial"/>
          <w:sz w:val="20"/>
          <w:szCs w:val="20"/>
          <w:color w:val="auto"/>
        </w:rPr>
        <w:t>Engagement with the Company’s stockholders is a critical part of our commitment to good corporate governance, and we regularly conduct outreach to our stockholders to understand their perspectives on various matters. Most recently, we engaged in formal stockholder outreach following the 2024 Annual Meeting of Stockholders (the “2024 Annual Meeting”) and through January 2025. We contacted twenty of our largest institutional stockholders representing approximately 54% of the Company’s shares outstanding. Stockholders representing approximately 44% of the Company’s shares outstanding responded to the outreach, and we held engagement meetings with those stockholders who wanted to meet, representing approximately 36% of the Company’s outstanding shares. Our Chairman of the Board, who was then serving as Lead Independent Director, also participated in select engagement.</w:t>
      </w:r>
    </w:p>
    <w:p>
      <w:pPr>
        <w:spacing w:after="0" w:line="230" w:lineRule="exact"/>
        <w:rPr>
          <w:sz w:val="20"/>
          <w:szCs w:val="20"/>
          <w:color w:val="auto"/>
        </w:rPr>
      </w:pPr>
    </w:p>
    <w:p>
      <w:pPr>
        <w:ind w:left="660"/>
        <w:spacing w:after="0"/>
        <w:tabs>
          <w:tab w:leader="none" w:pos="3460" w:val="left"/>
          <w:tab w:leader="none" w:pos="7000" w:val="left"/>
          <w:tab w:leader="none" w:pos="10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-118745</wp:posOffset>
            </wp:positionV>
            <wp:extent cx="5966460" cy="2220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right="160"/>
        <w:spacing w:after="0" w:line="260" w:lineRule="auto"/>
        <w:rPr>
          <w:sz w:val="20"/>
          <w:szCs w:val="20"/>
          <w:color w:val="auto"/>
        </w:rPr>
      </w:pPr>
      <w:r>
        <w:rPr>
          <w:rFonts w:ascii="Arial" w:cs="Arial" w:eastAsia="Arial" w:hAnsi="Arial"/>
          <w:sz w:val="20"/>
          <w:szCs w:val="20"/>
          <w:color w:val="auto"/>
        </w:rPr>
        <w:t>Topics of conversation in the engagement meetings included executive compensation, our corporate governance practices, Board composition and skills, our sustainability accomplishments and progress, our efforts to eliminate the supermajority vote provisions from our Restated Certificate of Incorporation, and other topics, with many stockholders expressing approval of the Company’s demonstrated history of robust disclosure and stockholder responsiveness, including relating to compensation policies and plan designs. A summary of the stockholder engagement was provided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sectPr>
      </w:pPr>
    </w:p>
    <w:bookmarkStart w:id="12" w:name="page13"/>
    <w:bookmarkEnd w:id="12"/>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1:</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0075A8"/>
        </w:rPr>
        <w:t>ELECTION OF DIRECTORS</w:t>
      </w:r>
    </w:p>
    <w:p>
      <w:pPr>
        <w:sectPr>
          <w:pgSz w:w="11900" w:h="16838" w:orient="portrait"/>
          <w:cols w:equalWidth="0" w:num="1">
            <w:col w:w="10200"/>
          </w:cols>
          <w:pgMar w:left="480" w:top="97" w:right="1219" w:bottom="1440" w:gutter="0" w:footer="0" w:header="0"/>
        </w:sectPr>
      </w:pPr>
    </w:p>
    <w:p>
      <w:pPr>
        <w:spacing w:after="0" w:line="275"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Under this Proposal 1, you are being asked to consider nine nominees for election to our Board to serve until the 2026 Annual Meeting and until their successors are elected and qualified or until their earlier resignation or removal. Each nominee for election has agreed to serve if elected, and the Board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if any. No nominee or executive officer is related by blood, marriage, or adoption to any other director, nominee, or executive officer. No arrangements or understandings exist between any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139700</wp:posOffset>
            </wp:positionV>
            <wp:extent cx="34290" cy="368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person nominated for election as a director and any other person pursuant to which such person is to be selected as a director or nominee for election as a director.</w:t>
      </w:r>
    </w:p>
    <w:p>
      <w:pPr>
        <w:spacing w:after="0" w:line="176"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color w:val="auto"/>
        </w:rPr>
        <w:t>Proxies cannot be voted for a greater number of individuals than the number of nominees named in this Proxy Statement.</w:t>
      </w:r>
    </w:p>
    <w:p>
      <w:pPr>
        <w:spacing w:after="0" w:line="172"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color w:val="auto"/>
        </w:rPr>
        <w:t>The following table lists the nine nominees for election as directors, the year such nominees were first elected as directors of the Company, and their Board committee memberships as of March 1, 2025. The table also lists the number of meetings held by each committee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325120</wp:posOffset>
            </wp:positionV>
            <wp:extent cx="292290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22905" cy="179705"/>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5200" w:space="480"/>
            <w:col w:w="4520"/>
          </w:cols>
          <w:pgMar w:left="480" w:top="97" w:right="1219" w:bottom="1440" w:gutter="0" w:footer="0" w:header="0"/>
          <w:type w:val="continuous"/>
        </w:sectPr>
      </w:pPr>
    </w:p>
    <w:p>
      <w:pPr>
        <w:spacing w:after="0" w:line="20" w:lineRule="exact"/>
        <w:rPr>
          <w:sz w:val="20"/>
          <w:szCs w:val="20"/>
          <w:color w:val="auto"/>
        </w:rPr>
      </w:pPr>
    </w:p>
    <w:tbl>
      <w:tblPr>
        <w:tblLayout w:type="fixed"/>
        <w:tblInd w:w="760" w:type="dxa"/>
        <w:tblCellMar>
          <w:top w:w="0" w:type="dxa"/>
          <w:left w:w="0" w:type="dxa"/>
          <w:bottom w:w="0" w:type="dxa"/>
          <w:right w:w="0" w:type="dxa"/>
        </w:tblCellMar>
      </w:tblPr>
      <w:tr>
        <w:trPr>
          <w:trHeight w:val="283"/>
        </w:trPr>
        <w:tc>
          <w:tcPr>
            <w:tcW w:w="3300" w:type="dxa"/>
            <w:vAlign w:val="bottom"/>
            <w:shd w:val="clear" w:color="auto" w:fill="0075A8"/>
          </w:tcPr>
          <w:p>
            <w:pPr>
              <w:ind w:left="20"/>
              <w:spacing w:after="0"/>
              <w:rPr>
                <w:sz w:val="20"/>
                <w:szCs w:val="20"/>
                <w:color w:val="auto"/>
              </w:rPr>
            </w:pPr>
            <w:r>
              <w:rPr>
                <w:rFonts w:ascii="Arial" w:cs="Arial" w:eastAsia="Arial" w:hAnsi="Arial"/>
                <w:sz w:val="18"/>
                <w:szCs w:val="18"/>
                <w:b w:val="1"/>
                <w:bCs w:val="1"/>
                <w:color w:val="FFFFFF"/>
              </w:rPr>
              <w:t>​​</w:t>
            </w:r>
          </w:p>
        </w:tc>
        <w:tc>
          <w:tcPr>
            <w:tcW w:w="260" w:type="dxa"/>
            <w:vAlign w:val="bottom"/>
            <w:shd w:val="clear" w:color="auto" w:fill="0075A8"/>
          </w:tcPr>
          <w:p>
            <w:pPr>
              <w:ind w:left="140"/>
              <w:spacing w:after="0"/>
              <w:rPr>
                <w:sz w:val="20"/>
                <w:szCs w:val="20"/>
                <w:color w:val="auto"/>
              </w:rPr>
            </w:pPr>
            <w:r>
              <w:rPr>
                <w:rFonts w:ascii="Arial" w:cs="Arial" w:eastAsia="Arial" w:hAnsi="Arial"/>
                <w:sz w:val="18"/>
                <w:szCs w:val="18"/>
                <w:b w:val="1"/>
                <w:bCs w:val="1"/>
                <w:color w:val="FFFFFF"/>
              </w:rPr>
              <w:t>​</w:t>
            </w:r>
          </w:p>
        </w:tc>
        <w:tc>
          <w:tcPr>
            <w:tcW w:w="220" w:type="dxa"/>
            <w:vAlign w:val="bottom"/>
            <w:shd w:val="clear" w:color="auto" w:fill="0075A8"/>
          </w:tcPr>
          <w:p>
            <w:pPr>
              <w:spacing w:after="0"/>
              <w:rPr>
                <w:sz w:val="24"/>
                <w:szCs w:val="24"/>
                <w:color w:val="auto"/>
              </w:rPr>
            </w:pPr>
          </w:p>
        </w:tc>
        <w:tc>
          <w:tcPr>
            <w:tcW w:w="800" w:type="dxa"/>
            <w:vAlign w:val="bottom"/>
            <w:vMerge w:val="restart"/>
            <w:shd w:val="clear" w:color="auto" w:fill="0075A8"/>
          </w:tcPr>
          <w:p>
            <w:pPr>
              <w:ind w:left="40"/>
              <w:spacing w:after="0"/>
              <w:rPr>
                <w:sz w:val="20"/>
                <w:szCs w:val="20"/>
                <w:color w:val="auto"/>
              </w:rPr>
            </w:pPr>
            <w:r>
              <w:rPr>
                <w:rFonts w:ascii="Arial" w:cs="Arial" w:eastAsia="Arial" w:hAnsi="Arial"/>
                <w:sz w:val="18"/>
                <w:szCs w:val="18"/>
                <w:b w:val="1"/>
                <w:bCs w:val="1"/>
                <w:color w:val="FFFFFF"/>
              </w:rPr>
              <w:t>Director</w:t>
            </w:r>
          </w:p>
        </w:tc>
        <w:tc>
          <w:tcPr>
            <w:tcW w:w="220" w:type="dxa"/>
            <w:vAlign w:val="bottom"/>
            <w:shd w:val="clear" w:color="auto" w:fill="0075A8"/>
          </w:tcPr>
          <w:p>
            <w:pPr>
              <w:spacing w:after="0"/>
              <w:rPr>
                <w:sz w:val="24"/>
                <w:szCs w:val="24"/>
                <w:color w:val="auto"/>
              </w:rPr>
            </w:pPr>
          </w:p>
        </w:tc>
        <w:tc>
          <w:tcPr>
            <w:tcW w:w="260" w:type="dxa"/>
            <w:vAlign w:val="bottom"/>
            <w:shd w:val="clear" w:color="auto" w:fill="0075A8"/>
          </w:tcPr>
          <w:p>
            <w:pPr>
              <w:ind w:left="120"/>
              <w:spacing w:after="0"/>
              <w:rPr>
                <w:sz w:val="20"/>
                <w:szCs w:val="20"/>
                <w:color w:val="auto"/>
              </w:rPr>
            </w:pPr>
            <w:r>
              <w:rPr>
                <w:rFonts w:ascii="Arial" w:cs="Arial" w:eastAsia="Arial" w:hAnsi="Arial"/>
                <w:sz w:val="18"/>
                <w:szCs w:val="18"/>
                <w:b w:val="1"/>
                <w:bCs w:val="1"/>
                <w:color w:val="FFFFFF"/>
              </w:rPr>
              <w:t>​</w:t>
            </w:r>
          </w:p>
        </w:tc>
        <w:tc>
          <w:tcPr>
            <w:tcW w:w="1060" w:type="dxa"/>
            <w:vAlign w:val="bottom"/>
          </w:tcPr>
          <w:p>
            <w:pPr>
              <w:jc w:val="right"/>
              <w:ind w:right="398"/>
              <w:spacing w:after="0"/>
              <w:rPr>
                <w:sz w:val="20"/>
                <w:szCs w:val="20"/>
                <w:color w:val="auto"/>
              </w:rPr>
            </w:pPr>
            <w:r>
              <w:rPr>
                <w:rFonts w:ascii="Arial" w:cs="Arial" w:eastAsia="Arial" w:hAnsi="Arial"/>
                <w:sz w:val="18"/>
                <w:szCs w:val="18"/>
                <w:b w:val="1"/>
                <w:bCs w:val="1"/>
                <w:color w:val="FFFFFF"/>
              </w:rPr>
              <w:t>​</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FFFFFF"/>
              </w:rPr>
              <w:t>​</w:t>
            </w:r>
          </w:p>
        </w:tc>
        <w:tc>
          <w:tcPr>
            <w:tcW w:w="2580" w:type="dxa"/>
            <w:vAlign w:val="bottom"/>
            <w:gridSpan w:val="7"/>
          </w:tcPr>
          <w:p>
            <w:pPr>
              <w:jc w:val="right"/>
              <w:ind w:right="119"/>
              <w:spacing w:after="0"/>
              <w:rPr>
                <w:sz w:val="20"/>
                <w:szCs w:val="20"/>
                <w:color w:val="auto"/>
              </w:rPr>
            </w:pPr>
            <w:r>
              <w:rPr>
                <w:rFonts w:ascii="Arial" w:cs="Arial" w:eastAsia="Arial" w:hAnsi="Arial"/>
                <w:sz w:val="18"/>
                <w:szCs w:val="18"/>
                <w:b w:val="1"/>
                <w:bCs w:val="1"/>
                <w:color w:val="FFFFFF"/>
              </w:rPr>
              <w:t>Committee Memberships</w:t>
            </w:r>
          </w:p>
        </w:tc>
        <w:tc>
          <w:tcPr>
            <w:tcW w:w="180" w:type="dxa"/>
            <w:vAlign w:val="bottom"/>
            <w:gridSpan w:val="2"/>
          </w:tcPr>
          <w:p>
            <w:pPr>
              <w:ind w:left="14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260" w:type="dxa"/>
            <w:vAlign w:val="bottom"/>
            <w:tcBorders>
              <w:top w:val="single" w:sz="8" w:color="0075A8"/>
            </w:tcBorders>
          </w:tcPr>
          <w:p>
            <w:pPr>
              <w:spacing w:after="0"/>
              <w:rPr>
                <w:sz w:val="2"/>
                <w:szCs w:val="2"/>
                <w:color w:val="auto"/>
              </w:rPr>
            </w:pPr>
          </w:p>
        </w:tc>
        <w:tc>
          <w:tcPr>
            <w:tcW w:w="220" w:type="dxa"/>
            <w:vAlign w:val="bottom"/>
            <w:tcBorders>
              <w:top w:val="single" w:sz="8" w:color="0075A8"/>
            </w:tcBorders>
            <w:shd w:val="clear" w:color="auto" w:fill="0075A8"/>
          </w:tcPr>
          <w:p>
            <w:pPr>
              <w:spacing w:after="0"/>
              <w:rPr>
                <w:sz w:val="2"/>
                <w:szCs w:val="2"/>
                <w:color w:val="auto"/>
              </w:rPr>
            </w:pPr>
          </w:p>
        </w:tc>
        <w:tc>
          <w:tcPr>
            <w:tcW w:w="800" w:type="dxa"/>
            <w:vAlign w:val="bottom"/>
            <w:tcBorders>
              <w:top w:val="single" w:sz="8" w:color="0075A8"/>
            </w:tcBorders>
            <w:vMerge w:val="continue"/>
            <w:shd w:val="clear" w:color="auto" w:fill="0075A8"/>
          </w:tcPr>
          <w:p>
            <w:pPr>
              <w:spacing w:after="0"/>
              <w:rPr>
                <w:sz w:val="2"/>
                <w:szCs w:val="2"/>
                <w:color w:val="auto"/>
              </w:rPr>
            </w:pPr>
          </w:p>
        </w:tc>
        <w:tc>
          <w:tcPr>
            <w:tcW w:w="220" w:type="dxa"/>
            <w:vAlign w:val="bottom"/>
            <w:tcBorders>
              <w:top w:val="single" w:sz="8" w:color="0075A8"/>
            </w:tcBorders>
            <w:shd w:val="clear" w:color="auto" w:fill="0075A8"/>
          </w:tcPr>
          <w:p>
            <w:pPr>
              <w:spacing w:after="0"/>
              <w:rPr>
                <w:sz w:val="2"/>
                <w:szCs w:val="2"/>
                <w:color w:val="auto"/>
              </w:rPr>
            </w:pPr>
          </w:p>
        </w:tc>
        <w:tc>
          <w:tcPr>
            <w:tcW w:w="260" w:type="dxa"/>
            <w:vAlign w:val="bottom"/>
            <w:tcBorders>
              <w:top w:val="single" w:sz="8" w:color="0075A8"/>
            </w:tcBorders>
            <w:shd w:val="clear" w:color="auto" w:fill="0075A8"/>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Borders>
              <w:top w:val="single" w:sz="8" w:color="0075A8"/>
            </w:tcBorders>
          </w:tcPr>
          <w:p>
            <w:pPr>
              <w:spacing w:after="0"/>
              <w:rPr>
                <w:sz w:val="2"/>
                <w:szCs w:val="2"/>
                <w:color w:val="auto"/>
              </w:rPr>
            </w:pPr>
          </w:p>
        </w:tc>
        <w:tc>
          <w:tcPr>
            <w:tcW w:w="280" w:type="dxa"/>
            <w:vAlign w:val="bottom"/>
            <w:tcBorders>
              <w:top w:val="single" w:sz="8" w:color="FEFEFE"/>
            </w:tcBorders>
          </w:tcPr>
          <w:p>
            <w:pPr>
              <w:spacing w:after="0"/>
              <w:rPr>
                <w:sz w:val="2"/>
                <w:szCs w:val="2"/>
                <w:color w:val="auto"/>
              </w:rPr>
            </w:pPr>
          </w:p>
        </w:tc>
        <w:tc>
          <w:tcPr>
            <w:tcW w:w="460" w:type="dxa"/>
            <w:vAlign w:val="bottom"/>
            <w:tcBorders>
              <w:top w:val="single" w:sz="8" w:color="FEFEFE"/>
            </w:tcBorders>
          </w:tcPr>
          <w:p>
            <w:pPr>
              <w:spacing w:after="0"/>
              <w:rPr>
                <w:sz w:val="2"/>
                <w:szCs w:val="2"/>
                <w:color w:val="auto"/>
              </w:rPr>
            </w:pPr>
          </w:p>
        </w:tc>
        <w:tc>
          <w:tcPr>
            <w:tcW w:w="280" w:type="dxa"/>
            <w:vAlign w:val="bottom"/>
            <w:tcBorders>
              <w:top w:val="single" w:sz="8" w:color="FEFEFE"/>
            </w:tcBorders>
          </w:tcPr>
          <w:p>
            <w:pPr>
              <w:spacing w:after="0"/>
              <w:rPr>
                <w:sz w:val="2"/>
                <w:szCs w:val="2"/>
                <w:color w:val="auto"/>
              </w:rPr>
            </w:pPr>
          </w:p>
        </w:tc>
        <w:tc>
          <w:tcPr>
            <w:tcW w:w="300" w:type="dxa"/>
            <w:vAlign w:val="bottom"/>
            <w:tcBorders>
              <w:top w:val="single" w:sz="8" w:color="FEFEFE"/>
            </w:tcBorders>
          </w:tcPr>
          <w:p>
            <w:pPr>
              <w:spacing w:after="0"/>
              <w:rPr>
                <w:sz w:val="2"/>
                <w:szCs w:val="2"/>
                <w:color w:val="auto"/>
              </w:rPr>
            </w:pPr>
          </w:p>
        </w:tc>
        <w:tc>
          <w:tcPr>
            <w:tcW w:w="560" w:type="dxa"/>
            <w:vAlign w:val="bottom"/>
            <w:tcBorders>
              <w:top w:val="single" w:sz="8" w:color="FEFEFE"/>
            </w:tcBorders>
          </w:tcPr>
          <w:p>
            <w:pPr>
              <w:spacing w:after="0"/>
              <w:rPr>
                <w:sz w:val="2"/>
                <w:szCs w:val="2"/>
                <w:color w:val="auto"/>
              </w:rPr>
            </w:pPr>
          </w:p>
        </w:tc>
        <w:tc>
          <w:tcPr>
            <w:tcW w:w="300" w:type="dxa"/>
            <w:vAlign w:val="bottom"/>
            <w:tcBorders>
              <w:top w:val="single" w:sz="8" w:color="FEFEFE"/>
            </w:tcBorders>
          </w:tcPr>
          <w:p>
            <w:pPr>
              <w:spacing w:after="0"/>
              <w:rPr>
                <w:sz w:val="2"/>
                <w:szCs w:val="2"/>
                <w:color w:val="auto"/>
              </w:rPr>
            </w:pPr>
          </w:p>
        </w:tc>
        <w:tc>
          <w:tcPr>
            <w:tcW w:w="300" w:type="dxa"/>
            <w:vAlign w:val="bottom"/>
            <w:tcBorders>
              <w:top w:val="single" w:sz="8" w:color="FEFEFE"/>
            </w:tcBorders>
          </w:tcPr>
          <w:p>
            <w:pPr>
              <w:spacing w:after="0"/>
              <w:rPr>
                <w:sz w:val="2"/>
                <w:szCs w:val="2"/>
                <w:color w:val="auto"/>
              </w:rPr>
            </w:pPr>
          </w:p>
        </w:tc>
        <w:tc>
          <w:tcPr>
            <w:tcW w:w="380" w:type="dxa"/>
            <w:vAlign w:val="bottom"/>
            <w:tcBorders>
              <w:top w:val="single" w:sz="8" w:color="FEFEFE"/>
            </w:tcBorders>
          </w:tcPr>
          <w:p>
            <w:pPr>
              <w:spacing w:after="0"/>
              <w:rPr>
                <w:sz w:val="2"/>
                <w:szCs w:val="2"/>
                <w:color w:val="auto"/>
              </w:rPr>
            </w:pPr>
          </w:p>
        </w:tc>
        <w:tc>
          <w:tcPr>
            <w:tcW w:w="160" w:type="dxa"/>
            <w:vAlign w:val="bottom"/>
            <w:tcBorders>
              <w:top w:val="single" w:sz="8" w:color="FEFEF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300" w:type="dxa"/>
            <w:vAlign w:val="bottom"/>
          </w:tcPr>
          <w:p>
            <w:pPr>
              <w:ind w:left="20"/>
              <w:spacing w:after="0"/>
              <w:rPr>
                <w:sz w:val="20"/>
                <w:szCs w:val="20"/>
                <w:color w:val="auto"/>
              </w:rPr>
            </w:pPr>
            <w:r>
              <w:rPr>
                <w:rFonts w:ascii="Arial" w:cs="Arial" w:eastAsia="Arial" w:hAnsi="Arial"/>
                <w:sz w:val="18"/>
                <w:szCs w:val="18"/>
                <w:b w:val="1"/>
                <w:bCs w:val="1"/>
                <w:color w:val="FFFFFF"/>
              </w:rPr>
              <w:t>​Name</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20" w:type="dxa"/>
            <w:vAlign w:val="bottom"/>
            <w:shd w:val="clear" w:color="auto" w:fill="0075A8"/>
          </w:tcPr>
          <w:p>
            <w:pPr>
              <w:ind w:left="120"/>
              <w:spacing w:after="0"/>
              <w:rPr>
                <w:sz w:val="20"/>
                <w:szCs w:val="20"/>
                <w:color w:val="auto"/>
              </w:rPr>
            </w:pPr>
            <w:r>
              <w:rPr>
                <w:rFonts w:ascii="Arial" w:cs="Arial" w:eastAsia="Arial" w:hAnsi="Arial"/>
                <w:sz w:val="18"/>
                <w:szCs w:val="18"/>
                <w:b w:val="1"/>
                <w:bCs w:val="1"/>
                <w:color w:val="FFFFFF"/>
              </w:rPr>
              <w:t>​</w:t>
            </w:r>
          </w:p>
        </w:tc>
        <w:tc>
          <w:tcPr>
            <w:tcW w:w="800" w:type="dxa"/>
            <w:vAlign w:val="bottom"/>
            <w:shd w:val="clear" w:color="auto" w:fill="0075A8"/>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220" w:type="dxa"/>
            <w:vAlign w:val="bottom"/>
            <w:shd w:val="clear" w:color="auto" w:fill="0075A8"/>
          </w:tcPr>
          <w:p>
            <w:pPr>
              <w:ind w:left="100"/>
              <w:spacing w:after="0"/>
              <w:rPr>
                <w:sz w:val="20"/>
                <w:szCs w:val="20"/>
                <w:color w:val="auto"/>
              </w:rPr>
            </w:pPr>
            <w:r>
              <w:rPr>
                <w:rFonts w:ascii="Arial" w:cs="Arial" w:eastAsia="Arial" w:hAnsi="Arial"/>
                <w:sz w:val="18"/>
                <w:szCs w:val="18"/>
                <w:b w:val="1"/>
                <w:bCs w:val="1"/>
                <w:color w:val="FFFFFF"/>
              </w:rPr>
              <w:t>​</w:t>
            </w:r>
          </w:p>
        </w:tc>
        <w:tc>
          <w:tcPr>
            <w:tcW w:w="260" w:type="dxa"/>
            <w:vAlign w:val="bottom"/>
            <w:shd w:val="clear" w:color="auto" w:fill="0075A8"/>
          </w:tcPr>
          <w:p>
            <w:pPr>
              <w:ind w:left="120"/>
              <w:spacing w:after="0"/>
              <w:rPr>
                <w:sz w:val="20"/>
                <w:szCs w:val="20"/>
                <w:color w:val="auto"/>
              </w:rPr>
            </w:pPr>
            <w:r>
              <w:rPr>
                <w:rFonts w:ascii="Arial" w:cs="Arial" w:eastAsia="Arial" w:hAnsi="Arial"/>
                <w:sz w:val="18"/>
                <w:szCs w:val="18"/>
                <w:b w:val="1"/>
                <w:bCs w:val="1"/>
                <w:color w:val="FFFFFF"/>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FFFFFF"/>
                <w:w w:val="97"/>
                <w:shd w:val="clear" w:color="auto" w:fill="0075A8"/>
              </w:rPr>
              <w:t>Independent</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FFFFFF"/>
                <w:shd w:val="clear" w:color="auto" w:fill="0075A8"/>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FFFFFF"/>
                <w:shd w:val="clear" w:color="auto" w:fill="0075A8"/>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FFFFFF"/>
                <w:w w:val="92"/>
                <w:shd w:val="clear" w:color="auto" w:fill="0075A8"/>
              </w:rPr>
              <w:t>AC</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FFFFFF"/>
                <w:shd w:val="clear" w:color="auto" w:fill="0075A8"/>
              </w:rPr>
              <w:t>​</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FFFFFF"/>
                <w:shd w:val="clear" w:color="auto" w:fill="0075A8"/>
              </w:rPr>
              <w:t>​</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FFFFFF"/>
                <w:w w:val="92"/>
                <w:shd w:val="clear" w:color="auto" w:fill="0075A8"/>
              </w:rPr>
              <w:t>CC</w:t>
            </w:r>
          </w:p>
        </w:tc>
        <w:tc>
          <w:tcPr>
            <w:tcW w:w="300" w:type="dxa"/>
            <w:vAlign w:val="bottom"/>
          </w:tcPr>
          <w:p>
            <w:pPr>
              <w:ind w:left="160"/>
              <w:spacing w:after="0"/>
              <w:rPr>
                <w:sz w:val="20"/>
                <w:szCs w:val="20"/>
                <w:color w:val="auto"/>
              </w:rPr>
            </w:pPr>
            <w:r>
              <w:rPr>
                <w:rFonts w:ascii="Arial" w:cs="Arial" w:eastAsia="Arial" w:hAnsi="Arial"/>
                <w:sz w:val="18"/>
                <w:szCs w:val="18"/>
                <w:b w:val="1"/>
                <w:bCs w:val="1"/>
                <w:color w:val="FFFFFF"/>
                <w:shd w:val="clear" w:color="auto" w:fill="0075A8"/>
              </w:rPr>
              <w:t>​</w:t>
            </w:r>
          </w:p>
        </w:tc>
        <w:tc>
          <w:tcPr>
            <w:tcW w:w="860" w:type="dxa"/>
            <w:vAlign w:val="bottom"/>
            <w:gridSpan w:val="4"/>
          </w:tcPr>
          <w:p>
            <w:pPr>
              <w:ind w:left="100"/>
              <w:spacing w:after="0"/>
              <w:rPr>
                <w:sz w:val="20"/>
                <w:szCs w:val="20"/>
                <w:color w:val="auto"/>
              </w:rPr>
            </w:pPr>
            <w:r>
              <w:rPr>
                <w:rFonts w:ascii="Arial" w:cs="Arial" w:eastAsia="Arial" w:hAnsi="Arial"/>
                <w:sz w:val="18"/>
                <w:szCs w:val="18"/>
                <w:b w:val="1"/>
                <w:bCs w:val="1"/>
                <w:color w:val="FFFFFF"/>
                <w:shd w:val="clear" w:color="auto" w:fill="0075A8"/>
              </w:rPr>
              <w:t>​ NCGC ​</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Arial" w:cs="Arial" w:eastAsia="Arial" w:hAnsi="Arial"/>
                <w:sz w:val="16"/>
                <w:szCs w:val="16"/>
                <w:color w:val="auto"/>
              </w:rPr>
              <w:t>​Christine King, Chairman of the Board</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2014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C</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Arial" w:cs="Arial" w:eastAsia="Arial" w:hAnsi="Arial"/>
                <w:sz w:val="16"/>
                <w:szCs w:val="16"/>
                <w:color w:val="auto"/>
              </w:rPr>
              <w:t>​Alan S. Batey</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2019</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Arial" w:cs="Arial" w:eastAsia="Arial" w:hAnsi="Arial"/>
                <w:sz w:val="16"/>
                <w:szCs w:val="16"/>
                <w:color w:val="auto"/>
              </w:rPr>
              <w:t>​Kevin L. Beebe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2004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C</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Arial" w:cs="Arial" w:eastAsia="Arial" w:hAnsi="Arial"/>
                <w:sz w:val="16"/>
                <w:szCs w:val="16"/>
                <w:color w:val="auto"/>
              </w:rPr>
              <w:t>​Philip G. Brace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Arial" w:cs="Arial" w:eastAsia="Arial" w:hAnsi="Arial"/>
                <w:sz w:val="16"/>
                <w:szCs w:val="16"/>
                <w:color w:val="auto"/>
              </w:rPr>
              <w:t>​Eric J. Guerin</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Arial" w:cs="Arial" w:eastAsia="Arial" w:hAnsi="Arial"/>
                <w:sz w:val="16"/>
                <w:szCs w:val="16"/>
                <w:color w:val="auto"/>
              </w:rPr>
              <w:t>​Suzanne E. McBride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Arial" w:cs="Arial" w:eastAsia="Arial" w:hAnsi="Arial"/>
                <w:sz w:val="16"/>
                <w:szCs w:val="16"/>
                <w:color w:val="auto"/>
              </w:rPr>
              <w:t>​David P. McGlade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2005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rPr>
              <w:t>C</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Arial" w:cs="Arial" w:eastAsia="Arial" w:hAnsi="Arial"/>
                <w:sz w:val="16"/>
                <w:szCs w:val="16"/>
                <w:color w:val="auto"/>
              </w:rPr>
              <w:t>​Robert A. Schriesheim</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2006</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Arial" w:cs="Arial" w:eastAsia="Arial" w:hAnsi="Arial"/>
                <w:sz w:val="16"/>
                <w:szCs w:val="16"/>
                <w:color w:val="auto"/>
              </w:rPr>
              <w:t>​Maryann Turcke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2023</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300" w:type="dxa"/>
            <w:vAlign w:val="bottom"/>
            <w:tcBorders>
              <w:bottom w:val="single" w:sz="8" w:color="0075A8"/>
            </w:tcBorders>
          </w:tcPr>
          <w:p>
            <w:pPr>
              <w:ind w:left="20"/>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Number of Meetings in FY2024</w:t>
            </w:r>
          </w:p>
        </w:tc>
        <w:tc>
          <w:tcPr>
            <w:tcW w:w="26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75A8"/>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75A8"/>
            </w:tcBorders>
          </w:tcPr>
          <w:p>
            <w:pPr>
              <w:jc w:val="right"/>
              <w:ind w:right="398"/>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0075A8"/>
            </w:tcBorders>
          </w:tcPr>
          <w:p>
            <w:pPr>
              <w:jc w:val="right"/>
              <w:ind w:right="118"/>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0075A8"/>
            </w:tcBorders>
          </w:tcPr>
          <w:p>
            <w:pPr>
              <w:jc w:val="right"/>
              <w:ind w:right="178"/>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0075A8"/>
            </w:tcBorders>
          </w:tcPr>
          <w:p>
            <w:pPr>
              <w:ind w:left="1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0075A8"/>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0075A8"/>
            </w:tcBorders>
            <w:gridSpan w:val="2"/>
          </w:tcPr>
          <w:p>
            <w:pPr>
              <w:ind w:lef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-1842770</wp:posOffset>
            </wp:positionV>
            <wp:extent cx="5974715" cy="351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74715" cy="3511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-1328420</wp:posOffset>
            </wp:positionV>
            <wp:extent cx="597471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-1002665</wp:posOffset>
            </wp:positionV>
            <wp:extent cx="597471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-676910</wp:posOffset>
            </wp:positionV>
            <wp:extent cx="597471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-351155</wp:posOffset>
            </wp:positionV>
            <wp:extent cx="597471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89" w:lineRule="exact"/>
        <w:rPr>
          <w:sz w:val="20"/>
          <w:szCs w:val="20"/>
          <w:color w:val="auto"/>
        </w:rPr>
      </w:pPr>
    </w:p>
    <w:p>
      <w:pPr>
        <w:ind w:left="820" w:right="780"/>
        <w:spacing w:after="0" w:line="283" w:lineRule="auto"/>
        <w:rPr>
          <w:sz w:val="20"/>
          <w:szCs w:val="20"/>
          <w:color w:val="auto"/>
        </w:rPr>
      </w:pPr>
      <w:r>
        <w:rPr>
          <w:rFonts w:ascii="Arial" w:cs="Arial" w:eastAsia="Arial" w:hAnsi="Arial"/>
          <w:sz w:val="16"/>
          <w:szCs w:val="16"/>
          <w:i w:val="1"/>
          <w:iCs w:val="1"/>
          <w:color w:val="auto"/>
        </w:rPr>
        <w:t>“AC” indicates Audit Committee, “CC” indicates Compensation Committee, “NCGC” indicates Nominating and Corporate Governance Committee, and “C” indicates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Immediately below this proposal is biographical information about each of the director nominees, including information regarding each nominee’s business experience for the past five years, and the names of other public companies for which each nominee currently serves or has served as a director during the past five years. In addition to the information presented below regarding each nominee’s specific experience, qualifications, attributes, and skills that led our Nominating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Corporate Governance Committee and our Board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w:t>
      </w:r>
    </w:p>
    <w:p>
      <w:pPr>
        <w:spacing w:after="0" w:line="259" w:lineRule="exact"/>
        <w:rPr>
          <w:sz w:val="20"/>
          <w:szCs w:val="20"/>
          <w:color w:val="auto"/>
        </w:rPr>
      </w:pPr>
    </w:p>
    <w:p>
      <w:pPr>
        <w:sectPr>
          <w:pgSz w:w="11900" w:h="16838" w:orient="portrait"/>
          <w:cols w:equalWidth="0" w:num="2">
            <w:col w:w="5080" w:space="500"/>
            <w:col w:w="4520"/>
          </w:cols>
          <w:pgMar w:left="580" w:top="97" w:right="1219" w:bottom="1440" w:gutter="0" w:footer="0" w:header="0"/>
        </w:sectPr>
      </w:pPr>
    </w:p>
    <w:p>
      <w:pPr>
        <w:spacing w:after="0" w:line="1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Majority Vote Standard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19"/>
          <w:szCs w:val="19"/>
          <w:b w:val="1"/>
          <w:bCs w:val="1"/>
          <w:color w:val="auto"/>
        </w:rPr>
        <w:t>FOR</w:t>
      </w:r>
      <w:r>
        <w:rPr>
          <w:rFonts w:ascii="Arial" w:cs="Arial" w:eastAsia="Arial" w:hAnsi="Arial"/>
          <w:sz w:val="19"/>
          <w:szCs w:val="19"/>
          <w:color w:val="auto"/>
        </w:rPr>
        <w:t>” such nominee’s election exceeds the number of votes cast “</w:t>
      </w:r>
      <w:r>
        <w:rPr>
          <w:rFonts w:ascii="Arial" w:cs="Arial" w:eastAsia="Arial" w:hAnsi="Arial"/>
          <w:sz w:val="19"/>
          <w:szCs w:val="19"/>
          <w:b w:val="1"/>
          <w:bCs w:val="1"/>
          <w:color w:val="auto"/>
        </w:rPr>
        <w:t>AGAINST</w:t>
      </w:r>
      <w:r>
        <w:rPr>
          <w:rFonts w:ascii="Arial" w:cs="Arial" w:eastAsia="Arial" w:hAnsi="Arial"/>
          <w:sz w:val="19"/>
          <w:szCs w:val="19"/>
          <w:color w:val="auto"/>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rFonts w:ascii="Arial" w:cs="Arial" w:eastAsia="Arial" w:hAnsi="Arial"/>
          <w:sz w:val="19"/>
          <w:szCs w:val="19"/>
          <w:b w:val="1"/>
          <w:bCs w:val="1"/>
          <w:color w:val="auto"/>
        </w:rPr>
        <w:t>FOR</w:t>
      </w:r>
      <w:r>
        <w:rPr>
          <w:rFonts w:ascii="Arial" w:cs="Arial" w:eastAsia="Arial" w:hAnsi="Arial"/>
          <w:sz w:val="19"/>
          <w:szCs w:val="19"/>
          <w:color w:val="auto"/>
        </w:rPr>
        <w:t>” such nominee exceed the number of votes cast “</w:t>
      </w:r>
      <w:r>
        <w:rPr>
          <w:rFonts w:ascii="Arial" w:cs="Arial" w:eastAsia="Arial" w:hAnsi="Arial"/>
          <w:sz w:val="19"/>
          <w:szCs w:val="19"/>
          <w:b w:val="1"/>
          <w:bCs w:val="1"/>
          <w:color w:val="auto"/>
        </w:rPr>
        <w:t>AGAINST</w:t>
      </w:r>
      <w:r>
        <w:rPr>
          <w:rFonts w:ascii="Arial" w:cs="Arial" w:eastAsia="Arial" w:hAnsi="Arial"/>
          <w:sz w:val="19"/>
          <w:szCs w:val="19"/>
          <w:color w:val="auto"/>
        </w:rPr>
        <w:t>” such nominee. As required by our corporate governance guidelines, which are available on the Investor Relations portion of the Company’s website at www.skyworksinc.com, each incumbent director who is a nominee for election as a director at the Annual Meeting submitted to the Board an irrevocable resignation that would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become effective if the votes cast “</w:t>
      </w:r>
      <w:r>
        <w:rPr>
          <w:rFonts w:ascii="Arial" w:cs="Arial" w:eastAsia="Arial" w:hAnsi="Arial"/>
          <w:sz w:val="20"/>
          <w:szCs w:val="20"/>
          <w:b w:val="1"/>
          <w:bCs w:val="1"/>
          <w:color w:val="auto"/>
        </w:rPr>
        <w:t>FOR</w:t>
      </w:r>
      <w:r>
        <w:rPr>
          <w:rFonts w:ascii="Arial" w:cs="Arial" w:eastAsia="Arial" w:hAnsi="Arial"/>
          <w:sz w:val="20"/>
          <w:szCs w:val="20"/>
          <w:color w:val="auto"/>
        </w:rPr>
        <w:t>” such</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nominee’s election do not exceed the votes cast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AGAINST</w:t>
      </w:r>
      <w:r>
        <w:rPr>
          <w:rFonts w:ascii="Arial" w:cs="Arial" w:eastAsia="Arial" w:hAnsi="Arial"/>
          <w:sz w:val="19"/>
          <w:szCs w:val="19"/>
          <w:color w:val="auto"/>
        </w:rPr>
        <w:t>” such nominee’s election and our Board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determines to accept his or her resignation. Upon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such resignation by a nominee and pursuant to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procedures set forth in the corporate governance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guidelines, the Nominating and Corporate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Governance Committee will evaluate the best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interests of our Company and stockholders and will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recommend to our Board the action to be taken with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respect to the resignation. The Board will then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decide whether to accept, reject, or modify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Nominating and Corporate Governance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Committee’s recommendation, and the Company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will publicly disclose such decision by the Board with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respect to the director nominee.</w:t>
      </w:r>
    </w:p>
    <w:p>
      <w:pPr>
        <w:spacing w:after="0" w:line="211"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Shares represented by all proxies received by the Board that are properly completed, but do not specify a choice as to the election of directors, will be voted “</w:t>
      </w:r>
      <w:r>
        <w:rPr>
          <w:rFonts w:ascii="Arial" w:cs="Arial" w:eastAsia="Arial" w:hAnsi="Arial"/>
          <w:sz w:val="20"/>
          <w:szCs w:val="20"/>
          <w:b w:val="1"/>
          <w:bCs w:val="1"/>
          <w:color w:val="auto"/>
        </w:rPr>
        <w:t>FOR</w:t>
      </w:r>
      <w:r>
        <w:rPr>
          <w:rFonts w:ascii="Arial" w:cs="Arial" w:eastAsia="Arial" w:hAnsi="Arial"/>
          <w:sz w:val="20"/>
          <w:szCs w:val="20"/>
          <w:color w:val="auto"/>
        </w:rPr>
        <w:t>” the election of all nine of the nominees.</w:t>
      </w:r>
    </w:p>
    <w:p>
      <w:pPr>
        <w:spacing w:after="0" w:line="477"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1" w:lineRule="exact"/>
        <w:rPr>
          <w:sz w:val="20"/>
          <w:szCs w:val="20"/>
          <w:color w:val="auto"/>
        </w:rPr>
      </w:pPr>
    </w:p>
    <w:tbl>
      <w:tblPr>
        <w:tblLayout w:type="fixed"/>
        <w:tblInd w:w="1570" w:type="dxa"/>
        <w:tblCellMar>
          <w:top w:w="0" w:type="dxa"/>
          <w:left w:w="0" w:type="dxa"/>
          <w:bottom w:w="0" w:type="dxa"/>
          <w:right w:w="0" w:type="dxa"/>
        </w:tblCellMar>
      </w:tblPr>
      <w:tr>
        <w:trPr>
          <w:trHeight w:val="512"/>
        </w:trPr>
        <w:tc>
          <w:tcPr>
            <w:tcW w:w="500" w:type="dxa"/>
            <w:vAlign w:val="bottom"/>
            <w:tcBorders>
              <w:top w:val="single" w:sz="8" w:color="0075A8"/>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000" w:type="dxa"/>
            <w:vAlign w:val="bottom"/>
            <w:tcBorders>
              <w:top w:val="single" w:sz="8" w:color="0075A8"/>
            </w:tcBorders>
          </w:tcPr>
          <w:p>
            <w:pPr>
              <w:ind w:left="460"/>
              <w:spacing w:after="0"/>
              <w:rPr>
                <w:sz w:val="20"/>
                <w:szCs w:val="20"/>
                <w:color w:val="auto"/>
              </w:rPr>
            </w:pPr>
            <w:r>
              <w:rPr>
                <w:rFonts w:ascii="Arial" w:cs="Arial" w:eastAsia="Arial" w:hAnsi="Arial"/>
                <w:sz w:val="35"/>
                <w:szCs w:val="35"/>
                <w:i w:val="1"/>
                <w:iCs w:val="1"/>
                <w:color w:val="0075A8"/>
                <w:vertAlign w:val="subscript"/>
              </w:rPr>
              <w:t>​​</w:t>
            </w:r>
            <w:r>
              <w:rPr>
                <w:rFonts w:ascii="Arial" w:cs="Arial" w:eastAsia="Arial" w:hAnsi="Arial"/>
                <w:sz w:val="18"/>
                <w:szCs w:val="18"/>
                <w:i w:val="1"/>
                <w:iCs w:val="1"/>
                <w:color w:val="0075A8"/>
              </w:rPr>
              <w:t>THE BOARD OF DIRECTORS UNANIMOUSLY RECOMMENDS A VOTE “FOR”</w:t>
            </w:r>
          </w:p>
        </w:tc>
        <w:tc>
          <w:tcPr>
            <w:tcW w:w="120" w:type="dxa"/>
            <w:vAlign w:val="bottom"/>
            <w:tcBorders>
              <w:top w:val="single" w:sz="8" w:color="0075A8"/>
              <w:right w:val="single" w:sz="8" w:color="0075A8"/>
            </w:tcBorders>
          </w:tcPr>
          <w:p>
            <w:pPr>
              <w:ind w:left="40"/>
              <w:spacing w:after="0"/>
              <w:rPr>
                <w:sz w:val="20"/>
                <w:szCs w:val="20"/>
                <w:color w:val="auto"/>
              </w:rPr>
            </w:pPr>
            <w:r>
              <w:rPr>
                <w:rFonts w:ascii="Arial" w:cs="Arial" w:eastAsia="Arial" w:hAnsi="Arial"/>
                <w:sz w:val="18"/>
                <w:szCs w:val="18"/>
                <w:i w:val="1"/>
                <w:iCs w:val="1"/>
                <w:color w:val="0075A8"/>
              </w:rPr>
              <w:t>​</w:t>
            </w:r>
          </w:p>
        </w:tc>
      </w:tr>
      <w:tr>
        <w:trPr>
          <w:trHeight w:val="237"/>
        </w:trPr>
        <w:tc>
          <w:tcPr>
            <w:tcW w:w="500" w:type="dxa"/>
            <w:vAlign w:val="bottom"/>
            <w:tcBorders>
              <w:left w:val="single" w:sz="8" w:color="0075A8"/>
            </w:tcBorders>
          </w:tcPr>
          <w:p>
            <w:pPr>
              <w:spacing w:after="0"/>
              <w:rPr>
                <w:sz w:val="20"/>
                <w:szCs w:val="20"/>
                <w:color w:val="auto"/>
              </w:rPr>
            </w:pPr>
          </w:p>
        </w:tc>
        <w:tc>
          <w:tcPr>
            <w:tcW w:w="7000" w:type="dxa"/>
            <w:vAlign w:val="bottom"/>
          </w:tcPr>
          <w:p>
            <w:pPr>
              <w:ind w:left="900"/>
              <w:spacing w:after="0"/>
              <w:rPr>
                <w:sz w:val="20"/>
                <w:szCs w:val="20"/>
                <w:color w:val="auto"/>
              </w:rPr>
            </w:pPr>
            <w:r>
              <w:rPr>
                <w:rFonts w:ascii="Arial" w:cs="Arial" w:eastAsia="Arial" w:hAnsi="Arial"/>
                <w:sz w:val="18"/>
                <w:szCs w:val="18"/>
                <w:i w:val="1"/>
                <w:iCs w:val="1"/>
                <w:color w:val="0075A8"/>
              </w:rPr>
              <w:t>THE ELECTION OF EACH OF THE NINE NOMINEES IN PROPOSAL 1</w:t>
            </w:r>
          </w:p>
        </w:tc>
        <w:tc>
          <w:tcPr>
            <w:tcW w:w="120" w:type="dxa"/>
            <w:vAlign w:val="bottom"/>
            <w:tcBorders>
              <w:right w:val="single" w:sz="8" w:color="0075A8"/>
            </w:tcBorders>
          </w:tcPr>
          <w:p>
            <w:pPr>
              <w:spacing w:after="0"/>
              <w:rPr>
                <w:sz w:val="20"/>
                <w:szCs w:val="20"/>
                <w:color w:val="auto"/>
              </w:rPr>
            </w:pPr>
          </w:p>
        </w:tc>
      </w:tr>
      <w:tr>
        <w:trPr>
          <w:trHeight w:val="264"/>
        </w:trPr>
        <w:tc>
          <w:tcPr>
            <w:tcW w:w="500" w:type="dxa"/>
            <w:vAlign w:val="bottom"/>
            <w:tcBorders>
              <w:left w:val="single" w:sz="8" w:color="0075A8"/>
              <w:bottom w:val="single" w:sz="8" w:color="0075A8"/>
            </w:tcBorders>
          </w:tcPr>
          <w:p>
            <w:pPr>
              <w:spacing w:after="0"/>
              <w:rPr>
                <w:sz w:val="22"/>
                <w:szCs w:val="22"/>
                <w:color w:val="auto"/>
              </w:rPr>
            </w:pPr>
          </w:p>
        </w:tc>
        <w:tc>
          <w:tcPr>
            <w:tcW w:w="7000" w:type="dxa"/>
            <w:vAlign w:val="bottom"/>
            <w:tcBorders>
              <w:bottom w:val="single" w:sz="8" w:color="0075A8"/>
            </w:tcBorders>
          </w:tcPr>
          <w:p>
            <w:pPr>
              <w:spacing w:after="0"/>
              <w:rPr>
                <w:sz w:val="22"/>
                <w:szCs w:val="22"/>
                <w:color w:val="auto"/>
              </w:rPr>
            </w:pPr>
          </w:p>
        </w:tc>
        <w:tc>
          <w:tcPr>
            <w:tcW w:w="120" w:type="dxa"/>
            <w:vAlign w:val="bottom"/>
            <w:tcBorders>
              <w:bottom w:val="single" w:sz="8" w:color="0075A8"/>
              <w:right w:val="single" w:sz="8" w:color="0075A8"/>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-574040</wp:posOffset>
            </wp:positionV>
            <wp:extent cx="514350" cy="488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47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 xml:space="preserve">Christine King, </w:t>
            </w:r>
            <w:r>
              <w:rPr>
                <w:rFonts w:ascii="Arial" w:cs="Arial" w:eastAsia="Arial" w:hAnsi="Arial"/>
                <w:sz w:val="20"/>
                <w:szCs w:val="20"/>
                <w:i w:val="1"/>
                <w:iCs w:val="1"/>
                <w:color w:val="FFFFFF"/>
              </w:rPr>
              <w:t>Chairman of the Board</w:t>
            </w:r>
          </w:p>
        </w:tc>
        <w:tc>
          <w:tcPr>
            <w:tcW w:w="4260" w:type="dxa"/>
            <w:vAlign w:val="bottom"/>
            <w:shd w:val="clear" w:color="auto" w:fill="0075A8"/>
          </w:tcPr>
          <w:p>
            <w:pPr>
              <w:ind w:left="1200"/>
              <w:spacing w:after="0"/>
              <w:rPr>
                <w:sz w:val="20"/>
                <w:szCs w:val="20"/>
                <w:color w:val="auto"/>
              </w:rPr>
            </w:pPr>
            <w:r>
              <w:rPr>
                <w:rFonts w:ascii="Arial" w:cs="Arial" w:eastAsia="Arial" w:hAnsi="Arial"/>
                <w:sz w:val="18"/>
                <w:szCs w:val="18"/>
                <w:color w:val="FFFFFF"/>
              </w:rPr>
              <w:t>​ ​ Director since: 2014  •  Age: 75</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4780" w:type="dxa"/>
            <w:vAlign w:val="bottom"/>
            <w:shd w:val="clear" w:color="auto" w:fill="0075A8"/>
          </w:tcPr>
          <w:p>
            <w:pPr>
              <w:spacing w:after="0"/>
              <w:rPr>
                <w:sz w:val="6"/>
                <w:szCs w:val="6"/>
                <w:color w:val="auto"/>
              </w:rPr>
            </w:pPr>
          </w:p>
        </w:tc>
        <w:tc>
          <w:tcPr>
            <w:tcW w:w="42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4780" w:type="dxa"/>
            <w:vAlign w:val="bottom"/>
          </w:tcPr>
          <w:p>
            <w:pPr>
              <w:spacing w:after="0"/>
              <w:rPr>
                <w:sz w:val="22"/>
                <w:szCs w:val="22"/>
                <w:color w:val="auto"/>
              </w:rPr>
            </w:pPr>
          </w:p>
        </w:tc>
        <w:tc>
          <w:tcPr>
            <w:tcW w:w="4260" w:type="dxa"/>
            <w:vAlign w:val="bottom"/>
          </w:tcPr>
          <w:p>
            <w:pPr>
              <w:ind w:left="120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71" w:lineRule="auto"/>
        <w:rPr>
          <w:sz w:val="20"/>
          <w:szCs w:val="20"/>
          <w:color w:val="auto"/>
        </w:rPr>
      </w:pPr>
      <w:r>
        <w:rPr>
          <w:rFonts w:ascii="Arial" w:cs="Arial" w:eastAsia="Arial" w:hAnsi="Arial"/>
          <w:sz w:val="19"/>
          <w:szCs w:val="19"/>
          <w:color w:val="auto"/>
        </w:rPr>
        <w:t>Ms. King has been Chairman of the Board since February 2025. She first joined the Board in 2014 and served as Lead Independent Director from 2019 to February 2025. She served as Executive Chairman of QLogic Corporation (a publicly traded developer of high-performance server and storage networking connectivity products) from August 2015 until August 2016, when it was acquired by Cavium, Inc. Previously, she served as Chief Executive Officer of Standard Microsystems Corporation (“Standard Microsystems”)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135" w:lineRule="exact"/>
        <w:rPr>
          <w:sz w:val="20"/>
          <w:szCs w:val="20"/>
          <w:color w:val="auto"/>
        </w:rPr>
      </w:pPr>
    </w:p>
    <w:p>
      <w:pPr>
        <w:ind w:left="660" w:right="40"/>
        <w:spacing w:after="0" w:line="265"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Ms. King’s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her extensive management and operational experience in the high-tech and semiconductor industries as well as her significant strategic and financial expertise.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ind w:left="160" w:hanging="155"/>
        <w:spacing w:after="0"/>
        <w:tabs>
          <w:tab w:leader="none" w:pos="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ind w:left="160" w:hanging="155"/>
        <w:spacing w:after="0"/>
        <w:tabs>
          <w:tab w:leader="none" w:pos="1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Allegro MicroSystems, Inc. (until 2021)</w:t>
      </w:r>
    </w:p>
    <w:p>
      <w:pPr>
        <w:spacing w:after="0" w:line="43" w:lineRule="exact"/>
        <w:rPr>
          <w:rFonts w:ascii="Arial" w:cs="Arial" w:eastAsia="Arial" w:hAnsi="Arial"/>
          <w:sz w:val="15"/>
          <w:szCs w:val="15"/>
          <w:color w:val="auto"/>
        </w:rPr>
      </w:pPr>
    </w:p>
    <w:p>
      <w:pPr>
        <w:ind w:left="160" w:hanging="155"/>
        <w:spacing w:after="0"/>
        <w:tabs>
          <w:tab w:leader="none" w:pos="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IDACORP, Inc. (until 2021)</w:t>
      </w:r>
    </w:p>
    <w:p>
      <w:pPr>
        <w:spacing w:after="0" w:line="2453" w:lineRule="exact"/>
        <w:rPr>
          <w:sz w:val="20"/>
          <w:szCs w:val="20"/>
          <w:color w:val="auto"/>
        </w:rPr>
      </w:pPr>
    </w:p>
    <w:p>
      <w:pPr>
        <w:sectPr>
          <w:pgSz w:w="11900" w:h="16838" w:orient="portrait"/>
          <w:cols w:equalWidth="0" w:num="2">
            <w:col w:w="6620" w:space="280"/>
            <w:col w:w="320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54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 xml:space="preserve">Philip G. Brace, </w:t>
            </w:r>
            <w:r>
              <w:rPr>
                <w:rFonts w:ascii="Arial" w:cs="Arial" w:eastAsia="Arial" w:hAnsi="Arial"/>
                <w:sz w:val="20"/>
                <w:szCs w:val="20"/>
                <w:i w:val="1"/>
                <w:iCs w:val="1"/>
                <w:color w:val="FFFFFF"/>
              </w:rPr>
              <w:t>Chief Executive Officer and President</w:t>
            </w:r>
          </w:p>
        </w:tc>
        <w:tc>
          <w:tcPr>
            <w:tcW w:w="3580" w:type="dxa"/>
            <w:vAlign w:val="bottom"/>
            <w:shd w:val="clear" w:color="auto" w:fill="0075A8"/>
          </w:tcPr>
          <w:p>
            <w:pPr>
              <w:ind w:left="520"/>
              <w:spacing w:after="0"/>
              <w:rPr>
                <w:sz w:val="20"/>
                <w:szCs w:val="20"/>
                <w:color w:val="auto"/>
              </w:rPr>
            </w:pPr>
            <w:r>
              <w:rPr>
                <w:rFonts w:ascii="Arial" w:cs="Arial" w:eastAsia="Arial" w:hAnsi="Arial"/>
                <w:sz w:val="18"/>
                <w:szCs w:val="18"/>
                <w:color w:val="FFFFFF"/>
              </w:rPr>
              <w:t>​ ​ Director since: 2025  •  Age: 54</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5460" w:type="dxa"/>
            <w:vAlign w:val="bottom"/>
            <w:shd w:val="clear" w:color="auto" w:fill="0075A8"/>
          </w:tcPr>
          <w:p>
            <w:pPr>
              <w:spacing w:after="0"/>
              <w:rPr>
                <w:sz w:val="6"/>
                <w:szCs w:val="6"/>
                <w:color w:val="auto"/>
              </w:rPr>
            </w:pPr>
          </w:p>
        </w:tc>
        <w:tc>
          <w:tcPr>
            <w:tcW w:w="358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5460" w:type="dxa"/>
            <w:vAlign w:val="bottom"/>
          </w:tcPr>
          <w:p>
            <w:pPr>
              <w:spacing w:after="0"/>
              <w:rPr>
                <w:sz w:val="22"/>
                <w:szCs w:val="22"/>
                <w:color w:val="auto"/>
              </w:rPr>
            </w:pPr>
          </w:p>
        </w:tc>
        <w:tc>
          <w:tcPr>
            <w:tcW w:w="3580" w:type="dxa"/>
            <w:vAlign w:val="bottom"/>
          </w:tcPr>
          <w:p>
            <w:pPr>
              <w:ind w:left="52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70" w:lineRule="auto"/>
        <w:rPr>
          <w:sz w:val="20"/>
          <w:szCs w:val="20"/>
          <w:color w:val="auto"/>
        </w:rPr>
      </w:pPr>
      <w:r>
        <w:rPr>
          <w:rFonts w:ascii="Arial" w:cs="Arial" w:eastAsia="Arial" w:hAnsi="Arial"/>
          <w:sz w:val="19"/>
          <w:szCs w:val="19"/>
          <w:color w:val="auto"/>
        </w:rPr>
        <w:t>Prior to his appointment as Chief Executive Officer and President and a director in February 2025, Mr. Brace served as interim Executive Chairman of Inseego Corp. (“Inseego”) (a publicly traded designer and developer of wireless broadband and IoT solutions) from February 2024 to February 2025 and served on the board of directors of Inseego from September 2023 to February 2025. Before that,</w:t>
      </w:r>
    </w:p>
    <w:p>
      <w:pPr>
        <w:spacing w:after="0" w:line="1" w:lineRule="exact"/>
        <w:rPr>
          <w:sz w:val="20"/>
          <w:szCs w:val="20"/>
          <w:color w:val="auto"/>
        </w:rPr>
      </w:pPr>
    </w:p>
    <w:p>
      <w:pPr>
        <w:ind w:left="660" w:right="80"/>
        <w:spacing w:after="0" w:line="271" w:lineRule="auto"/>
        <w:rPr>
          <w:sz w:val="20"/>
          <w:szCs w:val="20"/>
          <w:color w:val="auto"/>
        </w:rPr>
      </w:pPr>
      <w:r>
        <w:rPr>
          <w:rFonts w:ascii="Arial" w:cs="Arial" w:eastAsia="Arial" w:hAnsi="Arial"/>
          <w:sz w:val="19"/>
          <w:szCs w:val="19"/>
          <w:color w:val="auto"/>
        </w:rPr>
        <w:t>Mr. Brace was President and Chief Executive Officer of Sierra Wireless Inc. (a formerly publicly traded provider of IoT solutions) from July 2021 to January 2023 where he led the company through significant improvements. Mr. Brace also held previous roles as Executive Vice President of Veritas Software Technology Corp (a formerly publicly traded provider of data management and protection solutions for businesses) from 2019 to 2021, and President of Cloud Systems and Silicon Group at Seagate Technology Holdings PLC (a publicly traded manufacturer of data storage products) from 2015 to 2017. Previously, Mr. Brace served in engineering and management roles at Intel Corporation (a publicly traded developer of computer components) and LSI Corporation (a formerly publicly traded semiconductor designer acquired by Avago Technologies Limited).</w:t>
      </w:r>
    </w:p>
    <w:p>
      <w:pPr>
        <w:spacing w:after="0" w:line="121" w:lineRule="exact"/>
        <w:rPr>
          <w:sz w:val="20"/>
          <w:szCs w:val="20"/>
          <w:color w:val="auto"/>
        </w:rPr>
      </w:pPr>
    </w:p>
    <w:p>
      <w:pPr>
        <w:ind w:left="660"/>
        <w:spacing w:after="0" w:line="265"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Brace’s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deep understanding of the semiconductor industry and his prior executive experience in the server, IoT and storage industries, as well as his track record of helping businesses enhance their product lines, market penetration and growth.</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color w:val="auto"/>
        </w:rPr>
        <w:t>• None</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75A8"/>
        </w:rPr>
        <w:t>Other Public Company Boards</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Current</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6"/>
          <w:szCs w:val="16"/>
          <w:color w:val="auto"/>
        </w:rPr>
        <w:t>• BlackBerry Limited</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ind w:left="162" w:hanging="162"/>
        <w:spacing w:after="0"/>
        <w:tabs>
          <w:tab w:leader="none" w:pos="1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Inseego Corp. (until 2025)</w:t>
      </w:r>
    </w:p>
    <w:p>
      <w:pPr>
        <w:spacing w:after="0" w:line="32" w:lineRule="exact"/>
        <w:rPr>
          <w:rFonts w:ascii="Arial" w:cs="Arial" w:eastAsia="Arial" w:hAnsi="Arial"/>
          <w:sz w:val="16"/>
          <w:szCs w:val="16"/>
          <w:color w:val="auto"/>
        </w:rPr>
      </w:pPr>
    </w:p>
    <w:p>
      <w:pPr>
        <w:ind w:left="162" w:hanging="162"/>
        <w:spacing w:after="0"/>
        <w:tabs>
          <w:tab w:leader="none" w:pos="1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Lantronix, Inc. (until 2025)</w:t>
      </w:r>
    </w:p>
    <w:p>
      <w:pPr>
        <w:spacing w:after="0" w:line="30" w:lineRule="exact"/>
        <w:rPr>
          <w:rFonts w:ascii="Arial" w:cs="Arial" w:eastAsia="Arial" w:hAnsi="Arial"/>
          <w:sz w:val="16"/>
          <w:szCs w:val="16"/>
          <w:color w:val="auto"/>
        </w:rPr>
      </w:pPr>
    </w:p>
    <w:p>
      <w:pPr>
        <w:ind w:left="162" w:hanging="162"/>
        <w:spacing w:after="0"/>
        <w:tabs>
          <w:tab w:leader="none" w:pos="1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Sierra Wireless Inc. (until 2023)</w:t>
      </w:r>
    </w:p>
    <w:p>
      <w:pPr>
        <w:spacing w:after="0" w:line="3923" w:lineRule="exact"/>
        <w:rPr>
          <w:sz w:val="20"/>
          <w:szCs w:val="20"/>
          <w:color w:val="auto"/>
        </w:rPr>
      </w:pPr>
    </w:p>
    <w:p>
      <w:pPr>
        <w:sectPr>
          <w:pgSz w:w="11900" w:h="16838" w:orient="portrait"/>
          <w:cols w:equalWidth="0" w:num="2">
            <w:col w:w="6600" w:space="318"/>
            <w:col w:w="3182"/>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6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Alan S. Batey</w:t>
            </w:r>
          </w:p>
        </w:tc>
        <w:tc>
          <w:tcPr>
            <w:tcW w:w="5360" w:type="dxa"/>
            <w:vAlign w:val="bottom"/>
            <w:shd w:val="clear" w:color="auto" w:fill="0075A8"/>
          </w:tcPr>
          <w:p>
            <w:pPr>
              <w:ind w:left="2300"/>
              <w:spacing w:after="0"/>
              <w:rPr>
                <w:sz w:val="20"/>
                <w:szCs w:val="20"/>
                <w:color w:val="auto"/>
              </w:rPr>
            </w:pPr>
            <w:r>
              <w:rPr>
                <w:rFonts w:ascii="Arial" w:cs="Arial" w:eastAsia="Arial" w:hAnsi="Arial"/>
                <w:sz w:val="18"/>
                <w:szCs w:val="18"/>
                <w:color w:val="FFFFFF"/>
              </w:rPr>
              <w:t>​ ​ Director since: 2019  •  Age: 62</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680" w:type="dxa"/>
            <w:vAlign w:val="bottom"/>
            <w:shd w:val="clear" w:color="auto" w:fill="0075A8"/>
          </w:tcPr>
          <w:p>
            <w:pPr>
              <w:spacing w:after="0"/>
              <w:rPr>
                <w:sz w:val="6"/>
                <w:szCs w:val="6"/>
                <w:color w:val="auto"/>
              </w:rPr>
            </w:pPr>
          </w:p>
        </w:tc>
        <w:tc>
          <w:tcPr>
            <w:tcW w:w="53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3680" w:type="dxa"/>
            <w:vAlign w:val="bottom"/>
          </w:tcPr>
          <w:p>
            <w:pPr>
              <w:spacing w:after="0"/>
              <w:rPr>
                <w:sz w:val="22"/>
                <w:szCs w:val="22"/>
                <w:color w:val="auto"/>
              </w:rPr>
            </w:pPr>
          </w:p>
        </w:tc>
        <w:tc>
          <w:tcPr>
            <w:tcW w:w="5360" w:type="dxa"/>
            <w:vAlign w:val="bottom"/>
          </w:tcPr>
          <w:p>
            <w:pPr>
              <w:ind w:left="230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59" w:lineRule="auto"/>
        <w:rPr>
          <w:sz w:val="20"/>
          <w:szCs w:val="20"/>
          <w:color w:val="auto"/>
        </w:rPr>
      </w:pPr>
      <w:r>
        <w:rPr>
          <w:rFonts w:ascii="Arial" w:cs="Arial" w:eastAsia="Arial" w:hAnsi="Arial"/>
          <w:sz w:val="20"/>
          <w:szCs w:val="20"/>
          <w:color w:val="auto"/>
        </w:rPr>
        <w:t>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137" w:lineRule="exact"/>
        <w:rPr>
          <w:sz w:val="20"/>
          <w:szCs w:val="20"/>
          <w:color w:val="auto"/>
        </w:rPr>
      </w:pPr>
    </w:p>
    <w:p>
      <w:pPr>
        <w:ind w:left="660" w:right="420"/>
        <w:spacing w:after="0" w:line="260"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Batey’s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extensive senior management experience at General Motors, where he developed expertise on a broad set of complex strategic, operational, and technological matters involving the automotive industry, an industry that is expected to be a growth market for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636" w:lineRule="exact"/>
        <w:rPr>
          <w:sz w:val="20"/>
          <w:szCs w:val="20"/>
          <w:color w:val="auto"/>
        </w:rPr>
      </w:pPr>
    </w:p>
    <w:p>
      <w:pPr>
        <w:sectPr>
          <w:pgSz w:w="11900" w:h="16838" w:orient="portrait"/>
          <w:cols w:equalWidth="0" w:num="2">
            <w:col w:w="6640" w:space="260"/>
            <w:col w:w="3200"/>
          </w:cols>
          <w:pgMar w:left="580" w:top="97" w:right="1219" w:bottom="1440" w:gutter="0" w:footer="0" w:header="0"/>
          <w:type w:val="continuous"/>
        </w:sectPr>
      </w:pP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7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Kevin L. Beebe</w:t>
            </w:r>
          </w:p>
        </w:tc>
        <w:tc>
          <w:tcPr>
            <w:tcW w:w="5280" w:type="dxa"/>
            <w:vAlign w:val="bottom"/>
            <w:shd w:val="clear" w:color="auto" w:fill="0075A8"/>
          </w:tcPr>
          <w:p>
            <w:pPr>
              <w:ind w:left="2220"/>
              <w:spacing w:after="0"/>
              <w:rPr>
                <w:sz w:val="20"/>
                <w:szCs w:val="20"/>
                <w:color w:val="auto"/>
              </w:rPr>
            </w:pPr>
            <w:r>
              <w:rPr>
                <w:rFonts w:ascii="Arial" w:cs="Arial" w:eastAsia="Arial" w:hAnsi="Arial"/>
                <w:sz w:val="18"/>
                <w:szCs w:val="18"/>
                <w:color w:val="FFFFFF"/>
              </w:rPr>
              <w:t>​ ​ Director since: 2004  •  Age: 66</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760" w:type="dxa"/>
            <w:vAlign w:val="bottom"/>
            <w:shd w:val="clear" w:color="auto" w:fill="0075A8"/>
          </w:tcPr>
          <w:p>
            <w:pPr>
              <w:spacing w:after="0"/>
              <w:rPr>
                <w:sz w:val="6"/>
                <w:szCs w:val="6"/>
                <w:color w:val="auto"/>
              </w:rPr>
            </w:pPr>
          </w:p>
        </w:tc>
        <w:tc>
          <w:tcPr>
            <w:tcW w:w="528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28"/>
        </w:trPr>
        <w:tc>
          <w:tcPr>
            <w:tcW w:w="3760" w:type="dxa"/>
            <w:vAlign w:val="bottom"/>
          </w:tcPr>
          <w:p>
            <w:pPr>
              <w:spacing w:after="0"/>
              <w:rPr>
                <w:sz w:val="19"/>
                <w:szCs w:val="19"/>
                <w:color w:val="auto"/>
              </w:rPr>
            </w:pPr>
          </w:p>
        </w:tc>
        <w:tc>
          <w:tcPr>
            <w:tcW w:w="5280" w:type="dxa"/>
            <w:vAlign w:val="bottom"/>
          </w:tcPr>
          <w:p>
            <w:pPr>
              <w:ind w:left="2220"/>
              <w:spacing w:after="0"/>
              <w:rPr>
                <w:sz w:val="20"/>
                <w:szCs w:val="20"/>
                <w:color w:val="auto"/>
              </w:rPr>
            </w:pPr>
            <w:r>
              <w:rPr>
                <w:rFonts w:ascii="Arial" w:cs="Arial" w:eastAsia="Arial" w:hAnsi="Arial"/>
                <w:sz w:val="16"/>
                <w:szCs w:val="16"/>
                <w:color w:val="auto"/>
              </w:rPr>
              <w:t>​ ​</w:t>
            </w:r>
          </w:p>
        </w:tc>
        <w:tc>
          <w:tcPr>
            <w:tcW w:w="360" w:type="dxa"/>
            <w:vAlign w:val="bottom"/>
          </w:tcPr>
          <w:p>
            <w:pPr>
              <w:ind w:left="260"/>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spacing w:after="0" w:line="10" w:lineRule="exact"/>
        <w:rPr>
          <w:sz w:val="20"/>
          <w:szCs w:val="20"/>
          <w:color w:val="auto"/>
        </w:rPr>
      </w:pPr>
    </w:p>
    <w:p>
      <w:pPr>
        <w:ind w:left="660"/>
        <w:spacing w:after="0" w:line="274" w:lineRule="auto"/>
        <w:rPr>
          <w:sz w:val="20"/>
          <w:szCs w:val="20"/>
          <w:color w:val="auto"/>
        </w:rPr>
      </w:pPr>
      <w:r>
        <w:rPr>
          <w:rFonts w:ascii="Arial" w:cs="Arial" w:eastAsia="Arial" w:hAnsi="Arial"/>
          <w:sz w:val="19"/>
          <w:szCs w:val="19"/>
          <w:color w:val="auto"/>
        </w:rPr>
        <w:t>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128" w:lineRule="exact"/>
        <w:rPr>
          <w:sz w:val="20"/>
          <w:szCs w:val="20"/>
          <w:color w:val="auto"/>
        </w:rPr>
      </w:pPr>
    </w:p>
    <w:p>
      <w:pPr>
        <w:ind w:left="660" w:right="220"/>
        <w:spacing w:after="0" w:line="279"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Mr. Beebe’s qualifications to serve as a director</w:t>
      </w:r>
      <w:r>
        <w:rPr>
          <w:rFonts w:ascii="Arial" w:cs="Arial" w:eastAsia="Arial" w:hAnsi="Arial"/>
          <w:sz w:val="19"/>
          <w:szCs w:val="19"/>
          <w:b w:val="1"/>
          <w:bCs w:val="1"/>
          <w:color w:val="0075A8"/>
        </w:rPr>
        <w:t xml:space="preserve"> </w:t>
      </w:r>
      <w:r>
        <w:rPr>
          <w:rFonts w:ascii="Arial" w:cs="Arial" w:eastAsia="Arial" w:hAnsi="Arial"/>
          <w:sz w:val="19"/>
          <w:szCs w:val="19"/>
          <w:color w:val="0075A8"/>
        </w:rPr>
        <w:t>include his two decades of experience as an operating executive in the wireless telecommunications industry as well as his experience and relationships gained from advising leading private equity firms that are transacting business in the global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r>
        <w:rPr>
          <w:rFonts w:ascii="Arial" w:cs="Arial" w:eastAsia="Arial" w:hAnsi="Arial"/>
          <w:sz w:val="16"/>
          <w:szCs w:val="16"/>
          <w:color w:val="000000"/>
        </w:rPr>
        <w:t>​</w:t>
      </w:r>
    </w:p>
    <w:p>
      <w:pPr>
        <w:spacing w:after="0" w:line="122" w:lineRule="exact"/>
        <w:rPr>
          <w:sz w:val="20"/>
          <w:szCs w:val="20"/>
          <w:color w:val="auto"/>
        </w:rPr>
      </w:pPr>
    </w:p>
    <w:p>
      <w:pPr>
        <w:ind w:left="160" w:right="260" w:hanging="155"/>
        <w:spacing w:after="0" w:line="304" w:lineRule="auto"/>
        <w:tabs>
          <w:tab w:leader="none" w:pos="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ind w:left="160" w:hanging="155"/>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SBA Communications Corporation</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Frontier Communications Parent,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98" w:lineRule="exact"/>
        <w:rPr>
          <w:sz w:val="20"/>
          <w:szCs w:val="20"/>
          <w:color w:val="auto"/>
        </w:rPr>
      </w:pPr>
    </w:p>
    <w:p>
      <w:pPr>
        <w:ind w:left="160" w:right="480" w:hanging="155"/>
        <w:spacing w:after="0" w:line="304" w:lineRule="auto"/>
        <w:tabs>
          <w:tab w:leader="none" w:pos="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Altimar Acquisition Corporation (until 2021)</w:t>
      </w:r>
    </w:p>
    <w:p>
      <w:pPr>
        <w:spacing w:after="0" w:line="33" w:lineRule="exact"/>
        <w:rPr>
          <w:rFonts w:ascii="Arial" w:cs="Arial" w:eastAsia="Arial" w:hAnsi="Arial"/>
          <w:sz w:val="16"/>
          <w:szCs w:val="16"/>
          <w:color w:val="auto"/>
        </w:rPr>
      </w:pPr>
    </w:p>
    <w:p>
      <w:pPr>
        <w:ind w:left="160" w:hanging="155"/>
        <w:spacing w:after="0"/>
        <w:tabs>
          <w:tab w:leader="none" w:pos="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Altimar Acquisition Corp. II (until 2021)</w:t>
      </w:r>
    </w:p>
    <w:p>
      <w:pPr>
        <w:spacing w:after="0" w:line="371" w:lineRule="exact"/>
        <w:rPr>
          <w:sz w:val="20"/>
          <w:szCs w:val="20"/>
          <w:color w:val="auto"/>
        </w:rPr>
      </w:pPr>
    </w:p>
    <w:p>
      <w:pPr>
        <w:sectPr>
          <w:pgSz w:w="11900" w:h="16838" w:orient="portrait"/>
          <w:cols w:equalWidth="0" w:num="2">
            <w:col w:w="6600" w:space="300"/>
            <w:col w:w="320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6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Eric J. Guerin</w:t>
            </w:r>
          </w:p>
        </w:tc>
        <w:tc>
          <w:tcPr>
            <w:tcW w:w="5360" w:type="dxa"/>
            <w:vAlign w:val="bottom"/>
            <w:shd w:val="clear" w:color="auto" w:fill="0075A8"/>
          </w:tcPr>
          <w:p>
            <w:pPr>
              <w:ind w:left="2300"/>
              <w:spacing w:after="0"/>
              <w:rPr>
                <w:sz w:val="20"/>
                <w:szCs w:val="20"/>
                <w:color w:val="auto"/>
              </w:rPr>
            </w:pPr>
            <w:r>
              <w:rPr>
                <w:rFonts w:ascii="Arial" w:cs="Arial" w:eastAsia="Arial" w:hAnsi="Arial"/>
                <w:sz w:val="18"/>
                <w:szCs w:val="18"/>
                <w:color w:val="FFFFFF"/>
              </w:rPr>
              <w:t>​ ​ Director since: 2022  •  Age: 53</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680" w:type="dxa"/>
            <w:vAlign w:val="bottom"/>
            <w:shd w:val="clear" w:color="auto" w:fill="0075A8"/>
          </w:tcPr>
          <w:p>
            <w:pPr>
              <w:spacing w:after="0"/>
              <w:rPr>
                <w:sz w:val="6"/>
                <w:szCs w:val="6"/>
                <w:color w:val="auto"/>
              </w:rPr>
            </w:pPr>
          </w:p>
        </w:tc>
        <w:tc>
          <w:tcPr>
            <w:tcW w:w="53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3680" w:type="dxa"/>
            <w:vAlign w:val="bottom"/>
          </w:tcPr>
          <w:p>
            <w:pPr>
              <w:spacing w:after="0"/>
              <w:rPr>
                <w:sz w:val="22"/>
                <w:szCs w:val="22"/>
                <w:color w:val="auto"/>
              </w:rPr>
            </w:pPr>
          </w:p>
        </w:tc>
        <w:tc>
          <w:tcPr>
            <w:tcW w:w="5360" w:type="dxa"/>
            <w:vAlign w:val="bottom"/>
          </w:tcPr>
          <w:p>
            <w:pPr>
              <w:ind w:left="230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71" w:lineRule="auto"/>
        <w:rPr>
          <w:sz w:val="20"/>
          <w:szCs w:val="20"/>
          <w:color w:val="auto"/>
        </w:rPr>
      </w:pPr>
      <w:r>
        <w:rPr>
          <w:rFonts w:ascii="Arial" w:cs="Arial" w:eastAsia="Arial" w:hAnsi="Arial"/>
          <w:sz w:val="19"/>
          <w:szCs w:val="19"/>
          <w:color w:val="auto"/>
        </w:rPr>
        <w:t>Mr. Guerin serves as Chief Financial Officer of RB Global, Inc. (a publicly traded provider of insights, services and transaction solutions for buyers and sellers of commercial assets and vehicles), a role he has held since January 2024. Previously, Mr. Guerin served as Senior Vice President and Chief Financial Officer of Veritiv Corporation (a formerly publicly traded provider of packaging and hygiene products), from March 2023 to December 2023 and as its Senior Vice President-Finance from January 2023 to March 2023. Prior to that, he served as Executive Vice President and Chief Financial Officer of CDK Global Inc. (a formerly publicly traded provider of integrated technology solutions to the automotive industry) from 2021 to 2022. From 2016 to 2021, he served as Division Vice President and sector Chief Financial Officer at Corning Glass Technologies, a division of Corning Inc. (a publicly traded innovator in materials science). Previously, he served in financial leadership roles at Flowserve Corporation, Novartis Corporation, Johnson &amp; Johnson Services Inc., and AstraZeneca PLC, each a publicly traded company or subsidiary thereof.</w:t>
      </w:r>
    </w:p>
    <w:p>
      <w:pPr>
        <w:spacing w:after="0" w:line="124" w:lineRule="exact"/>
        <w:rPr>
          <w:sz w:val="20"/>
          <w:szCs w:val="20"/>
          <w:color w:val="auto"/>
        </w:rPr>
      </w:pPr>
    </w:p>
    <w:p>
      <w:pPr>
        <w:ind w:left="660" w:right="500"/>
        <w:spacing w:after="0" w:line="270"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Guerin’s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financial and operational expertise across multiple dynamic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Natus Medical Incorporated (until 2022)</w:t>
      </w:r>
    </w:p>
    <w:p>
      <w:pPr>
        <w:spacing w:after="0" w:line="3361" w:lineRule="exact"/>
        <w:rPr>
          <w:sz w:val="20"/>
          <w:szCs w:val="20"/>
          <w:color w:val="auto"/>
        </w:rPr>
      </w:pPr>
    </w:p>
    <w:p>
      <w:pPr>
        <w:sectPr>
          <w:pgSz w:w="11900" w:h="16838" w:orient="portrait"/>
          <w:cols w:equalWidth="0" w:num="2">
            <w:col w:w="6640" w:space="260"/>
            <w:col w:w="3200"/>
          </w:cols>
          <w:pgMar w:left="580" w:top="97" w:right="1219" w:bottom="1440" w:gutter="0" w:footer="0" w:header="0"/>
          <w:type w:val="continuous"/>
        </w:sect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400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Suzanne E. McBride</w:t>
            </w:r>
          </w:p>
        </w:tc>
        <w:tc>
          <w:tcPr>
            <w:tcW w:w="5040" w:type="dxa"/>
            <w:vAlign w:val="bottom"/>
            <w:shd w:val="clear" w:color="auto" w:fill="0075A8"/>
          </w:tcPr>
          <w:p>
            <w:pPr>
              <w:ind w:left="1980"/>
              <w:spacing w:after="0"/>
              <w:rPr>
                <w:sz w:val="20"/>
                <w:szCs w:val="20"/>
                <w:color w:val="auto"/>
              </w:rPr>
            </w:pPr>
            <w:r>
              <w:rPr>
                <w:rFonts w:ascii="Arial" w:cs="Arial" w:eastAsia="Arial" w:hAnsi="Arial"/>
                <w:sz w:val="18"/>
                <w:szCs w:val="18"/>
                <w:color w:val="FFFFFF"/>
              </w:rPr>
              <w:t>​ ​ Director since: 2022  •  Age: 56</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4000" w:type="dxa"/>
            <w:vAlign w:val="bottom"/>
            <w:shd w:val="clear" w:color="auto" w:fill="0075A8"/>
          </w:tcPr>
          <w:p>
            <w:pPr>
              <w:spacing w:after="0"/>
              <w:rPr>
                <w:sz w:val="6"/>
                <w:szCs w:val="6"/>
                <w:color w:val="auto"/>
              </w:rPr>
            </w:pPr>
          </w:p>
        </w:tc>
        <w:tc>
          <w:tcPr>
            <w:tcW w:w="504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4000" w:type="dxa"/>
            <w:vAlign w:val="bottom"/>
          </w:tcPr>
          <w:p>
            <w:pPr>
              <w:spacing w:after="0"/>
              <w:rPr>
                <w:sz w:val="22"/>
                <w:szCs w:val="22"/>
                <w:color w:val="auto"/>
              </w:rPr>
            </w:pPr>
          </w:p>
        </w:tc>
        <w:tc>
          <w:tcPr>
            <w:tcW w:w="5040" w:type="dxa"/>
            <w:vAlign w:val="bottom"/>
          </w:tcPr>
          <w:p>
            <w:pPr>
              <w:ind w:left="198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ind w:left="660"/>
        <w:spacing w:after="0" w:line="257" w:lineRule="auto"/>
        <w:rPr>
          <w:sz w:val="20"/>
          <w:szCs w:val="20"/>
          <w:color w:val="auto"/>
        </w:rPr>
      </w:pPr>
      <w:r>
        <w:rPr>
          <w:rFonts w:ascii="Arial" w:cs="Arial" w:eastAsia="Arial" w:hAnsi="Arial"/>
          <w:sz w:val="20"/>
          <w:szCs w:val="20"/>
          <w:color w:val="auto"/>
        </w:rPr>
        <w:t>Ms. McBride serves as Chief Operations Officer for Iridium Communications, Inc. (“Iridium”) (a publicly traded operator of a satellite-based global communications network). Prior to rejoining Iridium in February 2019, where she had previously served from 2007 to 2016 in various leadership roles, Ms. McBride served from</w:t>
      </w:r>
    </w:p>
    <w:p>
      <w:pPr>
        <w:spacing w:after="0" w:line="2" w:lineRule="exact"/>
        <w:rPr>
          <w:sz w:val="20"/>
          <w:szCs w:val="20"/>
          <w:color w:val="auto"/>
        </w:rPr>
      </w:pPr>
    </w:p>
    <w:p>
      <w:pPr>
        <w:ind w:left="660" w:right="20"/>
        <w:spacing w:after="0" w:line="272" w:lineRule="auto"/>
        <w:rPr>
          <w:sz w:val="20"/>
          <w:szCs w:val="20"/>
          <w:color w:val="auto"/>
        </w:rPr>
      </w:pPr>
      <w:r>
        <w:rPr>
          <w:rFonts w:ascii="Arial" w:cs="Arial" w:eastAsia="Arial" w:hAnsi="Arial"/>
          <w:sz w:val="19"/>
          <w:szCs w:val="19"/>
          <w:color w:val="auto"/>
        </w:rPr>
        <w:t>June 2016 to January 2019 as Senior Vice President and Chief Operations Officer for OneWeb (a privately held company building a space-based global communications network that filed a voluntary petition for Chapter 11 bankruptcy protection on March 27, 2020).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119" w:lineRule="exact"/>
        <w:rPr>
          <w:sz w:val="20"/>
          <w:szCs w:val="20"/>
          <w:color w:val="auto"/>
        </w:rPr>
      </w:pPr>
    </w:p>
    <w:p>
      <w:pPr>
        <w:ind w:left="660" w:right="40"/>
        <w:spacing w:after="0" w:line="269"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Ms. McBride’s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her extensive strategy and operations expertise developed through more than twenty-five years of experience within the wireless technology industry.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 Nominating and Corporate Governance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Iridium Communications,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536" w:lineRule="exact"/>
        <w:rPr>
          <w:sz w:val="20"/>
          <w:szCs w:val="20"/>
          <w:color w:val="auto"/>
        </w:rPr>
      </w:pPr>
    </w:p>
    <w:p>
      <w:pPr>
        <w:sectPr>
          <w:pgSz w:w="11900" w:h="16838" w:orient="portrait"/>
          <w:cols w:equalWidth="0" w:num="2">
            <w:col w:w="6620" w:space="280"/>
            <w:col w:w="3200"/>
          </w:cols>
          <w:pgMar w:left="580" w:top="97" w:right="1219" w:bottom="1440" w:gutter="0" w:footer="0" w:header="0"/>
          <w:type w:val="continuous"/>
        </w:sectPr>
      </w:pPr>
    </w:p>
    <w:p>
      <w:pPr>
        <w:spacing w:after="0" w:line="9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8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David P. McGlade</w:t>
            </w:r>
          </w:p>
        </w:tc>
        <w:tc>
          <w:tcPr>
            <w:tcW w:w="5180" w:type="dxa"/>
            <w:vAlign w:val="bottom"/>
            <w:shd w:val="clear" w:color="auto" w:fill="0075A8"/>
          </w:tcPr>
          <w:p>
            <w:pPr>
              <w:ind w:left="2120"/>
              <w:spacing w:after="0"/>
              <w:rPr>
                <w:sz w:val="20"/>
                <w:szCs w:val="20"/>
                <w:color w:val="auto"/>
              </w:rPr>
            </w:pPr>
            <w:r>
              <w:rPr>
                <w:rFonts w:ascii="Arial" w:cs="Arial" w:eastAsia="Arial" w:hAnsi="Arial"/>
                <w:sz w:val="18"/>
                <w:szCs w:val="18"/>
                <w:color w:val="FFFFFF"/>
              </w:rPr>
              <w:t>​ ​ Director since: 2005  •  Age: 64</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860" w:type="dxa"/>
            <w:vAlign w:val="bottom"/>
            <w:shd w:val="clear" w:color="auto" w:fill="0075A8"/>
          </w:tcPr>
          <w:p>
            <w:pPr>
              <w:spacing w:after="0"/>
              <w:rPr>
                <w:sz w:val="6"/>
                <w:szCs w:val="6"/>
                <w:color w:val="auto"/>
              </w:rPr>
            </w:pPr>
          </w:p>
        </w:tc>
        <w:tc>
          <w:tcPr>
            <w:tcW w:w="518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3860" w:type="dxa"/>
            <w:vAlign w:val="bottom"/>
          </w:tcPr>
          <w:p>
            <w:pPr>
              <w:spacing w:after="0"/>
              <w:rPr>
                <w:sz w:val="22"/>
                <w:szCs w:val="22"/>
                <w:color w:val="auto"/>
              </w:rPr>
            </w:pPr>
          </w:p>
        </w:tc>
        <w:tc>
          <w:tcPr>
            <w:tcW w:w="5180" w:type="dxa"/>
            <w:vAlign w:val="bottom"/>
          </w:tcPr>
          <w:p>
            <w:pPr>
              <w:ind w:left="212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right="180"/>
        <w:spacing w:after="0" w:line="273" w:lineRule="auto"/>
        <w:rPr>
          <w:sz w:val="20"/>
          <w:szCs w:val="20"/>
          <w:color w:val="auto"/>
        </w:rPr>
      </w:pPr>
      <w:r>
        <w:rPr>
          <w:rFonts w:ascii="Arial" w:cs="Arial" w:eastAsia="Arial" w:hAnsi="Arial"/>
          <w:sz w:val="19"/>
          <w:szCs w:val="19"/>
          <w:color w:val="auto"/>
        </w:rPr>
        <w:t>Mr. McGlade served as Chairman of the Board of Intelsat S.A. (“Intelsat”) (a formerly publicly traded worldwide provider of satellite communication services) from April 2013 to February 2022. He served as Executive Chairman of Intelsat from April 2015 to March 2018, prior to which he served as Chairman and Chief Executive Officer. Mr. McGlade joined Intelsat in April 2005 and was the Deputy Chairman from August 2008 until April 2013. Previously, Mr. McGlade served as an Executive Director of mmO2 PLC and as the Chief Executive Officer of O2 UK (a subsidiary of mmO2), a position he held from October 2000 until March 2005.</w:t>
      </w:r>
    </w:p>
    <w:p>
      <w:pPr>
        <w:spacing w:after="0" w:line="118" w:lineRule="exact"/>
        <w:rPr>
          <w:sz w:val="20"/>
          <w:szCs w:val="20"/>
          <w:color w:val="auto"/>
        </w:rPr>
      </w:pPr>
    </w:p>
    <w:p>
      <w:pPr>
        <w:ind w:left="660"/>
        <w:spacing w:after="0" w:line="262"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McGlade’s qualifications to serve</w:t>
      </w:r>
      <w:r>
        <w:rPr>
          <w:rFonts w:ascii="Arial" w:cs="Arial" w:eastAsia="Arial" w:hAnsi="Arial"/>
          <w:sz w:val="20"/>
          <w:szCs w:val="20"/>
          <w:b w:val="1"/>
          <w:bCs w:val="1"/>
          <w:color w:val="0075A8"/>
        </w:rPr>
        <w:t xml:space="preserve"> </w:t>
      </w:r>
      <w:r>
        <w:rPr>
          <w:rFonts w:ascii="Arial" w:cs="Arial" w:eastAsia="Arial" w:hAnsi="Arial"/>
          <w:sz w:val="20"/>
          <w:szCs w:val="20"/>
          <w:color w:val="0075A8"/>
        </w:rPr>
        <w:t>as a director include his significant operational, strategic, and financial acumen, as well as his knowledge about global capital markets, developed over approximately four decades of experience in the telecommunications industry.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r>
        <w:rPr>
          <w:rFonts w:ascii="Arial" w:cs="Arial" w:eastAsia="Arial" w:hAnsi="Arial"/>
          <w:sz w:val="16"/>
          <w:szCs w:val="16"/>
          <w:color w:val="000000"/>
        </w:rPr>
        <w:t>​</w:t>
      </w:r>
    </w:p>
    <w:p>
      <w:pPr>
        <w:spacing w:after="0" w:line="98" w:lineRule="exact"/>
        <w:rPr>
          <w:sz w:val="20"/>
          <w:szCs w:val="20"/>
          <w:color w:val="auto"/>
        </w:rPr>
      </w:pPr>
    </w:p>
    <w:p>
      <w:pPr>
        <w:ind w:left="160" w:hanging="155"/>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Nominating and Corporate Governance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Intelsat S.A. (until 2022)</w:t>
      </w:r>
    </w:p>
    <w:p>
      <w:pPr>
        <w:spacing w:after="0" w:line="1761" w:lineRule="exact"/>
        <w:rPr>
          <w:sz w:val="20"/>
          <w:szCs w:val="20"/>
          <w:color w:val="auto"/>
        </w:rPr>
      </w:pPr>
    </w:p>
    <w:p>
      <w:pPr>
        <w:sectPr>
          <w:pgSz w:w="11900" w:h="16838" w:orient="portrait"/>
          <w:cols w:equalWidth="0" w:num="2">
            <w:col w:w="6640" w:space="260"/>
            <w:col w:w="3200"/>
          </w:cols>
          <w:pgMar w:left="580" w:top="97" w:right="1219" w:bottom="1440" w:gutter="0" w:footer="0" w:header="0"/>
          <w:type w:val="continuous"/>
        </w:sectPr>
      </w:pP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410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Robert A. Schriesheim</w:t>
            </w:r>
          </w:p>
        </w:tc>
        <w:tc>
          <w:tcPr>
            <w:tcW w:w="4940" w:type="dxa"/>
            <w:vAlign w:val="bottom"/>
            <w:shd w:val="clear" w:color="auto" w:fill="0075A8"/>
          </w:tcPr>
          <w:p>
            <w:pPr>
              <w:ind w:left="1880"/>
              <w:spacing w:after="0"/>
              <w:rPr>
                <w:sz w:val="20"/>
                <w:szCs w:val="20"/>
                <w:color w:val="auto"/>
              </w:rPr>
            </w:pPr>
            <w:r>
              <w:rPr>
                <w:rFonts w:ascii="Arial" w:cs="Arial" w:eastAsia="Arial" w:hAnsi="Arial"/>
                <w:sz w:val="18"/>
                <w:szCs w:val="18"/>
                <w:color w:val="FFFFFF"/>
              </w:rPr>
              <w:t>​ ​ Director since: 2006  •  Age: 64</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4100" w:type="dxa"/>
            <w:vAlign w:val="bottom"/>
            <w:shd w:val="clear" w:color="auto" w:fill="0075A8"/>
          </w:tcPr>
          <w:p>
            <w:pPr>
              <w:spacing w:after="0"/>
              <w:rPr>
                <w:sz w:val="6"/>
                <w:szCs w:val="6"/>
                <w:color w:val="auto"/>
              </w:rPr>
            </w:pPr>
          </w:p>
        </w:tc>
        <w:tc>
          <w:tcPr>
            <w:tcW w:w="494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28"/>
        </w:trPr>
        <w:tc>
          <w:tcPr>
            <w:tcW w:w="4100" w:type="dxa"/>
            <w:vAlign w:val="bottom"/>
          </w:tcPr>
          <w:p>
            <w:pPr>
              <w:spacing w:after="0"/>
              <w:rPr>
                <w:sz w:val="19"/>
                <w:szCs w:val="19"/>
                <w:color w:val="auto"/>
              </w:rPr>
            </w:pPr>
          </w:p>
        </w:tc>
        <w:tc>
          <w:tcPr>
            <w:tcW w:w="4940" w:type="dxa"/>
            <w:vAlign w:val="bottom"/>
          </w:tcPr>
          <w:p>
            <w:pPr>
              <w:ind w:left="1880"/>
              <w:spacing w:after="0"/>
              <w:rPr>
                <w:sz w:val="20"/>
                <w:szCs w:val="20"/>
                <w:color w:val="auto"/>
              </w:rPr>
            </w:pPr>
            <w:r>
              <w:rPr>
                <w:rFonts w:ascii="Arial" w:cs="Arial" w:eastAsia="Arial" w:hAnsi="Arial"/>
                <w:sz w:val="16"/>
                <w:szCs w:val="16"/>
                <w:color w:val="auto"/>
              </w:rPr>
              <w:t>​ ​</w:t>
            </w:r>
          </w:p>
        </w:tc>
        <w:tc>
          <w:tcPr>
            <w:tcW w:w="360" w:type="dxa"/>
            <w:vAlign w:val="bottom"/>
          </w:tcPr>
          <w:p>
            <w:pPr>
              <w:ind w:left="260"/>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Mr. Schriesheim has been Chairman of Truax Partners LLC (a</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consulting firm) since 2018 and has served as Adjunct Associate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Professor of Finance at the University of Chicago Booth School of</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Business since September 2023. He served as Executive Vice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President and Chief Financial Officer of Sears Holdings Corporation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publicly traded nationwide retailer) from August 2011 to</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October 2016. From January 2010 to October 2010, Mr. Schriesheim</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was Chief Financial Officer of Hewitt Associates, Inc. (a global human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resources consulting and outsourcing company that was acquired by</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Aon Corporation). From October 2006 until December 2009, he was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Executive Vice President and Chief Financial Officer of Lawson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Software, Inc. (a publicly traded ERP software provider).</w:t>
      </w:r>
    </w:p>
    <w:p>
      <w:pPr>
        <w:spacing w:after="0" w:line="155" w:lineRule="exact"/>
        <w:rPr>
          <w:sz w:val="20"/>
          <w:szCs w:val="20"/>
          <w:color w:val="auto"/>
        </w:rPr>
      </w:pPr>
    </w:p>
    <w:p>
      <w:pPr>
        <w:ind w:left="660" w:right="80"/>
        <w:spacing w:after="0" w:line="261"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Schriesheim’s qualifications to</w:t>
      </w:r>
      <w:r>
        <w:rPr>
          <w:rFonts w:ascii="Arial" w:cs="Arial" w:eastAsia="Arial" w:hAnsi="Arial"/>
          <w:sz w:val="20"/>
          <w:szCs w:val="20"/>
          <w:b w:val="1"/>
          <w:bCs w:val="1"/>
          <w:color w:val="0075A8"/>
        </w:rPr>
        <w:t xml:space="preserve"> </w:t>
      </w:r>
      <w:r>
        <w:rPr>
          <w:rFonts w:ascii="Arial" w:cs="Arial" w:eastAsia="Arial" w:hAnsi="Arial"/>
          <w:sz w:val="20"/>
          <w:szCs w:val="20"/>
          <w:color w:val="0075A8"/>
        </w:rPr>
        <w:t>serve as a director 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r>
        <w:rPr>
          <w:rFonts w:ascii="Arial" w:cs="Arial" w:eastAsia="Arial" w:hAnsi="Arial"/>
          <w:sz w:val="16"/>
          <w:szCs w:val="16"/>
          <w:color w:val="000000"/>
        </w:rPr>
        <w:t>​</w:t>
      </w:r>
    </w:p>
    <w:p>
      <w:pPr>
        <w:spacing w:after="0" w:line="108" w:lineRule="exact"/>
        <w:rPr>
          <w:sz w:val="20"/>
          <w:szCs w:val="20"/>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Audit</w:t>
      </w:r>
    </w:p>
    <w:p>
      <w:pPr>
        <w:spacing w:after="0" w:line="30" w:lineRule="exact"/>
        <w:rPr>
          <w:rFonts w:ascii="Arial" w:cs="Arial" w:eastAsia="Arial" w:hAnsi="Arial"/>
          <w:sz w:val="16"/>
          <w:szCs w:val="16"/>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84" w:lineRule="exact"/>
        <w:rPr>
          <w:sz w:val="20"/>
          <w:szCs w:val="20"/>
          <w:color w:val="auto"/>
        </w:rPr>
      </w:pPr>
    </w:p>
    <w:p>
      <w:pPr>
        <w:ind w:left="160" w:right="240" w:hanging="155"/>
        <w:spacing w:after="0" w:line="290" w:lineRule="auto"/>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Houlihan Lokey, Inc., Lead Independent Director</w:t>
      </w: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Alight, Inc.</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ind w:left="160" w:hanging="155"/>
        <w:spacing w:after="0"/>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Indivior PLC (until 2025)</w:t>
      </w:r>
    </w:p>
    <w:p>
      <w:pPr>
        <w:spacing w:after="0" w:line="45" w:lineRule="exact"/>
        <w:rPr>
          <w:rFonts w:ascii="Arial" w:cs="Arial" w:eastAsia="Arial" w:hAnsi="Arial"/>
          <w:sz w:val="16"/>
          <w:szCs w:val="16"/>
          <w:color w:val="auto"/>
        </w:rPr>
      </w:pPr>
    </w:p>
    <w:p>
      <w:pPr>
        <w:ind w:left="160" w:right="380" w:hanging="155"/>
        <w:spacing w:after="0" w:line="304" w:lineRule="auto"/>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Frontier Communications Corporation (until 2021)</w:t>
      </w:r>
    </w:p>
    <w:p>
      <w:pPr>
        <w:spacing w:after="0" w:line="1866" w:lineRule="exact"/>
        <w:rPr>
          <w:sz w:val="20"/>
          <w:szCs w:val="20"/>
          <w:color w:val="auto"/>
        </w:rPr>
      </w:pPr>
    </w:p>
    <w:p>
      <w:pPr>
        <w:sectPr>
          <w:pgSz w:w="11900" w:h="16838" w:orient="portrait"/>
          <w:cols w:equalWidth="0" w:num="2">
            <w:col w:w="6600" w:space="300"/>
            <w:col w:w="3200"/>
          </w:cols>
          <w:pgMar w:left="580" w:top="97" w:right="121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Maryann Turcke</w:t>
      </w:r>
    </w:p>
    <w:p>
      <w:pPr>
        <w:spacing w:after="0" w:line="380" w:lineRule="exact"/>
        <w:rPr>
          <w:sz w:val="20"/>
          <w:szCs w:val="20"/>
          <w:color w:val="auto"/>
        </w:rPr>
      </w:pPr>
    </w:p>
    <w:p>
      <w:pPr>
        <w:ind w:left="660"/>
        <w:spacing w:after="0" w:line="257" w:lineRule="auto"/>
        <w:rPr>
          <w:sz w:val="20"/>
          <w:szCs w:val="20"/>
          <w:color w:val="auto"/>
        </w:rPr>
      </w:pPr>
      <w:r>
        <w:rPr>
          <w:rFonts w:ascii="Arial" w:cs="Arial" w:eastAsia="Arial" w:hAnsi="Arial"/>
          <w:sz w:val="20"/>
          <w:szCs w:val="20"/>
          <w:color w:val="auto"/>
        </w:rPr>
        <w:t>Ms. Turcke most recently served as a senior advisor at Brookfield Asset Management from September 2020 to September 2022. Previously, Ms. Turcke served as Chief Operating Officer of the National Football League (“NFL”) from January 2018 to September 2020 and as a Senior Advisor for the NFL from September 2020 to May 2021. She joined the league as President of NFL Network, Digital Media, NFL Films and IT in April 2017. Prior to the NFL, Ms. Turcke served for more than a decade in various leadership roles within BCE Inc. (a publicly traded communications company formerly known as Bell Canada Enterprises), including serving from April 2015 to February 2017 as president of Bell Media, a division of BCE.</w:t>
      </w:r>
    </w:p>
    <w:p>
      <w:pPr>
        <w:spacing w:after="0" w:line="134" w:lineRule="exact"/>
        <w:rPr>
          <w:sz w:val="20"/>
          <w:szCs w:val="20"/>
          <w:color w:val="auto"/>
        </w:rPr>
      </w:pPr>
    </w:p>
    <w:p>
      <w:pPr>
        <w:ind w:left="660" w:right="80"/>
        <w:spacing w:after="0" w:line="291"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We believe that Ms. Turcke’s qualifications to serve</w:t>
      </w:r>
      <w:r>
        <w:rPr>
          <w:rFonts w:ascii="Arial" w:cs="Arial" w:eastAsia="Arial" w:hAnsi="Arial"/>
          <w:sz w:val="19"/>
          <w:szCs w:val="19"/>
          <w:b w:val="1"/>
          <w:bCs w:val="1"/>
          <w:color w:val="0075A8"/>
        </w:rPr>
        <w:t xml:space="preserve"> </w:t>
      </w:r>
      <w:r>
        <w:rPr>
          <w:rFonts w:ascii="Arial" w:cs="Arial" w:eastAsia="Arial" w:hAnsi="Arial"/>
          <w:sz w:val="19"/>
          <w:szCs w:val="19"/>
          <w:color w:val="0075A8"/>
        </w:rPr>
        <w:t>as a director include her significant operational, management and financial experience, including in the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4473575</wp:posOffset>
            </wp:positionV>
            <wp:extent cx="77978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960" w:val="left"/>
          <w:tab w:leader="none" w:pos="3300" w:val="left"/>
        </w:tabs>
        <w:rPr>
          <w:sz w:val="20"/>
          <w:szCs w:val="20"/>
          <w:color w:val="auto"/>
        </w:rPr>
      </w:pPr>
      <w:r>
        <w:rPr>
          <w:rFonts w:ascii="Arial" w:cs="Arial" w:eastAsia="Arial" w:hAnsi="Arial"/>
          <w:sz w:val="18"/>
          <w:szCs w:val="18"/>
          <w:color w:val="FFFFFF"/>
        </w:rPr>
        <w:t>​ ​ Director since: 2023</w:t>
        <w:tab/>
        <w:t>•  Age: 59</w:t>
      </w:r>
      <w:r>
        <w:rPr>
          <w:sz w:val="20"/>
          <w:szCs w:val="20"/>
          <w:color w:val="auto"/>
        </w:rPr>
        <w:tab/>
      </w:r>
      <w:r>
        <w:rPr>
          <w:rFonts w:ascii="Arial" w:cs="Arial" w:eastAsia="Arial" w:hAnsi="Arial"/>
          <w:sz w:val="18"/>
          <w:szCs w:val="18"/>
          <w:color w:val="FFFFFF"/>
        </w:rPr>
        <w:t>​</w:t>
      </w:r>
    </w:p>
    <w:p>
      <w:pPr>
        <w:spacing w:after="0" w:line="162"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Committee(s)</w:t>
      </w:r>
      <w:r>
        <w:rPr>
          <w:rFonts w:ascii="Arial" w:cs="Arial" w:eastAsia="Arial" w:hAnsi="Arial"/>
          <w:sz w:val="16"/>
          <w:szCs w:val="16"/>
          <w:color w:val="000000"/>
        </w:rPr>
        <w: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Nominating and Corporate Governance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ind w:left="420" w:hanging="155"/>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Frontier Communications Parent, Inc.</w:t>
      </w:r>
    </w:p>
    <w:p>
      <w:pPr>
        <w:spacing w:after="0" w:line="30" w:lineRule="exact"/>
        <w:rPr>
          <w:rFonts w:ascii="Arial" w:cs="Arial" w:eastAsia="Arial" w:hAnsi="Arial"/>
          <w:sz w:val="16"/>
          <w:szCs w:val="16"/>
          <w:color w:val="auto"/>
        </w:rPr>
      </w:pPr>
    </w:p>
    <w:p>
      <w:pPr>
        <w:ind w:left="420" w:hanging="155"/>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Royal Bank of Canada</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ind w:left="420" w:right="320" w:hanging="155"/>
        <w:spacing w:after="0" w:line="321"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Northern Star Investment Corp. II (until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2">
            <w:col w:w="6540" w:space="100"/>
            <w:col w:w="3460"/>
          </w:cols>
          <w:pgMar w:left="580" w:top="97" w:right="12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The table below summarizes the key qualifications and attributes relied upon by the Board in nominating each of our nine current directors for election. Marks indicate specific areas of focus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auto"/>
        </w:rPr>
        <w:t>expertise relied on by the Board.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142875</wp:posOffset>
            </wp:positionV>
            <wp:extent cx="5709285" cy="42348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9285" cy="423481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60" w:space="62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320"/>
        <w:spacing w:after="0"/>
        <w:rPr>
          <w:sz w:val="20"/>
          <w:szCs w:val="20"/>
          <w:color w:val="auto"/>
        </w:rPr>
      </w:pPr>
      <w:r>
        <w:rPr>
          <w:rFonts w:ascii="Arial" w:cs="Arial" w:eastAsia="Arial" w:hAnsi="Arial"/>
          <w:sz w:val="29"/>
          <w:szCs w:val="29"/>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Stockholder Engagement</w:t>
      </w:r>
    </w:p>
    <w:p>
      <w:pPr>
        <w:spacing w:after="0" w:line="110"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Engagement with the Company’s stockholders is a critical part of our commitment to good corporate governance, and we regularly conduct outreach to our stockholders to better understand their perspectives on various matters. Most recently, we engaged in formal stockholder outreach following the 2024 Annual Meeting. We conducted outreach with twenty of our largest institutional stockholders representing approximately 54% of the Company’s shares outstanding. Stockholders representing approximately 44% of the Company’s shares outstanding responded to the outreach, and we held engagement meetings with those stockholders who wanted to meet, representing approximately 36% of the Company’s outstanding shares. Our Chairman of the Board, who was then serving as Lead Independent Director, also participated in select engagement.</w:t>
      </w:r>
    </w:p>
    <w:p>
      <w:pPr>
        <w:spacing w:after="0" w:line="182"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color w:val="auto"/>
        </w:rPr>
        <w:t>We solicited and received feedback from institutional stockholders on various key governance and disclosure topics, including the following:</w:t>
      </w:r>
    </w:p>
    <w:p>
      <w:pPr>
        <w:spacing w:after="0" w:line="31" w:lineRule="exact"/>
        <w:rPr>
          <w:sz w:val="20"/>
          <w:szCs w:val="20"/>
          <w:color w:val="auto"/>
        </w:rPr>
      </w:pPr>
    </w:p>
    <w:p>
      <w:pPr>
        <w:ind w:left="840" w:hanging="186"/>
        <w:spacing w:after="0" w:line="264" w:lineRule="auto"/>
        <w:tabs>
          <w:tab w:leader="none" w:pos="840"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0075A8"/>
        </w:rPr>
        <w:t xml:space="preserve">Executive Compensation: </w:t>
      </w:r>
      <w:r>
        <w:rPr>
          <w:rFonts w:ascii="Arial" w:cs="Arial" w:eastAsia="Arial" w:hAnsi="Arial"/>
          <w:sz w:val="20"/>
          <w:szCs w:val="20"/>
          <w:color w:val="000000"/>
        </w:rPr>
        <w:t>Overall, our</w:t>
      </w:r>
      <w:r>
        <w:rPr>
          <w:rFonts w:ascii="Arial" w:cs="Arial" w:eastAsia="Arial" w:hAnsi="Arial"/>
          <w:sz w:val="20"/>
          <w:szCs w:val="20"/>
          <w:i w:val="1"/>
          <w:iCs w:val="1"/>
          <w:color w:val="0075A8"/>
        </w:rPr>
        <w:t xml:space="preserve"> </w:t>
      </w:r>
      <w:r>
        <w:rPr>
          <w:rFonts w:ascii="Arial" w:cs="Arial" w:eastAsia="Arial" w:hAnsi="Arial"/>
          <w:sz w:val="20"/>
          <w:szCs w:val="20"/>
          <w:color w:val="000000"/>
        </w:rPr>
        <w:t>institutional stockholders broadly shared support for the Company’s demonstrated history of disclosure and stockholder responsiveness, including relating to compensation policies and plan designs. In some cases, investors asked for, and we provided, more information on the rationale behind our metrics and performance periods.The Compensation Committee’s decision to increase both the performance and vesting periods for the EBITDA margin percentile ranking metric from two years to three years for fiscal year 2025 performance share awards to our Named Executive Officers took into account feedback from our stockholders.</w:t>
      </w:r>
    </w:p>
    <w:p>
      <w:pPr>
        <w:spacing w:after="0" w:line="93" w:lineRule="exact"/>
        <w:rPr>
          <w:rFonts w:ascii="Arial" w:cs="Arial" w:eastAsia="Arial" w:hAnsi="Arial"/>
          <w:sz w:val="20"/>
          <w:szCs w:val="20"/>
          <w:color w:val="auto"/>
        </w:rPr>
      </w:pPr>
    </w:p>
    <w:p>
      <w:pPr>
        <w:ind w:left="840" w:right="520" w:hanging="186"/>
        <w:spacing w:after="0" w:line="297" w:lineRule="auto"/>
        <w:tabs>
          <w:tab w:leader="none" w:pos="840"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0075A8"/>
        </w:rPr>
        <w:t xml:space="preserve">Board Refreshment: </w:t>
      </w:r>
      <w:r>
        <w:rPr>
          <w:rFonts w:ascii="Arial" w:cs="Arial" w:eastAsia="Arial" w:hAnsi="Arial"/>
          <w:sz w:val="19"/>
          <w:szCs w:val="19"/>
          <w:color w:val="000000"/>
        </w:rPr>
        <w:t>Our institutional</w:t>
      </w:r>
      <w:r>
        <w:rPr>
          <w:rFonts w:ascii="Arial" w:cs="Arial" w:eastAsia="Arial" w:hAnsi="Arial"/>
          <w:sz w:val="19"/>
          <w:szCs w:val="19"/>
          <w:i w:val="1"/>
          <w:iCs w:val="1"/>
          <w:color w:val="0075A8"/>
        </w:rPr>
        <w:t xml:space="preserve"> </w:t>
      </w:r>
      <w:r>
        <w:rPr>
          <w:rFonts w:ascii="Arial" w:cs="Arial" w:eastAsia="Arial" w:hAnsi="Arial"/>
          <w:sz w:val="19"/>
          <w:szCs w:val="19"/>
          <w:color w:val="000000"/>
        </w:rPr>
        <w:t>stockholders expressed support for the Company’s approach to Board refreshment,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3" w:right="40"/>
        <w:spacing w:after="0" w:line="268" w:lineRule="auto"/>
        <w:rPr>
          <w:sz w:val="20"/>
          <w:szCs w:val="20"/>
          <w:color w:val="auto"/>
        </w:rPr>
      </w:pPr>
      <w:r>
        <w:rPr>
          <w:rFonts w:ascii="Arial" w:cs="Arial" w:eastAsia="Arial" w:hAnsi="Arial"/>
          <w:sz w:val="20"/>
          <w:szCs w:val="20"/>
          <w:color w:val="auto"/>
        </w:rPr>
        <w:t>including our prior phased retirement of long-tenured directors and appointment of new directors that would add to the compilation of skills and backgrounds on our Board while maintaining a balance of tenure on the Board.</w:t>
      </w:r>
    </w:p>
    <w:p>
      <w:pPr>
        <w:spacing w:after="0" w:line="79" w:lineRule="exact"/>
        <w:rPr>
          <w:sz w:val="20"/>
          <w:szCs w:val="20"/>
          <w:color w:val="auto"/>
        </w:rPr>
      </w:pPr>
    </w:p>
    <w:p>
      <w:pPr>
        <w:ind w:left="183" w:right="140" w:hanging="183"/>
        <w:spacing w:after="0" w:line="282" w:lineRule="auto"/>
        <w:tabs>
          <w:tab w:leader="none" w:pos="183"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0075A8"/>
        </w:rPr>
        <w:t xml:space="preserve">Sustainability Disclosure: </w:t>
      </w:r>
      <w:r>
        <w:rPr>
          <w:rFonts w:ascii="Arial" w:cs="Arial" w:eastAsia="Arial" w:hAnsi="Arial"/>
          <w:sz w:val="19"/>
          <w:szCs w:val="19"/>
          <w:color w:val="000000"/>
        </w:rPr>
        <w:t>Many of our large</w:t>
      </w:r>
      <w:r>
        <w:rPr>
          <w:rFonts w:ascii="Arial" w:cs="Arial" w:eastAsia="Arial" w:hAnsi="Arial"/>
          <w:sz w:val="19"/>
          <w:szCs w:val="19"/>
          <w:i w:val="1"/>
          <w:iCs w:val="1"/>
          <w:color w:val="0075A8"/>
        </w:rPr>
        <w:t xml:space="preserve"> </w:t>
      </w:r>
      <w:r>
        <w:rPr>
          <w:rFonts w:ascii="Arial" w:cs="Arial" w:eastAsia="Arial" w:hAnsi="Arial"/>
          <w:sz w:val="19"/>
          <w:szCs w:val="19"/>
          <w:color w:val="000000"/>
        </w:rPr>
        <w:t>institutional stockholders expressed support for the progress we have made in our sustainability journey and appreciated the additional disclosure contained in our sustainability report released in 2024, as well as our overall progress on sustainability matters, including our disclosure of certain scope 3 emissions data and the strengthening and acceleration of our scopes 1 and 2 emissions reduction targets.</w:t>
      </w:r>
    </w:p>
    <w:p>
      <w:pPr>
        <w:spacing w:after="0" w:line="65" w:lineRule="exact"/>
        <w:rPr>
          <w:rFonts w:ascii="Arial" w:cs="Arial" w:eastAsia="Arial" w:hAnsi="Arial"/>
          <w:sz w:val="19"/>
          <w:szCs w:val="19"/>
          <w:color w:val="auto"/>
        </w:rPr>
      </w:pPr>
    </w:p>
    <w:p>
      <w:pPr>
        <w:ind w:left="183" w:right="60" w:hanging="183"/>
        <w:spacing w:after="0" w:line="266" w:lineRule="auto"/>
        <w:tabs>
          <w:tab w:leader="none" w:pos="183"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0075A8"/>
        </w:rPr>
        <w:t xml:space="preserve">Human Capital Management: </w:t>
      </w:r>
      <w:r>
        <w:rPr>
          <w:rFonts w:ascii="Arial" w:cs="Arial" w:eastAsia="Arial" w:hAnsi="Arial"/>
          <w:sz w:val="20"/>
          <w:szCs w:val="20"/>
          <w:color w:val="000000"/>
        </w:rPr>
        <w:t>Our institutional</w:t>
      </w:r>
      <w:r>
        <w:rPr>
          <w:rFonts w:ascii="Arial" w:cs="Arial" w:eastAsia="Arial" w:hAnsi="Arial"/>
          <w:sz w:val="20"/>
          <w:szCs w:val="20"/>
          <w:i w:val="1"/>
          <w:iCs w:val="1"/>
          <w:color w:val="0075A8"/>
        </w:rPr>
        <w:t xml:space="preserve"> </w:t>
      </w:r>
      <w:r>
        <w:rPr>
          <w:rFonts w:ascii="Arial" w:cs="Arial" w:eastAsia="Arial" w:hAnsi="Arial"/>
          <w:sz w:val="20"/>
          <w:szCs w:val="20"/>
          <w:color w:val="000000"/>
        </w:rPr>
        <w:t>stockholders expressed the importance of human capital management topics, and many were pleased with the disclosures we made in our 2023 Sustainability Report. A few stockholders had questions about employee engagement and turnover trends, and we responded in line with the disclosures we have made in our 2023 Sustainability Report.</w:t>
      </w:r>
    </w:p>
    <w:p>
      <w:pPr>
        <w:spacing w:after="0" w:line="176" w:lineRule="exact"/>
        <w:rPr>
          <w:sz w:val="20"/>
          <w:szCs w:val="20"/>
          <w:color w:val="auto"/>
        </w:rPr>
      </w:pPr>
    </w:p>
    <w:p>
      <w:pPr>
        <w:ind w:left="3" w:right="200"/>
        <w:spacing w:after="0" w:line="260" w:lineRule="auto"/>
        <w:rPr>
          <w:sz w:val="20"/>
          <w:szCs w:val="20"/>
          <w:color w:val="auto"/>
        </w:rPr>
      </w:pPr>
      <w:r>
        <w:rPr>
          <w:rFonts w:ascii="Arial" w:cs="Arial" w:eastAsia="Arial" w:hAnsi="Arial"/>
          <w:sz w:val="20"/>
          <w:szCs w:val="20"/>
          <w:color w:val="auto"/>
        </w:rPr>
        <w:t>Our Board values the opinions expressed by our stockholders and will continue to consider voting results from our stockholder meetings, as well as feedback obtained through our regular stockholder engagement efforts, when making future decisions regarding various matters.</w:t>
      </w:r>
    </w:p>
    <w:p>
      <w:pPr>
        <w:spacing w:after="0" w:line="251"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Board of Directors Meetings</w:t>
      </w:r>
    </w:p>
    <w:p>
      <w:pPr>
        <w:spacing w:after="0" w:line="137" w:lineRule="exact"/>
        <w:rPr>
          <w:sz w:val="20"/>
          <w:szCs w:val="20"/>
          <w:color w:val="auto"/>
        </w:rPr>
      </w:pPr>
    </w:p>
    <w:p>
      <w:pPr>
        <w:ind w:left="3" w:right="60"/>
        <w:spacing w:after="0" w:line="257" w:lineRule="auto"/>
        <w:rPr>
          <w:sz w:val="20"/>
          <w:szCs w:val="20"/>
          <w:color w:val="auto"/>
        </w:rPr>
      </w:pPr>
      <w:r>
        <w:rPr>
          <w:rFonts w:ascii="Arial" w:cs="Arial" w:eastAsia="Arial" w:hAnsi="Arial"/>
          <w:sz w:val="20"/>
          <w:szCs w:val="20"/>
          <w:color w:val="auto"/>
        </w:rPr>
        <w:t>The Board met five (5) times during fiscal year 2024. During fiscal year 2024, each incumbent director who served on the Board in fiscal year 2024 attended at least 75% of the aggregate of the total number of meetings of the Board and the total number of meetings held by all committees of the Board on which he or she served. The Company’s policy with respect to directors’ attendance at the Annual Meeting is included in our corporate governance guidelines, which are</w:t>
      </w:r>
    </w:p>
    <w:p>
      <w:pPr>
        <w:spacing w:after="0" w:line="200"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spacing w:after="0" w:line="12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available on the Investor Relations portion of the Company’s website at www.skyworksinc.com. At the 2024 Annual Meeting, each director then in office was in attendance.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Independence</w:t>
      </w:r>
    </w:p>
    <w:p>
      <w:pPr>
        <w:spacing w:after="0" w:line="150"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Each year, the Board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affirmatively determines have no relationships that would interfere with the exercise of independent judgment in carrying out the responsibilities of a director are considered to be independent directors. The Board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is a director or executive officer. After evaluating these factors, the Board has determined that eight of the nine members of the Board, namely, Alan S. Batey, Kevin L. Beebe, Eric J. Guerin, Christine King, Suzanne E. McBride,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Corporate Governance Guidelines</w:t>
      </w:r>
    </w:p>
    <w:p>
      <w:pPr>
        <w:spacing w:after="0" w:line="137"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Board has adopted corporate governance practices to help fulfill its responsibilities to the stockholders in overseeing the work of management and the Company’s business results. These guidelines are intended to ensure that the Board has the necessary authority and</w:t>
      </w: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60"/>
        <w:spacing w:after="0" w:line="257" w:lineRule="auto"/>
        <w:rPr>
          <w:sz w:val="20"/>
          <w:szCs w:val="20"/>
          <w:color w:val="auto"/>
        </w:rPr>
      </w:pPr>
      <w:r>
        <w:rPr>
          <w:rFonts w:ascii="Arial" w:cs="Arial" w:eastAsia="Arial" w:hAnsi="Arial"/>
          <w:sz w:val="20"/>
          <w:szCs w:val="20"/>
          <w:color w:val="auto"/>
        </w:rPr>
        <w:t>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www.skyworksinc.com.</w:t>
      </w:r>
    </w:p>
    <w:p>
      <w:pPr>
        <w:spacing w:after="0" w:line="183" w:lineRule="exact"/>
        <w:rPr>
          <w:sz w:val="20"/>
          <w:szCs w:val="20"/>
          <w:color w:val="auto"/>
        </w:rPr>
      </w:pPr>
    </w:p>
    <w:p>
      <w:pPr>
        <w:ind w:left="3" w:right="40"/>
        <w:spacing w:after="0" w:line="260" w:lineRule="auto"/>
        <w:rPr>
          <w:sz w:val="20"/>
          <w:szCs w:val="20"/>
          <w:color w:val="auto"/>
        </w:rPr>
      </w:pPr>
      <w:r>
        <w:rPr>
          <w:rFonts w:ascii="Arial" w:cs="Arial" w:eastAsia="Arial" w:hAnsi="Arial"/>
          <w:sz w:val="20"/>
          <w:szCs w:val="20"/>
          <w:color w:val="auto"/>
        </w:rPr>
        <w:t>In accordance with these corporate governance guidelines, independent members of the Board met in executive session without management present four (4) times during fiscal year 2024. Our then Lead Independent Director served as presiding director for these meetings.</w:t>
      </w:r>
    </w:p>
    <w:p>
      <w:pPr>
        <w:spacing w:after="0" w:line="237"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Additional Board Service</w:t>
      </w:r>
    </w:p>
    <w:p>
      <w:pPr>
        <w:spacing w:after="0" w:line="150" w:lineRule="exact"/>
        <w:rPr>
          <w:sz w:val="20"/>
          <w:szCs w:val="20"/>
          <w:color w:val="auto"/>
        </w:rPr>
      </w:pPr>
    </w:p>
    <w:p>
      <w:pPr>
        <w:ind w:left="3" w:right="40"/>
        <w:spacing w:after="0" w:line="267" w:lineRule="auto"/>
        <w:rPr>
          <w:sz w:val="20"/>
          <w:szCs w:val="20"/>
          <w:color w:val="auto"/>
        </w:rPr>
      </w:pPr>
      <w:r>
        <w:rPr>
          <w:rFonts w:ascii="Arial" w:cs="Arial" w:eastAsia="Arial" w:hAnsi="Arial"/>
          <w:sz w:val="19"/>
          <w:szCs w:val="19"/>
          <w:color w:val="auto"/>
        </w:rPr>
        <w:t>Directors are expected to commit sufficient time and attention to the activities of the Board. Our corporate governance guidelines include a public company board commitment policy. In accordance with this policy, except as otherwise approved by the Board:</w:t>
      </w:r>
    </w:p>
    <w:p>
      <w:pPr>
        <w:spacing w:after="0" w:line="4" w:lineRule="exact"/>
        <w:rPr>
          <w:sz w:val="20"/>
          <w:szCs w:val="20"/>
          <w:color w:val="auto"/>
        </w:rPr>
      </w:pPr>
    </w:p>
    <w:p>
      <w:pPr>
        <w:ind w:left="183" w:right="120" w:hanging="183"/>
        <w:spacing w:after="0" w:line="271" w:lineRule="auto"/>
        <w:tabs>
          <w:tab w:leader="none" w:pos="183"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executive officer of the Company who serves as a director of the Company should not serve on more than one other public company board;</w:t>
      </w:r>
    </w:p>
    <w:p>
      <w:pPr>
        <w:spacing w:after="0" w:line="2" w:lineRule="exact"/>
        <w:rPr>
          <w:rFonts w:ascii="Arial" w:cs="Arial" w:eastAsia="Arial" w:hAnsi="Arial"/>
          <w:sz w:val="19"/>
          <w:szCs w:val="19"/>
          <w:color w:val="auto"/>
        </w:rPr>
      </w:pPr>
    </w:p>
    <w:p>
      <w:pPr>
        <w:ind w:left="183" w:right="320" w:hanging="183"/>
        <w:spacing w:after="0" w:line="278" w:lineRule="auto"/>
        <w:tabs>
          <w:tab w:leader="none" w:pos="183"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director of the Company who serves as an executive officer of another public company should not serve on more than two total public company boards (including the Company); and</w:t>
      </w:r>
    </w:p>
    <w:p>
      <w:pPr>
        <w:ind w:left="183" w:right="80" w:hanging="183"/>
        <w:spacing w:after="0" w:line="272" w:lineRule="auto"/>
        <w:tabs>
          <w:tab w:leader="none" w:pos="183"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director of the Company who does not serve as an executive officer of any public company should not serve on more than four total public company boards (including the Company).</w:t>
      </w:r>
    </w:p>
    <w:p>
      <w:pPr>
        <w:spacing w:after="0" w:line="168" w:lineRule="exact"/>
        <w:rPr>
          <w:sz w:val="20"/>
          <w:szCs w:val="20"/>
          <w:color w:val="auto"/>
        </w:rPr>
      </w:pPr>
    </w:p>
    <w:p>
      <w:pPr>
        <w:ind w:left="3" w:right="160"/>
        <w:spacing w:after="0" w:line="276" w:lineRule="auto"/>
        <w:rPr>
          <w:sz w:val="20"/>
          <w:szCs w:val="20"/>
          <w:color w:val="auto"/>
        </w:rPr>
      </w:pPr>
      <w:r>
        <w:rPr>
          <w:rFonts w:ascii="Arial" w:cs="Arial" w:eastAsia="Arial" w:hAnsi="Arial"/>
          <w:sz w:val="19"/>
          <w:szCs w:val="19"/>
          <w:color w:val="auto"/>
        </w:rPr>
        <w:t>For purposes of this policy, the term “public company” means a company with a class of securities registered pursuant to section 12 of the Securities Exchange Act of 1934, as amended (the “Exchange Act”) or subject to the requirements of section 15(d) of the Exchange Act.</w:t>
      </w:r>
    </w:p>
    <w:p>
      <w:pPr>
        <w:spacing w:after="0" w:line="166" w:lineRule="exact"/>
        <w:rPr>
          <w:sz w:val="20"/>
          <w:szCs w:val="20"/>
          <w:color w:val="auto"/>
        </w:rPr>
      </w:pPr>
    </w:p>
    <w:p>
      <w:pPr>
        <w:ind w:left="3" w:right="360"/>
        <w:spacing w:after="0" w:line="290" w:lineRule="auto"/>
        <w:rPr>
          <w:sz w:val="20"/>
          <w:szCs w:val="20"/>
          <w:color w:val="auto"/>
        </w:rPr>
      </w:pPr>
      <w:r>
        <w:rPr>
          <w:rFonts w:ascii="Arial" w:cs="Arial" w:eastAsia="Arial" w:hAnsi="Arial"/>
          <w:sz w:val="19"/>
          <w:szCs w:val="19"/>
          <w:color w:val="auto"/>
        </w:rPr>
        <w:t>In addition, the corporate governance guidelines provide that the Nominating and Corporate Governance Committee must conduct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325120</wp:posOffset>
            </wp:positionV>
            <wp:extent cx="779780"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2683"/>
        <w:spacing w:after="0"/>
        <w:tabs>
          <w:tab w:leader="none" w:pos="2903" w:val="left"/>
          <w:tab w:leader="none" w:pos="32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80"/>
        <w:spacing w:after="0" w:line="272" w:lineRule="auto"/>
        <w:rPr>
          <w:sz w:val="20"/>
          <w:szCs w:val="20"/>
          <w:color w:val="auto"/>
        </w:rPr>
      </w:pPr>
      <w:r>
        <w:rPr>
          <w:rFonts w:ascii="Arial" w:cs="Arial" w:eastAsia="Arial" w:hAnsi="Arial"/>
          <w:sz w:val="19"/>
          <w:szCs w:val="19"/>
          <w:color w:val="auto"/>
        </w:rPr>
        <w:t>review of director commitments to public company board service (including any committee chair role) and any executive officer role (if applicable) in connection with its recommendation of directors for election to the Board at the annual meeting of stockholders. The Nominating and Corporate Governance Committee conducted a review of director commitments for our 2025 director nominees. All our 2025 director nominees comply with our public company board commitment policy.</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Code of Ethics</w:t>
      </w:r>
    </w:p>
    <w:p>
      <w:pPr>
        <w:spacing w:after="0" w:line="150"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requirements of the Securities and Exchange Commission (the “SEC”) and Nasdaq Rules.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Insider Trading Policy</w:t>
      </w:r>
    </w:p>
    <w:p>
      <w:pPr>
        <w:spacing w:after="0" w:line="137" w:lineRule="exact"/>
        <w:rPr>
          <w:sz w:val="20"/>
          <w:szCs w:val="20"/>
          <w:color w:val="auto"/>
        </w:rPr>
      </w:pPr>
    </w:p>
    <w:p>
      <w:pPr>
        <w:ind w:left="660" w:right="40"/>
        <w:spacing w:after="0" w:line="270" w:lineRule="auto"/>
        <w:rPr>
          <w:sz w:val="20"/>
          <w:szCs w:val="20"/>
          <w:color w:val="auto"/>
        </w:rPr>
      </w:pPr>
      <w:r>
        <w:rPr>
          <w:rFonts w:ascii="Arial" w:cs="Arial" w:eastAsia="Arial" w:hAnsi="Arial"/>
          <w:sz w:val="19"/>
          <w:szCs w:val="19"/>
          <w:color w:val="auto"/>
        </w:rPr>
        <w:t>We have adopted the Skyworks Solutions, Inc. Company Policy Regarding Insider Trading and Disclosure of Material Non-Public Information governing the purchase, sale, and/or other dispositions of the Company’s securities by directors, officers and employees, which the Company believes is reasonably designed to promote compliance with insider trading laws, rules and regulations, and any listing standards applicable to the Company. A copy of the Skyworks Solutions, Inc. Company Policy Regarding Insider Trading and Disclosure of Material Non-Public Information is filed as Exhibit 19 to Amendment No. 1 to our Annual Report on Form 10-K for the fiscal year ended September 27,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80"/>
        <w:spacing w:after="0" w:line="295" w:lineRule="auto"/>
        <w:rPr>
          <w:sz w:val="20"/>
          <w:szCs w:val="20"/>
          <w:color w:val="auto"/>
        </w:rPr>
      </w:pPr>
      <w:r>
        <w:rPr>
          <w:rFonts w:ascii="Arial" w:cs="Arial" w:eastAsia="Arial" w:hAnsi="Arial"/>
          <w:sz w:val="23"/>
          <w:szCs w:val="23"/>
          <w:b w:val="1"/>
          <w:bCs w:val="1"/>
          <w:i w:val="1"/>
          <w:iCs w:val="1"/>
          <w:color w:val="auto"/>
        </w:rPr>
        <w:t>Executive Officer and Director Stock Ownership Requirements</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We have adopted executive officer and director stock ownership guidelines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non-employee directors met the stock ownership guidelines as of January 24, 2025, the date the Company filed Amendment No. 1 to Annual Report on Form 10-K disclosing executive compensation data for fiscal year 2024 (with the exception of Ms. Turcke, who is not required to comply with the guidelines until the fifth anniversary of her appointment to the Board).</w:t>
      </w:r>
    </w:p>
    <w:p>
      <w:pPr>
        <w:spacing w:after="0" w:line="264"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Executive Succession Planning</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Board considers succession planning for the Chief Executive Officer and other senior executives to be one of its primary responsibilities. In accordance with our Corporate Governance Guidelines, the Chief Executive Officer provides an annual report to the Board regarding succession planning and management development, including a succession plan for the Chief Executive Officer. The Board also discusses management succession with the Chief Executive Officer and in executive session when the Chief Executive Officer is not present.</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appointment of Philip G. Brace as our Chief Executive Officer and President and as a member of the Board, effective February 17, 2025, was the culmination of an orderly, robust and thorough succession planning process led by our Board, with the assistance of an executive search firm. In its evaluation of potential candidates, the Board focused on skills, attributes and experience that they believed would be beneficial to and align with the needs of the Company. The Board found in</w:t>
      </w:r>
    </w:p>
    <w:p>
      <w:pPr>
        <w:spacing w:after="0" w:line="4" w:lineRule="exact"/>
        <w:rPr>
          <w:sz w:val="20"/>
          <w:szCs w:val="20"/>
          <w:color w:val="auto"/>
        </w:rPr>
      </w:pPr>
    </w:p>
    <w:p>
      <w:pPr>
        <w:ind w:right="320"/>
        <w:spacing w:after="0" w:line="280" w:lineRule="auto"/>
        <w:rPr>
          <w:sz w:val="20"/>
          <w:szCs w:val="20"/>
          <w:color w:val="auto"/>
        </w:rPr>
      </w:pPr>
      <w:r>
        <w:rPr>
          <w:rFonts w:ascii="Arial" w:cs="Arial" w:eastAsia="Arial" w:hAnsi="Arial"/>
          <w:sz w:val="19"/>
          <w:szCs w:val="19"/>
          <w:color w:val="auto"/>
        </w:rPr>
        <w:t>Mr. Brace an accomplished technology executive who brings strategic insight and leadership with deep knowledge of the semiconductor</w:t>
      </w:r>
    </w:p>
    <w:p>
      <w:pPr>
        <w:spacing w:after="0" w:line="200" w:lineRule="exact"/>
        <w:rPr>
          <w:sz w:val="20"/>
          <w:szCs w:val="20"/>
          <w:color w:val="auto"/>
        </w:rPr>
      </w:pPr>
    </w:p>
    <w:p>
      <w:pPr>
        <w:sectPr>
          <w:pgSz w:w="11900" w:h="16838" w:orient="portrait"/>
          <w:cols w:equalWidth="0" w:num="2">
            <w:col w:w="5100" w:space="480"/>
            <w:col w:w="4520"/>
          </w:cols>
          <w:pgMar w:left="580" w:top="97" w:right="1219" w:bottom="1440" w:gutter="0" w:footer="0" w:header="0"/>
        </w:sectPr>
      </w:pPr>
    </w:p>
    <w:p>
      <w:pPr>
        <w:spacing w:after="0" w:line="9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40"/>
        <w:spacing w:after="0" w:line="276" w:lineRule="auto"/>
        <w:rPr>
          <w:sz w:val="20"/>
          <w:szCs w:val="20"/>
          <w:color w:val="auto"/>
        </w:rPr>
      </w:pPr>
      <w:r>
        <w:rPr>
          <w:rFonts w:ascii="Arial" w:cs="Arial" w:eastAsia="Arial" w:hAnsi="Arial"/>
          <w:sz w:val="19"/>
          <w:szCs w:val="19"/>
          <w:color w:val="auto"/>
        </w:rPr>
        <w:t>industry and extensive experience in helping businesses enhance their product lines and achieve market penetration and profitable growth. To help ensure a smooth transition, Liam K. Griffin is remaining with the Company in an advisory role for three months following Mr. Brace’s appointment.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Board Leadership Structure</w:t>
      </w:r>
    </w:p>
    <w:p>
      <w:pPr>
        <w:spacing w:after="0" w:line="150" w:lineRule="exact"/>
        <w:rPr>
          <w:sz w:val="20"/>
          <w:szCs w:val="20"/>
          <w:color w:val="auto"/>
        </w:rPr>
      </w:pPr>
    </w:p>
    <w:p>
      <w:pPr>
        <w:jc w:val="both"/>
        <w:ind w:left="660" w:right="140"/>
        <w:spacing w:after="0" w:line="269" w:lineRule="auto"/>
        <w:rPr>
          <w:sz w:val="20"/>
          <w:szCs w:val="20"/>
          <w:color w:val="auto"/>
        </w:rPr>
      </w:pPr>
      <w:r>
        <w:rPr>
          <w:rFonts w:ascii="Arial" w:cs="Arial" w:eastAsia="Arial" w:hAnsi="Arial"/>
          <w:sz w:val="20"/>
          <w:szCs w:val="20"/>
          <w:color w:val="auto"/>
        </w:rPr>
        <w:t>Our Board selects the Company’s Chairman of the Board in the manner it determines to be in the best interests of the Company at the time.</w:t>
      </w:r>
    </w:p>
    <w:p>
      <w:pPr>
        <w:spacing w:after="0" w:line="172"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In connection with our recent Chief Executive Officer transition, the Board determined it appropriate to separate the Chief Executive Officer and Chairman of the Board roles. The Board believes that this separation of duties will help to enhance our corporate governance by allowing the Chairman to continue focusing on and strengthening oversight, while our new Chief Executive Officer focuses on enhancing and executing the strategic vision for —  and day-to-day management of — the Company.</w:t>
      </w:r>
    </w:p>
    <w:p>
      <w:pPr>
        <w:spacing w:after="0" w:line="170" w:lineRule="exact"/>
        <w:rPr>
          <w:sz w:val="20"/>
          <w:szCs w:val="20"/>
          <w:color w:val="auto"/>
        </w:rPr>
      </w:pPr>
    </w:p>
    <w:p>
      <w:pPr>
        <w:ind w:left="660" w:right="180"/>
        <w:spacing w:after="0" w:line="274" w:lineRule="auto"/>
        <w:rPr>
          <w:sz w:val="20"/>
          <w:szCs w:val="20"/>
          <w:color w:val="auto"/>
        </w:rPr>
      </w:pPr>
      <w:r>
        <w:rPr>
          <w:rFonts w:ascii="Arial" w:cs="Arial" w:eastAsia="Arial" w:hAnsi="Arial"/>
          <w:sz w:val="19"/>
          <w:szCs w:val="19"/>
          <w:color w:val="auto"/>
        </w:rPr>
        <w:t>In the event that the Chairman of the Board is not an independent director, the Board selects a Lead Independent Director. The Board believes that this leadership structure, coupled with a strong emphasis on Board independence, provides effective independent oversight of management. Ms. King served as our Lead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spacing w:after="0" w:line="313" w:lineRule="auto"/>
        <w:rPr>
          <w:sz w:val="20"/>
          <w:szCs w:val="20"/>
          <w:color w:val="auto"/>
        </w:rPr>
      </w:pPr>
      <w:r>
        <w:rPr>
          <w:rFonts w:ascii="Arial" w:cs="Arial" w:eastAsia="Arial" w:hAnsi="Arial"/>
          <w:sz w:val="19"/>
          <w:szCs w:val="19"/>
          <w:color w:val="auto"/>
        </w:rPr>
        <w:t>Director from May 2019 until our Board appointed her as Chairman of the Board in February 2025.</w:t>
      </w:r>
    </w:p>
    <w:p>
      <w:pPr>
        <w:spacing w:after="0" w:line="132"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The Board believes our current leadership structure is appropriate.</w:t>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Stockholder Communications</w:t>
      </w:r>
    </w:p>
    <w:p>
      <w:pPr>
        <w:spacing w:after="0" w:line="150"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Our stockholders may communicate directly with the Board as a whole or to individual directors by letter addressed directly to such individual or individuals at the following address: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c/o Skyworks Solutions,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Irvine, CA 92617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Attention: Secretary</w:t>
      </w:r>
    </w:p>
    <w:p>
      <w:pPr>
        <w:spacing w:after="0" w:line="21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Company will forward to each director to whom such communication is addressed, and to the Chairman of the Board in her capacity as representative of the entire Board, such letters as applicable and appropriate, depending on the facts and circumstances outlined in the communication. Certain items that are unrelated to the duties and responsibilities of the Board will not be forwarded, such as: business solicitation or advertisements; product- or service-related inquiries, junk mail or mass mailings; resumes or other job-related inquiries; spam; and overly hostile, threatening, potentially illegal, or similarly inappropriate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2821940</wp:posOffset>
            </wp:positionV>
            <wp:extent cx="779780"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2680"/>
        <w:spacing w:after="0"/>
        <w:tabs>
          <w:tab w:leader="none" w:pos="2900" w:val="left"/>
          <w:tab w:leader="none" w:pos="328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187960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20"/>
        <w:spacing w:after="0"/>
        <w:rPr>
          <w:sz w:val="20"/>
          <w:szCs w:val="20"/>
          <w:color w:val="auto"/>
        </w:rPr>
      </w:pPr>
      <w:r>
        <w:rPr>
          <w:rFonts w:ascii="Arial" w:cs="Arial" w:eastAsia="Arial" w:hAnsi="Arial"/>
          <w:sz w:val="29"/>
          <w:szCs w:val="29"/>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right="400"/>
        <w:spacing w:after="0" w:line="269" w:lineRule="auto"/>
        <w:rPr>
          <w:sz w:val="20"/>
          <w:szCs w:val="20"/>
          <w:color w:val="auto"/>
        </w:rPr>
      </w:pPr>
      <w:r>
        <w:rPr>
          <w:rFonts w:ascii="Arial" w:cs="Arial" w:eastAsia="Arial" w:hAnsi="Arial"/>
          <w:sz w:val="20"/>
          <w:szCs w:val="20"/>
          <w:color w:val="auto"/>
        </w:rPr>
        <w:t>The Board has a standing Audit Committee, Compensation Committee, and Nominating and Corporate Governance Committee.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Audit Committee</w:t>
      </w:r>
    </w:p>
    <w:p>
      <w:pPr>
        <w:spacing w:after="0" w:line="150" w:lineRule="exact"/>
        <w:rPr>
          <w:sz w:val="20"/>
          <w:szCs w:val="20"/>
          <w:color w:val="auto"/>
        </w:rPr>
      </w:pPr>
    </w:p>
    <w:p>
      <w:pPr>
        <w:ind w:left="660" w:right="20"/>
        <w:spacing w:after="0" w:line="274" w:lineRule="auto"/>
        <w:rPr>
          <w:sz w:val="20"/>
          <w:szCs w:val="20"/>
          <w:color w:val="auto"/>
        </w:rPr>
      </w:pPr>
      <w:r>
        <w:rPr>
          <w:rFonts w:ascii="Arial" w:cs="Arial" w:eastAsia="Arial" w:hAnsi="Arial"/>
          <w:sz w:val="19"/>
          <w:szCs w:val="19"/>
          <w:color w:val="auto"/>
        </w:rPr>
        <w:t>We have established an Audit Committee consisting of the following individuals, each of whom the Board has determined is “independent” within the meaning of applicable Nasdaq Rules and meets the criteria for independence set forth in Rule 10A-3(b)(1) under the Exchange Act: Mr. McGlade (Chairman), Mr. Guerin, Ms. King, and Mr. Schriesheim.</w:t>
      </w:r>
    </w:p>
    <w:p>
      <w:pPr>
        <w:spacing w:after="0" w:line="17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adopted, is reviewed annually by the committee, and is available on the Investor Relations portion of our website at www.skyworksinc.com.</w:t>
      </w:r>
    </w:p>
    <w:p>
      <w:pPr>
        <w:spacing w:after="0" w:line="180" w:lineRule="exact"/>
        <w:rPr>
          <w:sz w:val="20"/>
          <w:szCs w:val="20"/>
          <w:color w:val="auto"/>
        </w:rPr>
      </w:pPr>
    </w:p>
    <w:p>
      <w:pPr>
        <w:ind w:left="660" w:right="60"/>
        <w:spacing w:after="0" w:line="272" w:lineRule="auto"/>
        <w:rPr>
          <w:sz w:val="20"/>
          <w:szCs w:val="20"/>
          <w:color w:val="auto"/>
        </w:rPr>
      </w:pPr>
      <w:r>
        <w:rPr>
          <w:rFonts w:ascii="Arial" w:cs="Arial" w:eastAsia="Arial" w:hAnsi="Arial"/>
          <w:sz w:val="19"/>
          <w:szCs w:val="19"/>
          <w:color w:val="auto"/>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year 2024. The Audit Committee met eight (8) times during fiscal year 2024.</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Audit Committee Financial Expert</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The Board has determined that each of the following members of the Audit Committee meets the qualifications of an “audit committee financial expert” under SEC rules and the qualifications of “financial sophistication” under the applicable Nasdaq Rules and qualifies as “independent” as defined under the applicable Nasdaq Rules:</w:t>
      </w:r>
    </w:p>
    <w:p>
      <w:pPr>
        <w:spacing w:after="0" w:line="2"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auto"/>
        </w:rPr>
        <w:t>Mr. McGlade (Chairman), Mr. Guerin, Ms. King, and Mr. Schriesheim.</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Compensation Committee</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We have established a Compensation Committee consisting of the following individuals, each of whom the Board has determined is “independent” within the meaning of applicable Nasdaq Rules and a non-employee director within the meaning of Rule 16b-3 under the Exchange Act: Ms. King (Chairman), Mr. Batey and Mr. Schriesheim. Following the Annual Meeting, the Board anticipates that Ms. King will rotate off from her roles as a member and Chairman of the Compensation Committee and the Board will appoint one of our current Board members to join the Compensation Committee and will also select a new Chairman of the Compensation Committee.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Compensation Committee met five (5) times during fiscal year 2024. The functions of the Compensation Committee include establishing the appropriate level of compensation, including short-and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has adopted a written charter for the Compensation Committee,</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1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20"/>
        <w:spacing w:after="0" w:line="313" w:lineRule="auto"/>
        <w:rPr>
          <w:sz w:val="20"/>
          <w:szCs w:val="20"/>
          <w:color w:val="auto"/>
        </w:rPr>
      </w:pPr>
      <w:r>
        <w:rPr>
          <w:rFonts w:ascii="Arial" w:cs="Arial" w:eastAsia="Arial" w:hAnsi="Arial"/>
          <w:sz w:val="19"/>
          <w:szCs w:val="19"/>
          <w:color w:val="auto"/>
        </w:rPr>
        <w:t>and it is available on the Investor Relations portion of the Company’s website at www.skyworksinc.com.</w:t>
      </w:r>
    </w:p>
    <w:p>
      <w:pPr>
        <w:spacing w:after="0" w:line="132" w:lineRule="exact"/>
        <w:rPr>
          <w:sz w:val="20"/>
          <w:szCs w:val="20"/>
          <w:color w:val="auto"/>
        </w:rPr>
      </w:pPr>
    </w:p>
    <w:p>
      <w:pPr>
        <w:ind w:left="660" w:right="40"/>
        <w:spacing w:after="0" w:line="270" w:lineRule="auto"/>
        <w:rPr>
          <w:sz w:val="20"/>
          <w:szCs w:val="20"/>
          <w:color w:val="auto"/>
        </w:rPr>
      </w:pPr>
      <w:r>
        <w:rPr>
          <w:rFonts w:ascii="Arial" w:cs="Arial" w:eastAsia="Arial" w:hAnsi="Arial"/>
          <w:sz w:val="19"/>
          <w:szCs w:val="19"/>
          <w:color w:val="auto"/>
        </w:rPr>
        <w:t>The Compensation Committee has engaged Aon Consulting (“Aon”) to assist it in determining the components and amounts of executive compensation. The consultant reports directly to the Compensation Committee, through its Chairman, and the Compensation Committee retains the right to terminate or replace the consultant at any time. The process and procedures followed by the Compensation Committee in considering and determining executive and director compensation are described below under “</w:t>
      </w:r>
      <w:r>
        <w:rPr>
          <w:rFonts w:ascii="Arial" w:cs="Arial" w:eastAsia="Arial" w:hAnsi="Arial"/>
          <w:sz w:val="19"/>
          <w:szCs w:val="19"/>
          <w:i w:val="1"/>
          <w:iCs w:val="1"/>
          <w:color w:val="auto"/>
        </w:rPr>
        <w:t>Compensation</w:t>
      </w:r>
      <w:r>
        <w:rPr>
          <w:rFonts w:ascii="Arial" w:cs="Arial" w:eastAsia="Arial" w:hAnsi="Arial"/>
          <w:sz w:val="19"/>
          <w:szCs w:val="19"/>
          <w:color w:val="auto"/>
        </w:rPr>
        <w:t xml:space="preserve"> </w:t>
      </w:r>
      <w:r>
        <w:rPr>
          <w:rFonts w:ascii="Arial" w:cs="Arial" w:eastAsia="Arial" w:hAnsi="Arial"/>
          <w:sz w:val="19"/>
          <w:szCs w:val="19"/>
          <w:i w:val="1"/>
          <w:iCs w:val="1"/>
          <w:color w:val="auto"/>
        </w:rPr>
        <w:t>Discussion and Analysis.”</w:t>
      </w:r>
    </w:p>
    <w:p>
      <w:pPr>
        <w:spacing w:after="0" w:line="11" w:lineRule="exact"/>
        <w:rPr>
          <w:sz w:val="20"/>
          <w:szCs w:val="20"/>
          <w:color w:val="auto"/>
        </w:rPr>
      </w:pPr>
    </w:p>
    <w:p>
      <w:pPr>
        <w:ind w:left="660" w:right="120"/>
        <w:spacing w:after="0" w:line="280" w:lineRule="auto"/>
        <w:rPr>
          <w:sz w:val="20"/>
          <w:szCs w:val="20"/>
          <w:color w:val="auto"/>
        </w:rPr>
      </w:pPr>
      <w:r>
        <w:rPr>
          <w:rFonts w:ascii="Arial" w:cs="Arial" w:eastAsia="Arial" w:hAnsi="Arial"/>
          <w:sz w:val="23"/>
          <w:szCs w:val="23"/>
          <w:b w:val="1"/>
          <w:bCs w:val="1"/>
          <w:i w:val="1"/>
          <w:iCs w:val="1"/>
          <w:color w:val="auto"/>
        </w:rPr>
        <w:t>Nominating and Corporate Governance Committee</w:t>
      </w:r>
    </w:p>
    <w:p>
      <w:pPr>
        <w:ind w:left="660"/>
        <w:spacing w:after="0" w:line="268" w:lineRule="auto"/>
        <w:rPr>
          <w:sz w:val="20"/>
          <w:szCs w:val="20"/>
          <w:color w:val="auto"/>
        </w:rPr>
      </w:pPr>
      <w:r>
        <w:rPr>
          <w:rFonts w:ascii="Arial" w:cs="Arial" w:eastAsia="Arial" w:hAnsi="Arial"/>
          <w:sz w:val="19"/>
          <w:szCs w:val="19"/>
          <w:color w:val="auto"/>
        </w:rPr>
        <w:t>We have established a Nominating and Corporate Governance Committee consisting of the following individuals, each of whom the Board has determined is “independent” within the meaning of applicable Nasdaq Rules: Mr. Beebe (Chairman), Ms. McBride, Mr. McGlade, and Ms. Turcke. The Nominating and Corporate Governance Committee met three (3) times during fiscal year 2024. The Nominating and Corporate Governance Committee is responsible for evaluating and recommending individuals for election or reelection to the Board and its committees, including any recommendations that may be submitted by stockholders, as well as the evaluation and recommendation of corporate governance policies. The Nominating and Corporate Governance Committee oversees the annual evaluation process for the Board, each committee, and individual directors, by soliciting from each director his or her assessment of the effectiveness of the Board, the committees on which he or she serves, and other individual directors. These and other aspects of the Nominating and Corporate Governance Committee’s authority are more particularly described in the Nominating and Corporate Governance Committee Charter, which the Board adopted and is available on the Investor Relations portion of the Company’s website at www.skyworksinc.com.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Director Nomination Procedures</w:t>
      </w:r>
    </w:p>
    <w:p>
      <w:pPr>
        <w:spacing w:after="0" w:line="89" w:lineRule="exact"/>
        <w:rPr>
          <w:sz w:val="20"/>
          <w:szCs w:val="20"/>
          <w:color w:val="auto"/>
        </w:rPr>
      </w:pPr>
    </w:p>
    <w:p>
      <w:pPr>
        <w:ind w:left="3" w:right="160"/>
        <w:spacing w:after="0" w:line="256" w:lineRule="auto"/>
        <w:rPr>
          <w:sz w:val="20"/>
          <w:szCs w:val="20"/>
          <w:color w:val="auto"/>
        </w:rPr>
      </w:pPr>
      <w:r>
        <w:rPr>
          <w:rFonts w:ascii="Arial" w:cs="Arial" w:eastAsia="Arial" w:hAnsi="Arial"/>
          <w:sz w:val="20"/>
          <w:szCs w:val="20"/>
          <w:color w:val="auto"/>
        </w:rPr>
        <w:t>The Nominating and Corporate Governance Committee evaluates director candidates in the context of the overall composition and needs of the Board, including taking into account the results of the annual Board evaluation process, with the objective of recommending a group that can best manage the business and affairs of the Company and represent the interests of the Company’s stockholders. The committee seeks directors who possess certain minimum qualifications, including the following:</w:t>
      </w:r>
    </w:p>
    <w:p>
      <w:pPr>
        <w:spacing w:after="0" w:line="56" w:lineRule="exact"/>
        <w:rPr>
          <w:sz w:val="20"/>
          <w:szCs w:val="20"/>
          <w:color w:val="auto"/>
        </w:rPr>
      </w:pPr>
    </w:p>
    <w:p>
      <w:pPr>
        <w:ind w:left="183" w:right="60" w:hanging="183"/>
        <w:spacing w:after="0" w:line="263" w:lineRule="auto"/>
        <w:tabs>
          <w:tab w:leader="none" w:pos="1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4" w:lineRule="exact"/>
        <w:rPr>
          <w:rFonts w:ascii="Arial" w:cs="Arial" w:eastAsia="Arial" w:hAnsi="Arial"/>
          <w:sz w:val="20"/>
          <w:szCs w:val="20"/>
          <w:color w:val="auto"/>
        </w:rPr>
      </w:pPr>
    </w:p>
    <w:p>
      <w:pPr>
        <w:ind w:left="183" w:right="40" w:hanging="183"/>
        <w:spacing w:after="0" w:line="264" w:lineRule="auto"/>
        <w:tabs>
          <w:tab w:leader="none" w:pos="1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director (other than an employee-director) must be free from any relationship that, in the opinion of the Board, would interfere with the exercise of his or her independent judgment as a member of the Board or of a Board committee.</w:t>
      </w:r>
    </w:p>
    <w:p>
      <w:pPr>
        <w:spacing w:after="0" w:line="4" w:lineRule="exact"/>
        <w:rPr>
          <w:rFonts w:ascii="Arial" w:cs="Arial" w:eastAsia="Arial" w:hAnsi="Arial"/>
          <w:sz w:val="20"/>
          <w:szCs w:val="20"/>
          <w:color w:val="auto"/>
        </w:rPr>
      </w:pPr>
    </w:p>
    <w:p>
      <w:pPr>
        <w:ind w:left="183" w:right="140" w:hanging="183"/>
        <w:spacing w:after="0" w:line="260" w:lineRule="auto"/>
        <w:tabs>
          <w:tab w:leader="none" w:pos="1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committee also considers the following qualities and skills, among others, in its selection of directors and as candidates for appointment to the committees of the Board:</w:t>
      </w:r>
    </w:p>
    <w:p>
      <w:pPr>
        <w:spacing w:after="0" w:line="2" w:lineRule="exact"/>
        <w:rPr>
          <w:rFonts w:ascii="Arial" w:cs="Arial" w:eastAsia="Arial" w:hAnsi="Arial"/>
          <w:sz w:val="20"/>
          <w:szCs w:val="20"/>
          <w:color w:val="auto"/>
        </w:rPr>
      </w:pPr>
    </w:p>
    <w:p>
      <w:pPr>
        <w:ind w:left="543" w:right="200" w:hanging="183"/>
        <w:spacing w:after="0" w:line="264" w:lineRule="auto"/>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economic, technical, scientific, academic, financial, accounting, legal, marketing, or other expertise applicable to the business of the Company;</w:t>
      </w:r>
    </w:p>
    <w:p>
      <w:pPr>
        <w:ind w:left="543" w:right="100" w:hanging="183"/>
        <w:spacing w:after="0" w:line="260" w:lineRule="auto"/>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leadership or substantial achievement in their particular fields;</w:t>
      </w:r>
    </w:p>
    <w:p>
      <w:pPr>
        <w:spacing w:after="0" w:line="1" w:lineRule="exact"/>
        <w:rPr>
          <w:rFonts w:ascii="Arial" w:cs="Arial" w:eastAsia="Arial" w:hAnsi="Arial"/>
          <w:sz w:val="20"/>
          <w:szCs w:val="20"/>
          <w:color w:val="auto"/>
        </w:rPr>
      </w:pPr>
    </w:p>
    <w:p>
      <w:pPr>
        <w:ind w:left="543" w:right="680" w:hanging="183"/>
        <w:spacing w:after="0" w:line="260" w:lineRule="auto"/>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demonstrated ability to exercise sound business judgment;</w:t>
      </w:r>
    </w:p>
    <w:p>
      <w:pPr>
        <w:spacing w:after="0" w:line="1" w:lineRule="exact"/>
        <w:rPr>
          <w:rFonts w:ascii="Arial" w:cs="Arial" w:eastAsia="Arial" w:hAnsi="Arial"/>
          <w:sz w:val="20"/>
          <w:szCs w:val="20"/>
          <w:color w:val="auto"/>
        </w:rPr>
      </w:pPr>
    </w:p>
    <w:p>
      <w:pPr>
        <w:ind w:left="543" w:hanging="183"/>
        <w:spacing w:after="0"/>
        <w:tabs>
          <w:tab w:leader="none" w:pos="543" w:val="left"/>
        </w:tabs>
        <w:numPr>
          <w:ilvl w:val="1"/>
          <w:numId w:val="35"/>
        </w:numPr>
        <w:rPr>
          <w:rFonts w:ascii="Arial" w:cs="Arial" w:eastAsia="Arial" w:hAnsi="Arial"/>
          <w:sz w:val="19"/>
          <w:szCs w:val="19"/>
          <w:color w:val="auto"/>
        </w:rPr>
      </w:pPr>
      <w:r>
        <w:rPr>
          <w:rFonts w:ascii="Arial" w:cs="Arial" w:eastAsia="Arial" w:hAnsi="Arial"/>
          <w:sz w:val="19"/>
          <w:szCs w:val="19"/>
          <w:color w:val="auto"/>
        </w:rPr>
        <w:t>integrity and high moral and ethical character;</w:t>
      </w:r>
    </w:p>
    <w:p>
      <w:pPr>
        <w:spacing w:after="0" w:line="38" w:lineRule="exact"/>
        <w:rPr>
          <w:rFonts w:ascii="Arial" w:cs="Arial" w:eastAsia="Arial" w:hAnsi="Arial"/>
          <w:sz w:val="19"/>
          <w:szCs w:val="19"/>
          <w:color w:val="auto"/>
        </w:rPr>
      </w:pPr>
    </w:p>
    <w:p>
      <w:pPr>
        <w:ind w:left="543" w:right="260" w:hanging="183"/>
        <w:spacing w:after="0" w:line="262" w:lineRule="auto"/>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potential to contribute to the diversity of viewpoints, backgrounds, or experiences of the Board as a whole;</w:t>
      </w:r>
    </w:p>
    <w:p>
      <w:pPr>
        <w:spacing w:after="0" w:line="2" w:lineRule="exact"/>
        <w:rPr>
          <w:rFonts w:ascii="Arial" w:cs="Arial" w:eastAsia="Arial" w:hAnsi="Arial"/>
          <w:sz w:val="20"/>
          <w:szCs w:val="20"/>
          <w:color w:val="auto"/>
        </w:rPr>
      </w:pPr>
    </w:p>
    <w:p>
      <w:pPr>
        <w:ind w:left="543" w:right="100" w:hanging="183"/>
        <w:spacing w:after="0" w:line="264" w:lineRule="auto"/>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capacity and desire to represent the balanced, best interests of the Company as a whole and not primarily a special interest group or constituency;</w:t>
      </w:r>
    </w:p>
    <w:p>
      <w:pPr>
        <w:ind w:left="543" w:hanging="183"/>
        <w:spacing w:after="0"/>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ability to work well with others;</w:t>
      </w:r>
    </w:p>
    <w:p>
      <w:pPr>
        <w:spacing w:after="0" w:line="13" w:lineRule="exact"/>
        <w:rPr>
          <w:rFonts w:ascii="Arial" w:cs="Arial" w:eastAsia="Arial" w:hAnsi="Arial"/>
          <w:sz w:val="20"/>
          <w:szCs w:val="20"/>
          <w:color w:val="auto"/>
        </w:rPr>
      </w:pPr>
    </w:p>
    <w:p>
      <w:pPr>
        <w:ind w:left="543" w:right="180" w:hanging="183"/>
        <w:spacing w:after="0" w:line="295" w:lineRule="auto"/>
        <w:tabs>
          <w:tab w:leader="none" w:pos="543" w:val="left"/>
        </w:tabs>
        <w:numPr>
          <w:ilvl w:val="1"/>
          <w:numId w:val="35"/>
        </w:numPr>
        <w:rPr>
          <w:rFonts w:ascii="Arial" w:cs="Arial" w:eastAsia="Arial" w:hAnsi="Arial"/>
          <w:sz w:val="20"/>
          <w:szCs w:val="20"/>
          <w:color w:val="auto"/>
        </w:rPr>
      </w:pPr>
      <w:r>
        <w:rPr>
          <w:rFonts w:ascii="Arial" w:cs="Arial" w:eastAsia="Arial" w:hAnsi="Arial"/>
          <w:sz w:val="20"/>
          <w:szCs w:val="20"/>
          <w:color w:val="auto"/>
        </w:rPr>
        <w:t>high degree of interest in the business of the Company;</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8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0" w:hanging="186"/>
        <w:spacing w:after="0"/>
        <w:tabs>
          <w:tab w:leader="none" w:pos="12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dedication to the success of the Company;</w:t>
      </w:r>
    </w:p>
    <w:p>
      <w:pPr>
        <w:spacing w:after="0" w:line="31" w:lineRule="exact"/>
        <w:rPr>
          <w:rFonts w:ascii="Arial" w:cs="Arial" w:eastAsia="Arial" w:hAnsi="Arial"/>
          <w:sz w:val="20"/>
          <w:szCs w:val="20"/>
          <w:color w:val="auto"/>
        </w:rPr>
      </w:pPr>
    </w:p>
    <w:p>
      <w:pPr>
        <w:ind w:left="1200" w:right="660" w:hanging="186"/>
        <w:spacing w:after="0" w:line="260" w:lineRule="auto"/>
        <w:tabs>
          <w:tab w:leader="none" w:pos="12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commitment to the responsibilities of a director; and</w:t>
      </w:r>
    </w:p>
    <w:p>
      <w:pPr>
        <w:spacing w:after="0" w:line="1" w:lineRule="exact"/>
        <w:rPr>
          <w:rFonts w:ascii="Arial" w:cs="Arial" w:eastAsia="Arial" w:hAnsi="Arial"/>
          <w:sz w:val="20"/>
          <w:szCs w:val="20"/>
          <w:color w:val="auto"/>
        </w:rPr>
      </w:pPr>
    </w:p>
    <w:p>
      <w:pPr>
        <w:ind w:left="1200" w:right="760" w:hanging="186"/>
        <w:spacing w:after="0" w:line="281" w:lineRule="auto"/>
        <w:tabs>
          <w:tab w:leader="none" w:pos="12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international business or professional experience.</w:t>
      </w:r>
    </w:p>
    <w:p>
      <w:pPr>
        <w:spacing w:after="0" w:line="172" w:lineRule="exact"/>
        <w:rPr>
          <w:sz w:val="20"/>
          <w:szCs w:val="20"/>
          <w:color w:val="auto"/>
        </w:rPr>
      </w:pPr>
    </w:p>
    <w:p>
      <w:pPr>
        <w:ind w:left="660" w:right="160"/>
        <w:spacing w:after="0" w:line="264" w:lineRule="auto"/>
        <w:rPr>
          <w:sz w:val="20"/>
          <w:szCs w:val="20"/>
          <w:color w:val="auto"/>
        </w:rPr>
      </w:pPr>
      <w:r>
        <w:rPr>
          <w:rFonts w:ascii="Arial" w:cs="Arial" w:eastAsia="Arial" w:hAnsi="Arial"/>
          <w:sz w:val="20"/>
          <w:szCs w:val="20"/>
          <w:color w:val="auto"/>
        </w:rPr>
        <w:t>The committee believes that our Board, taken as a whole, should embody a diverse set of skills, experiences, and backgrounds in order to better inform its decisions.</w:t>
      </w:r>
    </w:p>
    <w:p>
      <w:pPr>
        <w:spacing w:after="0" w:line="176"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The committee will also take into account the fact that a majority of the Board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whether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considering the overall composition and needs of the Board. Based on the results of the evaluation process, the committee recommends candidates for director nominees for election to the Board.</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Stockholder Nominees For Directors</w:t>
      </w:r>
    </w:p>
    <w:p>
      <w:pPr>
        <w:spacing w:after="0" w:line="143" w:lineRule="exact"/>
        <w:rPr>
          <w:sz w:val="20"/>
          <w:szCs w:val="20"/>
          <w:color w:val="auto"/>
        </w:rPr>
      </w:pPr>
    </w:p>
    <w:p>
      <w:pPr>
        <w:ind w:left="660" w:right="140"/>
        <w:spacing w:after="0" w:line="259" w:lineRule="auto"/>
        <w:rPr>
          <w:sz w:val="20"/>
          <w:szCs w:val="20"/>
          <w:color w:val="auto"/>
        </w:rPr>
      </w:pPr>
      <w:r>
        <w:rPr>
          <w:rFonts w:ascii="Arial" w:cs="Arial" w:eastAsia="Arial" w:hAnsi="Arial"/>
          <w:sz w:val="20"/>
          <w:szCs w:val="20"/>
          <w:color w:val="auto"/>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whether the candidate was recommended by a stockholder or otherwise. For recommendations for election to the Board proposed by stockholders to be considered by the committee for election at the 2026 Annual Meeting, the recommendation must be in writing, must be received by the committee no later than November 28, 2025 nor earlier than October 29, 2025, and must include the information specified in the Company’s Policy Governing Director Nominations and Security Holder — Board Communications which is posted in the Investor Relations section of the Company’s website.</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Stockholders who wish to nominate director candidates for election at the 2026 Annual Meeting, but who are not to be included in the Company’s proxy materials pursuant to the proxy access provisions in our By-laws that are described in the next paragraph, may do so in accordance with the provisions of our By-laws by submitting a written notice to the Secretary of the Company at the address below no earlier than the close of business on January 14, 2026, and no later than the close of business on February 13, 2026. In the event that the 2026 Annual Meeting is advanced by more than thirty (30) days, or delayed (other than as a result of adjournment) by more than sixty (60) days, from the first anniversary of the Company’s 2025 Annual Meeting, then the required notice must be delivered in writing to the Secretary of the Company at the address below no earlier than the close of business on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date of the 2026 Annual Meeting and no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2026 Annual Meeting or the 10th day following the day on which the public announcement of the date of the 2026 Annual Meeting is first made by the Company. Such notice must include the information specified in Article II, Section 8(A)(2) of the Company’s By-laws, including the information required by Rule 14a-19 under the Exchange Act.</w:t>
      </w:r>
    </w:p>
    <w:p>
      <w:pPr>
        <w:spacing w:after="0" w:line="197"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A stockholder (or a group of up to twenty stockholders) who has owned at least three percent of the Company’s outstanding shares of common stock continuously for at least three years, and has complied with the other</w:t>
      </w:r>
    </w:p>
    <w:p>
      <w:pPr>
        <w:spacing w:after="0" w:line="808"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116"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requirements in the Company’s By-laws, may nominate and include in the Company’s proxy materials a number of director nominees up to the greater of two individuals or 20% of the Board. Written notice of a proxy access nomination for inclusion in our proxy statement for the 2026 Annual Meeting must be received in writing by the Secretary of the Company at the address below no earlier than December 15, 2025, and no later than January 14, 2026. In the event that the 2026 Annual Meeting is held more than thirty (30) days before, or more than sixty (60) days after (other than as a result of adjournment), the first anniversary of the Company’s 2025 Annual Meeting, then the required notice must be received in writing by the Secretary of the Company at the address below no earlier than 150 days prior to the date of the 2026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Meeting and no later than the close of business on the later of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2026 Annual Meeting or the 10th day following the day on which the public announcement of the date of the 2026 Annual Meeting is first made by the Company. Such notice must include the information specified in Article II, Section 8(A)(3) of the Company’s By-laws.</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The written notices described above should be sent to the General Counsel and Secretary of the Company via U.S. mail or expedited delivery service to:</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Skyworks Solutions,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Irvine, California 92617</w:t>
      </w:r>
    </w:p>
    <w:p>
      <w:pPr>
        <w:spacing w:after="0" w:line="510"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Role of the Board of Directors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31"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Our Board is responsible for risk oversight and treats that role with the utmost importance. While our management team is responsible for risk management on a day-to-day basis and for reporting significant risk exposures to the Board, the Board regularly engages in both the processes management utilizes to identify, assess and manage risk and ongoing plans to address any identified risks. At each of our quarterly Board meetings and at each of our Committee meetings, management provides updates on a wide range of topics relating to risk. Such topics may include cybersecurity and artificial intelligence initiatives, corporate governance, sustainability programs, technology development, operational execution, and capital allocation. In addition, each committee reports to the Board on a regular basis, including with respect to the committee’s risk oversight activities as well as recommendations on actions requiring approval of the full Board.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We believe our leadership structure supports the risk oversight function of the Board. The independence of our Board, the Chairman of the Board, and each of our committee chairpersons enhances our Board’s ability to exercise risk oversight. Through the authority of our independent Chairman of the Board to establish Board agendas and call and preside at Board meetings and executive sessions of our independent directors, our current Board leadership structure provides mechanisms to facilitate our Board’s exercise of its oversight responsibilities. Those mechanisms include requiring management reports on specific risk areas and requesting additional information regarding management’s recommendation on any risk matters as the Board may determine to be necessary or advisable.</w:t>
      </w:r>
    </w:p>
    <w:p>
      <w:pPr>
        <w:spacing w:after="0" w:line="200" w:lineRule="exact"/>
        <w:rPr>
          <w:sz w:val="20"/>
          <w:szCs w:val="20"/>
          <w:color w:val="auto"/>
        </w:rPr>
      </w:pPr>
    </w:p>
    <w:p>
      <w:pPr>
        <w:spacing w:after="0" w:line="229" w:lineRule="exact"/>
        <w:rPr>
          <w:sz w:val="20"/>
          <w:szCs w:val="20"/>
          <w:color w:val="auto"/>
        </w:rPr>
      </w:pPr>
    </w:p>
    <w:p>
      <w:pPr>
        <w:ind w:right="360"/>
        <w:spacing w:after="0" w:line="269" w:lineRule="auto"/>
        <w:rPr>
          <w:sz w:val="20"/>
          <w:szCs w:val="20"/>
          <w:color w:val="auto"/>
        </w:rPr>
      </w:pPr>
      <w:r>
        <w:rPr>
          <w:rFonts w:ascii="Arial" w:cs="Arial" w:eastAsia="Arial" w:hAnsi="Arial"/>
          <w:sz w:val="20"/>
          <w:szCs w:val="20"/>
          <w:color w:val="auto"/>
        </w:rPr>
        <w:t>The following table summarizes the key risk management areas over which the Board and its committees exercise oversight:</w:t>
      </w:r>
    </w:p>
    <w:p>
      <w:pPr>
        <w:spacing w:after="0" w:line="2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402"/>
        </w:trPr>
        <w:tc>
          <w:tcPr>
            <w:tcW w:w="1760" w:type="dxa"/>
            <w:vAlign w:val="bottom"/>
            <w:shd w:val="clear" w:color="auto" w:fill="E5E5E5"/>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0075A8"/>
              </w:rPr>
              <w:t xml:space="preserve"> Board of Directors</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business strategy, including product and</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operational risks</w:t>
            </w:r>
          </w:p>
        </w:tc>
        <w:tc>
          <w:tcPr>
            <w:tcW w:w="100" w:type="dxa"/>
            <w:vAlign w:val="bottom"/>
            <w:shd w:val="clear" w:color="auto" w:fill="E5E5E5"/>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shd w:val="clear" w:color="auto" w:fill="E5E5E5"/>
          </w:tcPr>
          <w:p>
            <w:pPr>
              <w:spacing w:after="0"/>
              <w:rPr>
                <w:sz w:val="19"/>
                <w:szCs w:val="19"/>
                <w:color w:val="auto"/>
              </w:rPr>
            </w:pPr>
          </w:p>
        </w:tc>
        <w:tc>
          <w:tcPr>
            <w:tcW w:w="2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technology roadmaps</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E5E5E5"/>
          </w:tcPr>
          <w:p>
            <w:pPr>
              <w:spacing w:after="0"/>
              <w:rPr>
                <w:sz w:val="20"/>
                <w:szCs w:val="20"/>
                <w:color w:val="auto"/>
              </w:rPr>
            </w:pPr>
          </w:p>
        </w:tc>
        <w:tc>
          <w:tcPr>
            <w:tcW w:w="240" w:type="dxa"/>
            <w:vAlign w:val="bottom"/>
            <w:vMerge w:val="continue"/>
            <w:shd w:val="clear" w:color="auto" w:fill="E5E5E5"/>
          </w:tcPr>
          <w:p>
            <w:pPr>
              <w:spacing w:after="0"/>
              <w:rPr>
                <w:sz w:val="20"/>
                <w:szCs w:val="20"/>
                <w:color w:val="auto"/>
              </w:rPr>
            </w:pP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capital allocation</w:t>
            </w:r>
          </w:p>
        </w:tc>
        <w:tc>
          <w:tcPr>
            <w:tcW w:w="260" w:type="dxa"/>
            <w:vAlign w:val="bottom"/>
            <w:shd w:val="clear" w:color="auto" w:fill="E5E5E5"/>
          </w:tcPr>
          <w:p>
            <w:pPr>
              <w:spacing w:after="0"/>
              <w:rPr>
                <w:sz w:val="20"/>
                <w:szCs w:val="20"/>
                <w:color w:val="auto"/>
              </w:rPr>
            </w:pPr>
          </w:p>
        </w:tc>
        <w:tc>
          <w:tcPr>
            <w:tcW w:w="33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760" w:type="dxa"/>
            <w:vAlign w:val="bottom"/>
            <w:shd w:val="clear" w:color="auto" w:fill="E5E5E5"/>
          </w:tcPr>
          <w:p>
            <w:pPr>
              <w:spacing w:after="0"/>
              <w:rPr>
                <w:sz w:val="18"/>
                <w:szCs w:val="18"/>
                <w:color w:val="auto"/>
              </w:rPr>
            </w:pP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organizational structure</w:t>
            </w:r>
          </w:p>
        </w:tc>
        <w:tc>
          <w:tcPr>
            <w:tcW w:w="260" w:type="dxa"/>
            <w:vAlign w:val="bottom"/>
            <w:shd w:val="clear" w:color="auto" w:fill="E5E5E5"/>
          </w:tcPr>
          <w:p>
            <w:pPr>
              <w:spacing w:after="0"/>
              <w:rPr>
                <w:sz w:val="18"/>
                <w:szCs w:val="18"/>
                <w:color w:val="auto"/>
              </w:rPr>
            </w:pPr>
          </w:p>
        </w:tc>
        <w:tc>
          <w:tcPr>
            <w:tcW w:w="33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60" w:type="dxa"/>
            <w:vAlign w:val="bottom"/>
          </w:tcPr>
          <w:p>
            <w:pPr>
              <w:spacing w:after="0" w:line="251" w:lineRule="exact"/>
              <w:rPr>
                <w:sz w:val="20"/>
                <w:szCs w:val="20"/>
                <w:color w:val="auto"/>
              </w:rPr>
            </w:pPr>
            <w:r>
              <w:rPr>
                <w:rFonts w:ascii="Arial" w:cs="Arial" w:eastAsia="Arial" w:hAnsi="Arial"/>
                <w:sz w:val="29"/>
                <w:szCs w:val="29"/>
                <w:color w:val="000000"/>
                <w:vertAlign w:val="superscript"/>
              </w:rPr>
              <w:t>​</w:t>
            </w:r>
            <w:r>
              <w:rPr>
                <w:rFonts w:ascii="Arial" w:cs="Arial" w:eastAsia="Arial" w:hAnsi="Arial"/>
                <w:sz w:val="16"/>
                <w:szCs w:val="16"/>
                <w:b w:val="1"/>
                <w:bCs w:val="1"/>
                <w:color w:val="0075A8"/>
              </w:rPr>
              <w:t xml:space="preserve"> Audit Committee</w:t>
            </w:r>
          </w:p>
        </w:tc>
        <w:tc>
          <w:tcPr>
            <w:tcW w:w="240" w:type="dxa"/>
            <w:vAlign w:val="bottom"/>
          </w:tcPr>
          <w:p>
            <w:pPr>
              <w:jc w:val="right"/>
              <w:spacing w:after="0" w:line="251"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financial reporting</w:t>
            </w:r>
          </w:p>
        </w:tc>
        <w:tc>
          <w:tcPr>
            <w:tcW w:w="260" w:type="dxa"/>
            <w:vAlign w:val="bottom"/>
          </w:tcPr>
          <w:p>
            <w:pPr>
              <w:jc w:val="right"/>
              <w:spacing w:after="0" w:line="251"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internal audit function</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3700" w:type="dxa"/>
            <w:vAlign w:val="bottom"/>
          </w:tcPr>
          <w:p>
            <w:pPr>
              <w:ind w:left="60"/>
              <w:spacing w:after="0" w:line="181" w:lineRule="exact"/>
              <w:rPr>
                <w:sz w:val="20"/>
                <w:szCs w:val="20"/>
                <w:color w:val="auto"/>
              </w:rPr>
            </w:pPr>
            <w:r>
              <w:rPr>
                <w:rFonts w:ascii="Arial" w:cs="Arial" w:eastAsia="Arial" w:hAnsi="Arial"/>
                <w:sz w:val="18"/>
                <w:szCs w:val="18"/>
                <w:color w:val="auto"/>
              </w:rPr>
              <w:t>financial and accounting controls and</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3340" w:type="dxa"/>
            <w:vAlign w:val="bottom"/>
          </w:tcPr>
          <w:p>
            <w:pPr>
              <w:ind w:left="60"/>
              <w:spacing w:after="0" w:line="181" w:lineRule="exact"/>
              <w:rPr>
                <w:sz w:val="20"/>
                <w:szCs w:val="20"/>
                <w:color w:val="auto"/>
              </w:rPr>
            </w:pPr>
            <w:r>
              <w:rPr>
                <w:rFonts w:ascii="Arial" w:cs="Arial" w:eastAsia="Arial" w:hAnsi="Arial"/>
                <w:sz w:val="18"/>
                <w:szCs w:val="18"/>
                <w:color w:val="auto"/>
              </w:rPr>
              <w:t>independent accounting firm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ind w:left="60"/>
              <w:spacing w:after="0"/>
              <w:rPr>
                <w:sz w:val="20"/>
                <w:szCs w:val="20"/>
                <w:color w:val="auto"/>
              </w:rPr>
            </w:pPr>
            <w:r>
              <w:rPr>
                <w:rFonts w:ascii="Arial" w:cs="Arial" w:eastAsia="Arial" w:hAnsi="Arial"/>
                <w:sz w:val="18"/>
                <w:szCs w:val="18"/>
                <w:color w:val="auto"/>
              </w:rPr>
              <w:t>processes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related-party transactions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legal and regulatory compliance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whistleblower reporting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cybersecurity and artificial intelligence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enterprise risk evaluation processes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E5E5E5"/>
          </w:tcPr>
          <w:p>
            <w:pPr>
              <w:spacing w:after="0" w:line="202"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4"/>
                <w:szCs w:val="14"/>
                <w:b w:val="1"/>
                <w:bCs w:val="1"/>
                <w:color w:val="0075A8"/>
              </w:rPr>
              <w:t xml:space="preserve"> Compensation</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bscript"/>
              </w:rPr>
              <w:t>•</w:t>
            </w:r>
          </w:p>
        </w:tc>
        <w:tc>
          <w:tcPr>
            <w:tcW w:w="396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4"/>
                <w:szCs w:val="14"/>
                <w:color w:val="auto"/>
              </w:rPr>
              <w:t>executive compensation programs, policies and</w:t>
            </w:r>
            <w:r>
              <w:rPr>
                <w:rFonts w:ascii="Arial" w:cs="Arial" w:eastAsia="Arial" w:hAnsi="Arial"/>
                <w:sz w:val="23"/>
                <w:szCs w:val="23"/>
                <w:color w:val="auto"/>
                <w:vertAlign w:val="superscript"/>
              </w:rPr>
              <w:t>​​</w:t>
            </w:r>
            <w:r>
              <w:rPr>
                <w:rFonts w:ascii="Arial" w:cs="Arial" w:eastAsia="Arial" w:hAnsi="Arial"/>
                <w:sz w:val="14"/>
                <w:szCs w:val="14"/>
                <w:color w:val="auto"/>
              </w:rPr>
              <w:t>•</w:t>
            </w:r>
          </w:p>
        </w:tc>
        <w:tc>
          <w:tcPr>
            <w:tcW w:w="33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management succession planning</w:t>
            </w:r>
          </w:p>
        </w:tc>
        <w:tc>
          <w:tcPr>
            <w:tcW w:w="100" w:type="dxa"/>
            <w:vAlign w:val="bottom"/>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6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0075A8"/>
              </w:rPr>
              <w:t>Committee</w:t>
            </w:r>
          </w:p>
        </w:tc>
        <w:tc>
          <w:tcPr>
            <w:tcW w:w="2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practices</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non-employee director compensation</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E5E5"/>
          </w:tcPr>
          <w:p>
            <w:pPr>
              <w:spacing w:after="0"/>
              <w:rPr>
                <w:sz w:val="18"/>
                <w:szCs w:val="18"/>
                <w:color w:val="auto"/>
              </w:rPr>
            </w:pPr>
          </w:p>
        </w:tc>
        <w:tc>
          <w:tcPr>
            <w:tcW w:w="240" w:type="dxa"/>
            <w:vAlign w:val="bottom"/>
            <w:vMerge w:val="continue"/>
            <w:shd w:val="clear" w:color="auto" w:fill="E5E5E5"/>
          </w:tcPr>
          <w:p>
            <w:pPr>
              <w:spacing w:after="0"/>
              <w:rPr>
                <w:sz w:val="18"/>
                <w:szCs w:val="18"/>
                <w:color w:val="auto"/>
              </w:rPr>
            </w:pP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executive performance</w:t>
            </w:r>
          </w:p>
        </w:tc>
        <w:tc>
          <w:tcPr>
            <w:tcW w:w="260" w:type="dxa"/>
            <w:vAlign w:val="bottom"/>
            <w:shd w:val="clear" w:color="auto" w:fill="E5E5E5"/>
          </w:tcPr>
          <w:p>
            <w:pPr>
              <w:spacing w:after="0"/>
              <w:rPr>
                <w:sz w:val="18"/>
                <w:szCs w:val="18"/>
                <w:color w:val="auto"/>
              </w:rPr>
            </w:pPr>
          </w:p>
        </w:tc>
        <w:tc>
          <w:tcPr>
            <w:tcW w:w="33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4"/>
                <w:szCs w:val="14"/>
                <w:b w:val="1"/>
                <w:bCs w:val="1"/>
                <w:color w:val="0075A8"/>
              </w:rPr>
              <w:t xml:space="preserve"> Nominating and</w:t>
            </w:r>
          </w:p>
        </w:tc>
        <w:tc>
          <w:tcPr>
            <w:tcW w:w="240" w:type="dxa"/>
            <w:vAlign w:val="bottom"/>
          </w:tcPr>
          <w:p>
            <w:pPr>
              <w:jc w:val="right"/>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bscript"/>
              </w:rPr>
              <w:t>•</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w w:val="99"/>
              </w:rPr>
              <w:t>Board size, composition, leadership structure,</w:t>
            </w:r>
          </w:p>
        </w:tc>
        <w:tc>
          <w:tcPr>
            <w:tcW w:w="260" w:type="dxa"/>
            <w:vAlign w:val="bottom"/>
          </w:tcPr>
          <w:p>
            <w:pPr>
              <w:jc w:val="right"/>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bscript"/>
              </w:rPr>
              <w:t>•</w:t>
            </w:r>
          </w:p>
        </w:tc>
        <w:tc>
          <w:tcPr>
            <w:tcW w:w="3340" w:type="dxa"/>
            <w:vAlign w:val="bottom"/>
          </w:tcPr>
          <w:p>
            <w:pPr>
              <w:ind w:left="60"/>
              <w:spacing w:after="0" w:line="202" w:lineRule="exact"/>
              <w:rPr>
                <w:sz w:val="20"/>
                <w:szCs w:val="20"/>
                <w:color w:val="auto"/>
              </w:rPr>
            </w:pPr>
            <w:r>
              <w:rPr>
                <w:rFonts w:ascii="Arial" w:cs="Arial" w:eastAsia="Arial" w:hAnsi="Arial"/>
                <w:sz w:val="18"/>
                <w:szCs w:val="18"/>
                <w:color w:val="auto"/>
                <w:w w:val="99"/>
              </w:rPr>
              <w:t>director skills, experience and diversity of</w:t>
            </w:r>
          </w:p>
        </w:tc>
        <w:tc>
          <w:tcPr>
            <w:tcW w:w="1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760" w:type="dxa"/>
            <w:vAlign w:val="bottom"/>
          </w:tcPr>
          <w:p>
            <w:pPr>
              <w:ind w:left="100"/>
              <w:spacing w:after="0" w:line="176" w:lineRule="exact"/>
              <w:rPr>
                <w:sz w:val="20"/>
                <w:szCs w:val="20"/>
                <w:color w:val="auto"/>
              </w:rPr>
            </w:pPr>
            <w:r>
              <w:rPr>
                <w:rFonts w:ascii="Arial" w:cs="Arial" w:eastAsia="Arial" w:hAnsi="Arial"/>
                <w:sz w:val="18"/>
                <w:szCs w:val="18"/>
                <w:b w:val="1"/>
                <w:bCs w:val="1"/>
                <w:color w:val="0075A8"/>
              </w:rPr>
              <w:t>Corporate</w:t>
            </w:r>
          </w:p>
        </w:tc>
        <w:tc>
          <w:tcPr>
            <w:tcW w:w="240" w:type="dxa"/>
            <w:vAlign w:val="bottom"/>
          </w:tcPr>
          <w:p>
            <w:pPr>
              <w:spacing w:after="0"/>
              <w:rPr>
                <w:sz w:val="15"/>
                <w:szCs w:val="15"/>
                <w:color w:val="auto"/>
              </w:rPr>
            </w:pPr>
          </w:p>
        </w:tc>
        <w:tc>
          <w:tcPr>
            <w:tcW w:w="3700" w:type="dxa"/>
            <w:vAlign w:val="bottom"/>
          </w:tcPr>
          <w:p>
            <w:pPr>
              <w:ind w:left="60"/>
              <w:spacing w:after="0" w:line="176" w:lineRule="exact"/>
              <w:rPr>
                <w:sz w:val="20"/>
                <w:szCs w:val="20"/>
                <w:color w:val="auto"/>
              </w:rPr>
            </w:pPr>
            <w:r>
              <w:rPr>
                <w:rFonts w:ascii="Arial" w:cs="Arial" w:eastAsia="Arial" w:hAnsi="Arial"/>
                <w:sz w:val="18"/>
                <w:szCs w:val="18"/>
                <w:color w:val="auto"/>
              </w:rPr>
              <w:t>and effectiveness</w:t>
            </w:r>
          </w:p>
        </w:tc>
        <w:tc>
          <w:tcPr>
            <w:tcW w:w="260" w:type="dxa"/>
            <w:vAlign w:val="bottom"/>
          </w:tcPr>
          <w:p>
            <w:pPr>
              <w:spacing w:after="0"/>
              <w:rPr>
                <w:sz w:val="15"/>
                <w:szCs w:val="15"/>
                <w:color w:val="auto"/>
              </w:rPr>
            </w:pP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rPr>
              <w:t>viewpoints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00"/>
              <w:spacing w:after="0"/>
              <w:rPr>
                <w:sz w:val="20"/>
                <w:szCs w:val="20"/>
                <w:color w:val="auto"/>
              </w:rPr>
            </w:pPr>
            <w:r>
              <w:rPr>
                <w:rFonts w:ascii="Arial" w:cs="Arial" w:eastAsia="Arial" w:hAnsi="Arial"/>
                <w:sz w:val="18"/>
                <w:szCs w:val="18"/>
                <w:b w:val="1"/>
                <w:bCs w:val="1"/>
                <w:color w:val="0075A8"/>
              </w:rPr>
              <w:t>Governance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corporate governance policies and practices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w w:val="97"/>
              </w:rPr>
              <w:t>corporate responsibility and sustainability,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100"/>
              <w:spacing w:after="0"/>
              <w:rPr>
                <w:sz w:val="20"/>
                <w:szCs w:val="20"/>
                <w:color w:val="auto"/>
              </w:rPr>
            </w:pPr>
            <w:r>
              <w:rPr>
                <w:rFonts w:ascii="Arial" w:cs="Arial" w:eastAsia="Arial" w:hAnsi="Arial"/>
                <w:sz w:val="18"/>
                <w:szCs w:val="18"/>
                <w:b w:val="1"/>
                <w:bCs w:val="1"/>
                <w:color w:val="0075A8"/>
              </w:rPr>
              <w:t>Committee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ethics policies and practices</w:t>
            </w:r>
          </w:p>
        </w:tc>
        <w:tc>
          <w:tcPr>
            <w:tcW w:w="260" w:type="dxa"/>
            <w:vAlign w:val="bottom"/>
          </w:tcPr>
          <w:p>
            <w:pPr>
              <w:spacing w:after="0"/>
              <w:rPr>
                <w:sz w:val="21"/>
                <w:szCs w:val="21"/>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w w:val="99"/>
              </w:rPr>
              <w:t>including related to human rights, climate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700" w:type="dxa"/>
            <w:vAlign w:val="bottom"/>
            <w:vMerge w:val="restart"/>
          </w:tcPr>
          <w:p>
            <w:pPr>
              <w:ind w:left="60"/>
              <w:spacing w:after="0"/>
              <w:rPr>
                <w:sz w:val="20"/>
                <w:szCs w:val="20"/>
                <w:color w:val="auto"/>
              </w:rPr>
            </w:pPr>
            <w:r>
              <w:rPr>
                <w:rFonts w:ascii="Arial" w:cs="Arial" w:eastAsia="Arial" w:hAnsi="Arial"/>
                <w:sz w:val="18"/>
                <w:szCs w:val="18"/>
                <w:color w:val="auto"/>
              </w:rPr>
              <w:t>crisis management</w:t>
            </w:r>
          </w:p>
        </w:tc>
        <w:tc>
          <w:tcPr>
            <w:tcW w:w="26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and the environment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7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760" w:type="dxa"/>
            <w:vAlign w:val="bottom"/>
            <w:tcBorders>
              <w:bottom w:val="single" w:sz="8" w:color="CCCCCC"/>
            </w:tcBorders>
          </w:tcPr>
          <w:p>
            <w:pPr>
              <w:spacing w:after="0"/>
              <w:rPr>
                <w:sz w:val="12"/>
                <w:szCs w:val="12"/>
                <w:color w:val="auto"/>
              </w:rPr>
            </w:pPr>
          </w:p>
        </w:tc>
        <w:tc>
          <w:tcPr>
            <w:tcW w:w="240" w:type="dxa"/>
            <w:vAlign w:val="bottom"/>
            <w:tcBorders>
              <w:bottom w:val="single" w:sz="8" w:color="CCCCCC"/>
            </w:tcBorders>
          </w:tcPr>
          <w:p>
            <w:pPr>
              <w:spacing w:after="0"/>
              <w:rPr>
                <w:sz w:val="12"/>
                <w:szCs w:val="12"/>
                <w:color w:val="auto"/>
              </w:rPr>
            </w:pPr>
          </w:p>
        </w:tc>
        <w:tc>
          <w:tcPr>
            <w:tcW w:w="3700" w:type="dxa"/>
            <w:vAlign w:val="bottom"/>
            <w:tcBorders>
              <w:bottom w:val="single" w:sz="8" w:color="CCCCCC"/>
            </w:tcBorders>
          </w:tcPr>
          <w:p>
            <w:pPr>
              <w:spacing w:after="0"/>
              <w:rPr>
                <w:sz w:val="12"/>
                <w:szCs w:val="12"/>
                <w:color w:val="auto"/>
              </w:rPr>
            </w:pPr>
          </w:p>
        </w:tc>
        <w:tc>
          <w:tcPr>
            <w:tcW w:w="260" w:type="dxa"/>
            <w:vAlign w:val="bottom"/>
            <w:tcBorders>
              <w:bottom w:val="single" w:sz="8" w:color="CCCCCC"/>
            </w:tcBorders>
          </w:tcPr>
          <w:p>
            <w:pPr>
              <w:spacing w:after="0"/>
              <w:rPr>
                <w:sz w:val="12"/>
                <w:szCs w:val="12"/>
                <w:color w:val="auto"/>
              </w:rPr>
            </w:pPr>
          </w:p>
        </w:tc>
        <w:tc>
          <w:tcPr>
            <w:tcW w:w="3340" w:type="dxa"/>
            <w:vAlign w:val="bottom"/>
            <w:tcBorders>
              <w:bottom w:val="single" w:sz="8" w:color="CCCCCC"/>
            </w:tcBorders>
          </w:tcPr>
          <w:p>
            <w:pPr>
              <w:spacing w:after="0"/>
              <w:rPr>
                <w:sz w:val="12"/>
                <w:szCs w:val="12"/>
                <w:color w:val="auto"/>
              </w:rPr>
            </w:pPr>
          </w:p>
        </w:tc>
        <w:tc>
          <w:tcPr>
            <w:tcW w:w="100" w:type="dxa"/>
            <w:vAlign w:val="bottom"/>
            <w:tcBorders>
              <w:bottom w:val="single" w:sz="8" w:color="CCCCC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660" w:right="60"/>
        <w:spacing w:after="0" w:line="251" w:lineRule="auto"/>
        <w:rPr>
          <w:sz w:val="20"/>
          <w:szCs w:val="20"/>
          <w:color w:val="auto"/>
        </w:rPr>
      </w:pPr>
      <w:r>
        <w:rPr>
          <w:rFonts w:ascii="Arial" w:cs="Arial" w:eastAsia="Arial" w:hAnsi="Arial"/>
          <w:sz w:val="20"/>
          <w:szCs w:val="20"/>
          <w:color w:val="auto"/>
        </w:rPr>
        <w:t>Importantly, the Audit Committee plays a key role in overseeing our annual enterprise risk management process designed to identify risks and controls, promote visibility and dialogue, and facilitate risk response and mitigation strategies. Important elements of this process include:</w:t>
      </w:r>
    </w:p>
    <w:p>
      <w:pPr>
        <w:spacing w:after="0" w:line="109" w:lineRule="exact"/>
        <w:rPr>
          <w:sz w:val="20"/>
          <w:szCs w:val="20"/>
          <w:color w:val="auto"/>
        </w:rPr>
      </w:pPr>
    </w:p>
    <w:p>
      <w:pPr>
        <w:ind w:left="840" w:right="120" w:hanging="186"/>
        <w:spacing w:after="0" w:line="268" w:lineRule="auto"/>
        <w:tabs>
          <w:tab w:leader="none" w:pos="8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Collecting data from stakeholders throughout the Company, identifying and categorizing the likelihood and magnitude of risk events, and summarizing the results to create a consolidated risk profile.</w:t>
      </w:r>
    </w:p>
    <w:p>
      <w:pPr>
        <w:spacing w:after="0" w:line="119" w:lineRule="exact"/>
        <w:rPr>
          <w:rFonts w:ascii="Arial" w:cs="Arial" w:eastAsia="Arial" w:hAnsi="Arial"/>
          <w:sz w:val="20"/>
          <w:szCs w:val="20"/>
          <w:color w:val="auto"/>
        </w:rPr>
      </w:pPr>
    </w:p>
    <w:p>
      <w:pPr>
        <w:ind w:left="840" w:right="60" w:hanging="186"/>
        <w:spacing w:after="0" w:line="297" w:lineRule="auto"/>
        <w:tabs>
          <w:tab w:leader="none" w:pos="8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Reviewing this risk profile with our senior management and seeking input on mitigation and response strategies and their implementation.</w:t>
      </w:r>
    </w:p>
    <w:p>
      <w:pPr>
        <w:spacing w:after="0" w:line="79" w:lineRule="exact"/>
        <w:rPr>
          <w:rFonts w:ascii="Arial" w:cs="Arial" w:eastAsia="Arial" w:hAnsi="Arial"/>
          <w:sz w:val="19"/>
          <w:szCs w:val="19"/>
          <w:color w:val="auto"/>
        </w:rPr>
      </w:pPr>
    </w:p>
    <w:p>
      <w:pPr>
        <w:jc w:val="both"/>
        <w:ind w:left="840" w:right="20" w:hanging="186"/>
        <w:spacing w:after="0" w:line="276" w:lineRule="auto"/>
        <w:tabs>
          <w:tab w:leader="none" w:pos="8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Reviewing the consolidated measures of controls designed to facilitate the employment of adequate risk mitigation strategies.</w:t>
      </w:r>
    </w:p>
    <w:p>
      <w:pPr>
        <w:spacing w:after="0" w:line="30" w:lineRule="exact"/>
        <w:rPr>
          <w:sz w:val="20"/>
          <w:szCs w:val="20"/>
          <w:color w:val="auto"/>
        </w:rPr>
      </w:pPr>
    </w:p>
    <w:p>
      <w:pPr>
        <w:ind w:left="660" w:right="140"/>
        <w:spacing w:after="0" w:line="264" w:lineRule="auto"/>
        <w:rPr>
          <w:sz w:val="20"/>
          <w:szCs w:val="20"/>
          <w:color w:val="auto"/>
        </w:rPr>
      </w:pPr>
      <w:r>
        <w:rPr>
          <w:rFonts w:ascii="Arial" w:cs="Arial" w:eastAsia="Arial" w:hAnsi="Arial"/>
          <w:sz w:val="20"/>
          <w:szCs w:val="20"/>
          <w:color w:val="auto"/>
        </w:rPr>
        <w:t>In addition, in fiscal year 2024, management presented three times to the Audit Committee and once to the Board on the Company’s cybersecurity program and risks.</w:t>
      </w:r>
    </w:p>
    <w:p>
      <w:pPr>
        <w:spacing w:after="0" w:line="4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98" w:lineRule="exact"/>
        <w:rPr>
          <w:sz w:val="20"/>
          <w:szCs w:val="20"/>
          <w:color w:val="auto"/>
        </w:rPr>
      </w:pPr>
    </w:p>
    <w:p>
      <w:pPr>
        <w:jc w:val="both"/>
        <w:ind w:left="840" w:right="540" w:hanging="186"/>
        <w:spacing w:after="0" w:line="313" w:lineRule="auto"/>
        <w:tabs>
          <w:tab w:leader="none" w:pos="8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multiple elements of our compensation packages, including base salary, our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83" w:right="240"/>
        <w:spacing w:after="0" w:line="260" w:lineRule="auto"/>
        <w:rPr>
          <w:sz w:val="20"/>
          <w:szCs w:val="20"/>
          <w:color w:val="auto"/>
        </w:rPr>
      </w:pPr>
      <w:r>
        <w:rPr>
          <w:rFonts w:ascii="Arial" w:cs="Arial" w:eastAsia="Arial" w:hAnsi="Arial"/>
          <w:sz w:val="20"/>
          <w:szCs w:val="20"/>
          <w:color w:val="auto"/>
        </w:rPr>
        <w:t>short-term incentive compensation plan and (for our executive officers and other key employees) equity awards that vest (or are issuable) over multiple years and are intended to motivate employees to take a long-term view of our business.</w:t>
      </w:r>
    </w:p>
    <w:p>
      <w:pPr>
        <w:spacing w:after="0" w:line="98" w:lineRule="exact"/>
        <w:rPr>
          <w:sz w:val="20"/>
          <w:szCs w:val="20"/>
          <w:color w:val="auto"/>
        </w:rPr>
      </w:pPr>
    </w:p>
    <w:p>
      <w:pPr>
        <w:ind w:left="183" w:right="40" w:hanging="183"/>
        <w:spacing w:after="0" w:line="279" w:lineRule="auto"/>
        <w:tabs>
          <w:tab w:leader="none" w:pos="183"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structure of our short-term incentive compensation plan (described in greater detail in this Proxy Statement under “</w:t>
      </w:r>
      <w:r>
        <w:rPr>
          <w:rFonts w:ascii="Arial" w:cs="Arial" w:eastAsia="Arial" w:hAnsi="Arial"/>
          <w:sz w:val="19"/>
          <w:szCs w:val="19"/>
          <w:i w:val="1"/>
          <w:iCs w:val="1"/>
          <w:color w:val="auto"/>
        </w:rPr>
        <w:t>Compensation</w:t>
      </w:r>
      <w:r>
        <w:rPr>
          <w:rFonts w:ascii="Arial" w:cs="Arial" w:eastAsia="Arial" w:hAnsi="Arial"/>
          <w:sz w:val="19"/>
          <w:szCs w:val="19"/>
          <w:color w:val="auto"/>
        </w:rPr>
        <w:t xml:space="preserve"> </w:t>
      </w:r>
      <w:r>
        <w:rPr>
          <w:rFonts w:ascii="Arial" w:cs="Arial" w:eastAsia="Arial" w:hAnsi="Arial"/>
          <w:sz w:val="19"/>
          <w:szCs w:val="19"/>
          <w:i w:val="1"/>
          <w:iCs w:val="1"/>
          <w:color w:val="auto"/>
        </w:rPr>
        <w:t>Discussion and Analysis</w:t>
      </w:r>
      <w:r>
        <w:rPr>
          <w:rFonts w:ascii="Arial" w:cs="Arial" w:eastAsia="Arial" w:hAnsi="Arial"/>
          <w:sz w:val="19"/>
          <w:szCs w:val="19"/>
          <w:color w:val="auto"/>
        </w:rPr>
        <w:t>”), which is based on (i) a</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107" w:lineRule="exact"/>
        <w:rPr>
          <w:rFonts w:ascii="Arial" w:cs="Arial" w:eastAsia="Arial" w:hAnsi="Arial"/>
          <w:sz w:val="19"/>
          <w:szCs w:val="19"/>
          <w:color w:val="auto"/>
        </w:rPr>
      </w:pPr>
    </w:p>
    <w:p>
      <w:pPr>
        <w:ind w:left="183" w:right="260" w:hanging="183"/>
        <w:spacing w:after="0" w:line="292" w:lineRule="auto"/>
        <w:tabs>
          <w:tab w:leader="none" w:pos="183" w:val="left"/>
        </w:tabs>
        <w:numPr>
          <w:ilvl w:val="0"/>
          <w:numId w:val="39"/>
        </w:numPr>
        <w:rPr>
          <w:rFonts w:ascii="Arial" w:cs="Arial" w:eastAsia="Arial" w:hAnsi="Arial"/>
          <w:sz w:val="19"/>
          <w:szCs w:val="19"/>
          <w:color w:val="auto"/>
        </w:rPr>
      </w:pPr>
      <w:r>
        <w:rPr>
          <w:rFonts w:ascii="Arial" w:cs="Arial" w:eastAsia="Arial" w:hAnsi="Arial"/>
          <w:sz w:val="19"/>
          <w:szCs w:val="19"/>
          <w:color w:val="auto"/>
        </w:rPr>
        <w:t>Stock ownership guidelines, executive compensation recoupment policies, prohibitions on insider trading and independent oversight by the Compensation Committee.</w:t>
      </w:r>
    </w:p>
    <w:p>
      <w:pPr>
        <w:spacing w:after="0" w:line="17" w:lineRule="exact"/>
        <w:rPr>
          <w:sz w:val="20"/>
          <w:szCs w:val="20"/>
          <w:color w:val="auto"/>
        </w:rPr>
      </w:pPr>
    </w:p>
    <w:p>
      <w:pPr>
        <w:ind w:left="3" w:right="100"/>
        <w:spacing w:after="0" w:line="264" w:lineRule="auto"/>
        <w:rPr>
          <w:sz w:val="20"/>
          <w:szCs w:val="20"/>
          <w:color w:val="auto"/>
        </w:rPr>
      </w:pPr>
      <w:r>
        <w:rPr>
          <w:rFonts w:ascii="Arial" w:cs="Arial" w:eastAsia="Arial" w:hAnsi="Arial"/>
          <w:sz w:val="20"/>
          <w:szCs w:val="20"/>
          <w:color w:val="auto"/>
        </w:rPr>
        <w:t>Additionally, the Board periodically reviews and approves the executive succession plan in consultation with the Compensation Committee and the Chief Executive Officer.</w:t>
      </w:r>
    </w:p>
    <w:p>
      <w:pPr>
        <w:spacing w:after="0" w:line="190"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The Compensation Committee of the Board of Directors currently consists of Ms. King (Chairman), Mr. Batey, and Mr. Schriesheim. No member of this committee was at any time during fiscal year 2024 an officer or employee of the Company, was formerly an officer of the Company or any of its subsidiaries, or had any employment relationship with the Company or any of its subsidiaries. No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436" w:lineRule="exact"/>
        <w:rPr>
          <w:sz w:val="20"/>
          <w:szCs w:val="20"/>
          <w:color w:val="auto"/>
        </w:rPr>
      </w:pPr>
    </w:p>
    <w:p>
      <w:pPr>
        <w:sectPr>
          <w:pgSz w:w="11900" w:h="16838" w:orient="portrait"/>
          <w:cols w:equalWidth="0" w:num="2">
            <w:col w:w="5080" w:space="50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313" w:lineRule="auto"/>
        <w:rPr>
          <w:sz w:val="20"/>
          <w:szCs w:val="20"/>
          <w:color w:val="auto"/>
        </w:rPr>
      </w:pPr>
      <w:r>
        <w:rPr>
          <w:rFonts w:ascii="Arial" w:cs="Arial" w:eastAsia="Arial" w:hAnsi="Arial"/>
          <w:sz w:val="19"/>
          <w:szCs w:val="19"/>
          <w:color w:val="auto"/>
        </w:rPr>
        <w:t>Other than compensation agreements and other arrangements described below under “</w:t>
      </w:r>
      <w:r>
        <w:rPr>
          <w:rFonts w:ascii="Arial" w:cs="Arial" w:eastAsia="Arial" w:hAnsi="Arial"/>
          <w:sz w:val="19"/>
          <w:szCs w:val="19"/>
          <w:i w:val="1"/>
          <w:iCs w:val="1"/>
          <w:color w:val="auto"/>
        </w:rPr>
        <w:t>Information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380"/>
        <w:spacing w:after="0" w:line="313" w:lineRule="auto"/>
        <w:rPr>
          <w:sz w:val="20"/>
          <w:szCs w:val="20"/>
          <w:color w:val="auto"/>
        </w:rPr>
      </w:pPr>
      <w:r>
        <w:rPr>
          <w:rFonts w:ascii="Arial" w:cs="Arial" w:eastAsia="Arial" w:hAnsi="Arial"/>
          <w:sz w:val="19"/>
          <w:szCs w:val="19"/>
          <w:i w:val="1"/>
          <w:iCs w:val="1"/>
          <w:color w:val="auto"/>
        </w:rPr>
        <w:t>About Executive and Director Compensation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since September 30, 2023, there has not been a</w:t>
      </w:r>
    </w:p>
    <w:p>
      <w:pPr>
        <w:spacing w:after="0" w:line="200" w:lineRule="exact"/>
        <w:rPr>
          <w:sz w:val="20"/>
          <w:szCs w:val="20"/>
          <w:color w:val="auto"/>
        </w:rPr>
      </w:pPr>
    </w:p>
    <w:p>
      <w:pPr>
        <w:sectPr>
          <w:pgSz w:w="11900" w:h="16838" w:orient="portrait"/>
          <w:cols w:equalWidth="0" w:num="2">
            <w:col w:w="4960" w:space="620"/>
            <w:col w:w="4520"/>
          </w:cols>
          <w:pgMar w:left="580" w:top="97" w:right="1219" w:bottom="1440" w:gutter="0" w:footer="0" w:header="0"/>
          <w:type w:val="continuous"/>
        </w:sectPr>
      </w:pPr>
    </w:p>
    <w:p>
      <w:pPr>
        <w:spacing w:after="0" w:line="6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has adopted a written related person transaction approval policy that sets forth the Company’s policies and procedures for the review, approval, or ratification of any transaction required to be reported in its filings with the SEC. The Company’s policy with regard to related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673"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2" w:name="page33"/>
    <w:bookmarkEnd w:id="32"/>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2:</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760"/>
        <w:spacing w:after="0" w:line="280" w:lineRule="auto"/>
        <w:rPr>
          <w:sz w:val="20"/>
          <w:szCs w:val="20"/>
          <w:color w:val="auto"/>
        </w:rPr>
      </w:pPr>
      <w:r>
        <w:rPr>
          <w:rFonts w:ascii="Arial" w:cs="Arial" w:eastAsia="Arial" w:hAnsi="Arial"/>
          <w:sz w:val="32"/>
          <w:szCs w:val="32"/>
          <w:b w:val="1"/>
          <w:bCs w:val="1"/>
          <w:color w:val="0075A8"/>
        </w:rPr>
        <w:t>RATIFICATION OF INDEPENDENT REGISTERED PUBLIC ACCOUNTING FIRM</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6" w:lineRule="auto"/>
        <w:rPr>
          <w:sz w:val="20"/>
          <w:szCs w:val="20"/>
          <w:color w:val="auto"/>
        </w:rPr>
      </w:pPr>
      <w:r>
        <w:rPr>
          <w:rFonts w:ascii="Arial" w:cs="Arial" w:eastAsia="Arial" w:hAnsi="Arial"/>
          <w:sz w:val="20"/>
          <w:szCs w:val="20"/>
          <w:color w:val="auto"/>
        </w:rPr>
        <w:t>The Audit Committee has selected KPMG LLP as the Company’s independent registered public accounting firm for fiscal year 2025 and has further directed that management submit the selection of the independent registered public accounting firm for ratification by the stockholders at the Annual Meeting. KPMG LLP was the independent registered public accounting firm for the Company for fiscal year 2024 and has been the independent registered public accounting firm for the Company since 2002. We are asking the stockholders to ratify the selection of KPMG LLP as the Company’s independent registered public accounting firm for fiscal year 2025.</w:t>
      </w:r>
    </w:p>
    <w:p>
      <w:pPr>
        <w:spacing w:after="0" w:line="184" w:lineRule="exact"/>
        <w:rPr>
          <w:sz w:val="20"/>
          <w:szCs w:val="20"/>
          <w:color w:val="auto"/>
        </w:rPr>
      </w:pPr>
    </w:p>
    <w:p>
      <w:pPr>
        <w:ind w:left="760"/>
        <w:spacing w:after="0" w:line="261" w:lineRule="auto"/>
        <w:rPr>
          <w:sz w:val="20"/>
          <w:szCs w:val="20"/>
          <w:color w:val="auto"/>
        </w:rPr>
      </w:pPr>
      <w:r>
        <w:rPr>
          <w:rFonts w:ascii="Arial" w:cs="Arial" w:eastAsia="Arial" w:hAnsi="Arial"/>
          <w:sz w:val="20"/>
          <w:szCs w:val="20"/>
          <w:color w:val="auto"/>
        </w:rPr>
        <w:t>Representatives of KPMG LLP are expected to attend the Annual Meeting online. They will have an opportunity to make a statement if they desire to do so and will be available to respond to appropriate stockholder questions.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200" w:lineRule="exact"/>
        <w:rPr>
          <w:sz w:val="20"/>
          <w:szCs w:val="20"/>
          <w:color w:val="auto"/>
        </w:rPr>
      </w:pPr>
    </w:p>
    <w:p>
      <w:pPr>
        <w:sectPr>
          <w:pgSz w:w="11900" w:h="16838" w:orient="portrait"/>
          <w:cols w:equalWidth="0" w:num="2">
            <w:col w:w="5180" w:space="500"/>
            <w:col w:w="4520"/>
          </w:cols>
          <w:pgMar w:left="480" w:top="97" w:right="1219" w:bottom="1440" w:gutter="0" w:footer="0" w:header="0"/>
          <w:type w:val="continuous"/>
        </w:sectPr>
      </w:pPr>
    </w:p>
    <w:p>
      <w:pPr>
        <w:spacing w:after="0" w:line="248" w:lineRule="exact"/>
        <w:rPr>
          <w:sz w:val="20"/>
          <w:szCs w:val="20"/>
          <w:color w:val="auto"/>
        </w:rPr>
      </w:pPr>
    </w:p>
    <w:tbl>
      <w:tblPr>
        <w:tblLayout w:type="fixed"/>
        <w:tblInd w:w="1670" w:type="dxa"/>
        <w:tblCellMar>
          <w:top w:w="0" w:type="dxa"/>
          <w:left w:w="0" w:type="dxa"/>
          <w:bottom w:w="0" w:type="dxa"/>
          <w:right w:w="0" w:type="dxa"/>
        </w:tblCellMar>
      </w:tblPr>
      <w:tr>
        <w:trPr>
          <w:trHeight w:val="334"/>
        </w:trPr>
        <w:tc>
          <w:tcPr>
            <w:tcW w:w="560" w:type="dxa"/>
            <w:vAlign w:val="bottom"/>
            <w:tcBorders>
              <w:top w:val="single" w:sz="8" w:color="0075A8"/>
              <w:left w:val="single" w:sz="8" w:color="0075A8"/>
            </w:tcBorders>
          </w:tcPr>
          <w:p>
            <w:pPr>
              <w:spacing w:after="0"/>
              <w:rPr>
                <w:sz w:val="24"/>
                <w:szCs w:val="24"/>
                <w:color w:val="auto"/>
              </w:rPr>
            </w:pPr>
          </w:p>
        </w:tc>
        <w:tc>
          <w:tcPr>
            <w:tcW w:w="720" w:type="dxa"/>
            <w:vAlign w:val="bottom"/>
            <w:tcBorders>
              <w:top w:val="single" w:sz="8" w:color="0075A8"/>
            </w:tcBorders>
          </w:tcPr>
          <w:p>
            <w:pPr>
              <w:spacing w:after="0"/>
              <w:rPr>
                <w:sz w:val="24"/>
                <w:szCs w:val="24"/>
                <w:color w:val="auto"/>
              </w:rPr>
            </w:pPr>
          </w:p>
        </w:tc>
        <w:tc>
          <w:tcPr>
            <w:tcW w:w="612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UNANIMOUSLY RECOMMENDS A VOTE</w:t>
            </w:r>
          </w:p>
        </w:tc>
        <w:tc>
          <w:tcPr>
            <w:tcW w:w="220" w:type="dxa"/>
            <w:vAlign w:val="bottom"/>
            <w:tcBorders>
              <w:top w:val="single" w:sz="8" w:color="0075A8"/>
              <w:right w:val="single" w:sz="8" w:color="0075A8"/>
            </w:tcBorders>
          </w:tcPr>
          <w:p>
            <w:pPr>
              <w:spacing w:after="0"/>
              <w:rPr>
                <w:sz w:val="24"/>
                <w:szCs w:val="24"/>
                <w:color w:val="auto"/>
              </w:rPr>
            </w:pPr>
          </w:p>
        </w:tc>
      </w:tr>
      <w:tr>
        <w:trPr>
          <w:trHeight w:val="245"/>
        </w:trPr>
        <w:tc>
          <w:tcPr>
            <w:tcW w:w="56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20" w:type="dxa"/>
            <w:vAlign w:val="bottom"/>
          </w:tcPr>
          <w:p>
            <w:pPr>
              <w:ind w:left="500"/>
              <w:spacing w:after="0"/>
              <w:rPr>
                <w:sz w:val="20"/>
                <w:szCs w:val="20"/>
                <w:color w:val="auto"/>
              </w:rPr>
            </w:pPr>
            <w:r>
              <w:rPr>
                <w:rFonts w:ascii="Arial" w:cs="Arial" w:eastAsia="Arial" w:hAnsi="Arial"/>
                <w:sz w:val="18"/>
                <w:szCs w:val="18"/>
                <w:i w:val="1"/>
                <w:iCs w:val="1"/>
                <w:color w:val="0075A8"/>
              </w:rPr>
              <w:t>​​</w:t>
            </w: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w w:val="99"/>
              </w:rPr>
              <w:t>“FOR” THE RATIFICATION OF THE SELECTION OF KPMG LLP AS THE</w:t>
            </w:r>
          </w:p>
        </w:tc>
        <w:tc>
          <w:tcPr>
            <w:tcW w:w="220" w:type="dxa"/>
            <w:vAlign w:val="bottom"/>
            <w:tcBorders>
              <w:right w:val="single" w:sz="8" w:color="0075A8"/>
            </w:tcBorders>
          </w:tcPr>
          <w:p>
            <w:pPr>
              <w:ind w:left="80"/>
              <w:spacing w:after="0"/>
              <w:rPr>
                <w:sz w:val="20"/>
                <w:szCs w:val="20"/>
                <w:color w:val="auto"/>
              </w:rPr>
            </w:pPr>
            <w:r>
              <w:rPr>
                <w:rFonts w:ascii="Arial" w:cs="Arial" w:eastAsia="Arial" w:hAnsi="Arial"/>
                <w:sz w:val="18"/>
                <w:szCs w:val="18"/>
                <w:i w:val="1"/>
                <w:iCs w:val="1"/>
                <w:color w:val="0075A8"/>
              </w:rPr>
              <w:t>​</w:t>
            </w:r>
          </w:p>
        </w:tc>
      </w:tr>
      <w:tr>
        <w:trPr>
          <w:trHeight w:val="227"/>
        </w:trPr>
        <w:tc>
          <w:tcPr>
            <w:tcW w:w="560" w:type="dxa"/>
            <w:vAlign w:val="bottom"/>
            <w:tcBorders>
              <w:left w:val="single" w:sz="8" w:color="0075A8"/>
            </w:tcBorders>
          </w:tcPr>
          <w:p>
            <w:pPr>
              <w:spacing w:after="0"/>
              <w:rPr>
                <w:sz w:val="19"/>
                <w:szCs w:val="19"/>
                <w:color w:val="auto"/>
              </w:rPr>
            </w:pPr>
          </w:p>
        </w:tc>
        <w:tc>
          <w:tcPr>
            <w:tcW w:w="72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rPr>
              <w:t>INDEPENDENT REGISTERED PUBLIC ACCOUNTING FIRM OF THE</w:t>
            </w:r>
          </w:p>
        </w:tc>
        <w:tc>
          <w:tcPr>
            <w:tcW w:w="220" w:type="dxa"/>
            <w:vAlign w:val="bottom"/>
            <w:tcBorders>
              <w:right w:val="single" w:sz="8" w:color="0075A8"/>
            </w:tcBorders>
          </w:tcPr>
          <w:p>
            <w:pPr>
              <w:spacing w:after="0"/>
              <w:rPr>
                <w:sz w:val="19"/>
                <w:szCs w:val="19"/>
                <w:color w:val="auto"/>
              </w:rPr>
            </w:pPr>
          </w:p>
        </w:tc>
      </w:tr>
      <w:tr>
        <w:trPr>
          <w:trHeight w:val="237"/>
        </w:trPr>
        <w:tc>
          <w:tcPr>
            <w:tcW w:w="560" w:type="dxa"/>
            <w:vAlign w:val="bottom"/>
            <w:tcBorders>
              <w:left w:val="single" w:sz="8" w:color="0075A8"/>
            </w:tcBorders>
          </w:tcPr>
          <w:p>
            <w:pPr>
              <w:spacing w:after="0"/>
              <w:rPr>
                <w:sz w:val="20"/>
                <w:szCs w:val="20"/>
                <w:color w:val="auto"/>
              </w:rPr>
            </w:pPr>
          </w:p>
        </w:tc>
        <w:tc>
          <w:tcPr>
            <w:tcW w:w="72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w w:val="99"/>
              </w:rPr>
              <w:t>COMPANY FOR FISCAL YEAR 2025</w:t>
            </w:r>
          </w:p>
        </w:tc>
        <w:tc>
          <w:tcPr>
            <w:tcW w:w="220" w:type="dxa"/>
            <w:vAlign w:val="bottom"/>
            <w:tcBorders>
              <w:right w:val="single" w:sz="8" w:color="0075A8"/>
            </w:tcBorders>
          </w:tcPr>
          <w:p>
            <w:pPr>
              <w:spacing w:after="0"/>
              <w:rPr>
                <w:sz w:val="20"/>
                <w:szCs w:val="20"/>
                <w:color w:val="auto"/>
              </w:rPr>
            </w:pPr>
          </w:p>
        </w:tc>
      </w:tr>
      <w:tr>
        <w:trPr>
          <w:trHeight w:val="63"/>
        </w:trPr>
        <w:tc>
          <w:tcPr>
            <w:tcW w:w="560" w:type="dxa"/>
            <w:vAlign w:val="bottom"/>
            <w:tcBorders>
              <w:left w:val="single" w:sz="8" w:color="0075A8"/>
              <w:bottom w:val="single" w:sz="8" w:color="0075A8"/>
            </w:tcBorders>
          </w:tcPr>
          <w:p>
            <w:pPr>
              <w:spacing w:after="0"/>
              <w:rPr>
                <w:sz w:val="5"/>
                <w:szCs w:val="5"/>
                <w:color w:val="auto"/>
              </w:rPr>
            </w:pPr>
          </w:p>
        </w:tc>
        <w:tc>
          <w:tcPr>
            <w:tcW w:w="720" w:type="dxa"/>
            <w:vAlign w:val="bottom"/>
            <w:tcBorders>
              <w:bottom w:val="single" w:sz="8" w:color="0075A8"/>
            </w:tcBorders>
          </w:tcPr>
          <w:p>
            <w:pPr>
              <w:spacing w:after="0"/>
              <w:rPr>
                <w:sz w:val="5"/>
                <w:szCs w:val="5"/>
                <w:color w:val="auto"/>
              </w:rPr>
            </w:pPr>
          </w:p>
        </w:tc>
        <w:tc>
          <w:tcPr>
            <w:tcW w:w="6120" w:type="dxa"/>
            <w:vAlign w:val="bottom"/>
            <w:tcBorders>
              <w:bottom w:val="single" w:sz="8" w:color="0075A8"/>
            </w:tcBorders>
          </w:tcPr>
          <w:p>
            <w:pPr>
              <w:spacing w:after="0"/>
              <w:rPr>
                <w:sz w:val="5"/>
                <w:szCs w:val="5"/>
                <w:color w:val="auto"/>
              </w:rPr>
            </w:pPr>
          </w:p>
        </w:tc>
        <w:tc>
          <w:tcPr>
            <w:tcW w:w="220" w:type="dxa"/>
            <w:vAlign w:val="bottom"/>
            <w:tcBorders>
              <w:bottom w:val="single" w:sz="8" w:color="0075A8"/>
              <w:right w:val="single" w:sz="8" w:color="0075A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-599440</wp:posOffset>
            </wp:positionV>
            <wp:extent cx="514350" cy="4883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7980"/>
        <w:spacing w:after="0"/>
        <w:rPr>
          <w:sz w:val="20"/>
          <w:szCs w:val="20"/>
          <w:color w:val="auto"/>
        </w:rPr>
      </w:pPr>
      <w:r>
        <w:rPr>
          <w:rFonts w:ascii="Arial" w:cs="Arial" w:eastAsia="Arial" w:hAnsi="Arial"/>
          <w:sz w:val="29"/>
          <w:szCs w:val="29"/>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spacing w:after="0" w:line="278" w:lineRule="auto"/>
        <w:rPr>
          <w:sz w:val="20"/>
          <w:szCs w:val="20"/>
          <w:color w:val="auto"/>
        </w:rPr>
      </w:pPr>
      <w:r>
        <w:rPr>
          <w:rFonts w:ascii="Arial" w:cs="Arial" w:eastAsia="Arial" w:hAnsi="Arial"/>
          <w:sz w:val="19"/>
          <w:szCs w:val="19"/>
          <w:color w:val="auto"/>
        </w:rPr>
        <w:t>KPMG LLP provided audit services to the Company consisting of the annual audit of the Company’s 2024 consolidated financial statements contained in the Company’s Annual Report on Form 10-K and reviews of the financial statements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color w:val="auto"/>
        </w:rPr>
        <w:t>contained in the Company’s Quarterly Reports on Form 10-Q for fiscal year 2024. The following table summarizes the fees of KPMG LLP billed to the Company for the last two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297180</wp:posOffset>
            </wp:positionV>
            <wp:extent cx="5974715" cy="291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5080" w:space="500"/>
            <w:col w:w="4520"/>
          </w:cols>
          <w:pgMar w:left="580" w:top="97" w:right="1219" w:bottom="1440" w:gutter="0" w:footer="0" w:header="0"/>
          <w:type w:val="continuous"/>
        </w:sectPr>
      </w:pP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​Fee Category</w:t>
            </w:r>
          </w:p>
        </w:tc>
        <w:tc>
          <w:tcPr>
            <w:tcW w:w="76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FFFFFF"/>
              </w:rPr>
              <w:t>Fiscal Year</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FFFFFF"/>
              </w:rPr>
              <w:t>% of</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FFFFFF"/>
              </w:rPr>
              <w:t>Fiscal Year</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FFFFFF"/>
              </w:rPr>
              <w:t>% of</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00" w:type="dxa"/>
            <w:vAlign w:val="bottom"/>
            <w:vMerge w:val="continue"/>
          </w:tcPr>
          <w:p>
            <w:pPr>
              <w:spacing w:after="0"/>
              <w:rPr>
                <w:sz w:val="22"/>
                <w:szCs w:val="22"/>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FFFFFF"/>
              </w:rPr>
              <w:t>​</w:t>
            </w:r>
          </w:p>
        </w:tc>
        <w:tc>
          <w:tcPr>
            <w:tcW w:w="440" w:type="dxa"/>
            <w:vAlign w:val="bottom"/>
          </w:tcPr>
          <w:p>
            <w:pPr>
              <w:jc w:val="right"/>
              <w:ind w:right="236"/>
              <w:spacing w:after="0"/>
              <w:rPr>
                <w:sz w:val="20"/>
                <w:szCs w:val="20"/>
                <w:color w:val="auto"/>
              </w:rPr>
            </w:pPr>
            <w:r>
              <w:rPr>
                <w:rFonts w:ascii="Arial" w:cs="Arial" w:eastAsia="Arial" w:hAnsi="Arial"/>
                <w:sz w:val="18"/>
                <w:szCs w:val="18"/>
                <w:b w:val="1"/>
                <w:bCs w:val="1"/>
                <w:color w:val="FFFFFF"/>
              </w:rPr>
              <w:t>​</w:t>
            </w:r>
          </w:p>
        </w:tc>
        <w:tc>
          <w:tcPr>
            <w:tcW w:w="1000" w:type="dxa"/>
            <w:vAlign w:val="bottom"/>
          </w:tcPr>
          <w:p>
            <w:pPr>
              <w:jc w:val="right"/>
              <w:ind w:right="239"/>
              <w:spacing w:after="0"/>
              <w:rPr>
                <w:sz w:val="20"/>
                <w:szCs w:val="20"/>
                <w:color w:val="auto"/>
              </w:rPr>
            </w:pPr>
            <w:r>
              <w:rPr>
                <w:rFonts w:ascii="Arial" w:cs="Arial" w:eastAsia="Arial" w:hAnsi="Arial"/>
                <w:sz w:val="18"/>
                <w:szCs w:val="18"/>
                <w:b w:val="1"/>
                <w:bCs w:val="1"/>
                <w:color w:val="FFFFFF"/>
              </w:rPr>
              <w:t>2024 ($)</w:t>
            </w:r>
          </w:p>
        </w:tc>
        <w:tc>
          <w:tcPr>
            <w:tcW w:w="240" w:type="dxa"/>
            <w:vAlign w:val="bottom"/>
          </w:tcPr>
          <w:p>
            <w:pPr>
              <w:ind w:left="100"/>
              <w:spacing w:after="0"/>
              <w:rPr>
                <w:sz w:val="20"/>
                <w:szCs w:val="20"/>
                <w:color w:val="auto"/>
              </w:rPr>
            </w:pPr>
            <w:r>
              <w:rPr>
                <w:rFonts w:ascii="Arial" w:cs="Arial" w:eastAsia="Arial" w:hAnsi="Arial"/>
                <w:sz w:val="18"/>
                <w:szCs w:val="18"/>
                <w:b w:val="1"/>
                <w:bCs w:val="1"/>
                <w:color w:val="FFFFFF"/>
              </w:rPr>
              <w:t>​</w:t>
            </w:r>
          </w:p>
        </w:tc>
        <w:tc>
          <w:tcPr>
            <w:tcW w:w="460" w:type="dxa"/>
            <w:vAlign w:val="bottom"/>
          </w:tcPr>
          <w:p>
            <w:pPr>
              <w:ind w:left="320"/>
              <w:spacing w:after="0"/>
              <w:rPr>
                <w:sz w:val="20"/>
                <w:szCs w:val="20"/>
                <w:color w:val="auto"/>
              </w:rPr>
            </w:pPr>
            <w:r>
              <w:rPr>
                <w:rFonts w:ascii="Arial" w:cs="Arial" w:eastAsia="Arial" w:hAnsi="Arial"/>
                <w:sz w:val="18"/>
                <w:szCs w:val="18"/>
                <w:b w:val="1"/>
                <w:bCs w:val="1"/>
                <w:color w:val="FFFFFF"/>
              </w:rPr>
              <w:t>​</w:t>
            </w:r>
          </w:p>
        </w:tc>
        <w:tc>
          <w:tcPr>
            <w:tcW w:w="840" w:type="dxa"/>
            <w:vAlign w:val="bottom"/>
            <w:gridSpan w:val="2"/>
          </w:tcPr>
          <w:p>
            <w:pPr>
              <w:jc w:val="center"/>
              <w:ind w:left="24"/>
              <w:spacing w:after="0"/>
              <w:rPr>
                <w:sz w:val="20"/>
                <w:szCs w:val="20"/>
                <w:color w:val="auto"/>
              </w:rPr>
            </w:pPr>
            <w:r>
              <w:rPr>
                <w:rFonts w:ascii="Arial" w:cs="Arial" w:eastAsia="Arial" w:hAnsi="Arial"/>
                <w:sz w:val="18"/>
                <w:szCs w:val="18"/>
                <w:b w:val="1"/>
                <w:bCs w:val="1"/>
                <w:color w:val="FFFFFF"/>
                <w:w w:val="97"/>
              </w:rPr>
              <w:t>Total (%)</w:t>
            </w:r>
          </w:p>
        </w:tc>
        <w:tc>
          <w:tcPr>
            <w:tcW w:w="380" w:type="dxa"/>
            <w:vAlign w:val="bottom"/>
          </w:tcPr>
          <w:p>
            <w:pPr>
              <w:ind w:left="24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spacing w:after="0"/>
              <w:rPr>
                <w:sz w:val="22"/>
                <w:szCs w:val="22"/>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b w:val="1"/>
                <w:bCs w:val="1"/>
                <w:color w:val="FFFFFF"/>
              </w:rPr>
              <w:t>​</w:t>
            </w:r>
          </w:p>
        </w:tc>
        <w:tc>
          <w:tcPr>
            <w:tcW w:w="1000" w:type="dxa"/>
            <w:vAlign w:val="bottom"/>
          </w:tcPr>
          <w:p>
            <w:pPr>
              <w:jc w:val="right"/>
              <w:ind w:right="239"/>
              <w:spacing w:after="0"/>
              <w:rPr>
                <w:sz w:val="20"/>
                <w:szCs w:val="20"/>
                <w:color w:val="auto"/>
              </w:rPr>
            </w:pPr>
            <w:r>
              <w:rPr>
                <w:rFonts w:ascii="Arial" w:cs="Arial" w:eastAsia="Arial" w:hAnsi="Arial"/>
                <w:sz w:val="18"/>
                <w:szCs w:val="18"/>
                <w:b w:val="1"/>
                <w:bCs w:val="1"/>
                <w:color w:val="FFFFFF"/>
              </w:rPr>
              <w:t>2023 ($)</w:t>
            </w:r>
          </w:p>
        </w:tc>
        <w:tc>
          <w:tcPr>
            <w:tcW w:w="240" w:type="dxa"/>
            <w:vAlign w:val="bottom"/>
          </w:tcPr>
          <w:p>
            <w:pPr>
              <w:ind w:left="100"/>
              <w:spacing w:after="0"/>
              <w:rPr>
                <w:sz w:val="20"/>
                <w:szCs w:val="20"/>
                <w:color w:val="auto"/>
              </w:rPr>
            </w:pPr>
            <w:r>
              <w:rPr>
                <w:rFonts w:ascii="Arial" w:cs="Arial" w:eastAsia="Arial" w:hAnsi="Arial"/>
                <w:sz w:val="18"/>
                <w:szCs w:val="18"/>
                <w:b w:val="1"/>
                <w:bCs w:val="1"/>
                <w:color w:val="FFFFFF"/>
              </w:rPr>
              <w:t>​</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FFFFFF"/>
              </w:rPr>
              <w:t>​</w:t>
            </w:r>
          </w:p>
        </w:tc>
        <w:tc>
          <w:tcPr>
            <w:tcW w:w="920" w:type="dxa"/>
            <w:vAlign w:val="bottom"/>
            <w:gridSpan w:val="5"/>
          </w:tcPr>
          <w:p>
            <w:pPr>
              <w:ind w:left="100"/>
              <w:spacing w:after="0"/>
              <w:rPr>
                <w:sz w:val="20"/>
                <w:szCs w:val="20"/>
                <w:color w:val="auto"/>
              </w:rPr>
            </w:pPr>
            <w:r>
              <w:rPr>
                <w:rFonts w:ascii="Arial" w:cs="Arial" w:eastAsia="Arial" w:hAnsi="Arial"/>
                <w:sz w:val="18"/>
                <w:szCs w:val="18"/>
                <w:b w:val="1"/>
                <w:bCs w:val="1"/>
                <w:color w:val="FFFFFF"/>
                <w:w w:val="98"/>
              </w:rPr>
              <w:t>Total (%) ​</w:t>
            </w: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16"/>
                <w:szCs w:val="16"/>
                <w:color w:val="0075A8"/>
              </w:rPr>
              <w:t>(1)</w:t>
            </w:r>
          </w:p>
        </w:tc>
        <w:tc>
          <w:tcPr>
            <w:tcW w:w="7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2,622,000​</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70.0​</w:t>
            </w: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2,421,240​</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97.0​</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440" w:type="dxa"/>
            <w:vAlign w:val="bottom"/>
          </w:tcPr>
          <w:p>
            <w:pPr>
              <w:ind w:left="32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16"/>
                <w:szCs w:val="16"/>
                <w:color w:val="0075A8"/>
              </w:rPr>
              <w:t>(2)</w:t>
            </w:r>
          </w:p>
        </w:tc>
        <w:tc>
          <w:tcPr>
            <w:tcW w:w="7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306,026​</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8.2​</w:t>
            </w: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43,974​</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440" w:type="dxa"/>
            <w:vAlign w:val="bottom"/>
          </w:tcPr>
          <w:p>
            <w:pPr>
              <w:ind w:left="32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16"/>
                <w:szCs w:val="16"/>
                <w:color w:val="0075A8"/>
              </w:rPr>
              <w:t>(3)</w:t>
            </w:r>
          </w:p>
        </w:tc>
        <w:tc>
          <w:tcPr>
            <w:tcW w:w="7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818,008​</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21.8​</w:t>
            </w: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32,000​</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440" w:type="dxa"/>
            <w:vAlign w:val="bottom"/>
          </w:tcPr>
          <w:p>
            <w:pPr>
              <w:ind w:left="32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b w:val="1"/>
                <w:bCs w:val="1"/>
                <w:color w:val="auto"/>
              </w:rPr>
              <w:t>Total Fees</w:t>
            </w:r>
          </w:p>
        </w:tc>
        <w:tc>
          <w:tcPr>
            <w:tcW w:w="76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3,746,034​</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​100​</w:t>
            </w:r>
          </w:p>
        </w:tc>
        <w:tc>
          <w:tcPr>
            <w:tcW w:w="3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2,497,214​</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1"/>
        </w:trPr>
        <w:tc>
          <w:tcPr>
            <w:tcW w:w="200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760" w:type="dxa"/>
            <w:vAlign w:val="bottom"/>
            <w:vMerge w:val="continue"/>
          </w:tcPr>
          <w:p>
            <w:pPr>
              <w:spacing w:after="0"/>
              <w:rPr>
                <w:sz w:val="7"/>
                <w:szCs w:val="7"/>
                <w:color w:val="auto"/>
              </w:rPr>
            </w:pPr>
          </w:p>
        </w:tc>
        <w:tc>
          <w:tcPr>
            <w:tcW w:w="44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1000" w:type="dxa"/>
            <w:vAlign w:val="bottom"/>
          </w:tcPr>
          <w:p>
            <w:pPr>
              <w:jc w:val="right"/>
              <w:ind w:right="39"/>
              <w:spacing w:after="0" w:line="81"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40" w:type="dxa"/>
            <w:vAlign w:val="bottom"/>
            <w:gridSpan w:val="2"/>
          </w:tcPr>
          <w:p>
            <w:pPr>
              <w:ind w:left="100"/>
              <w:spacing w:after="0" w:line="81" w:lineRule="exact"/>
              <w:rPr>
                <w:sz w:val="20"/>
                <w:szCs w:val="20"/>
                <w:color w:val="auto"/>
              </w:rPr>
            </w:pPr>
            <w:r>
              <w:rPr>
                <w:rFonts w:ascii="Arial" w:cs="Arial" w:eastAsia="Arial" w:hAnsi="Arial"/>
                <w:sz w:val="9"/>
                <w:szCs w:val="9"/>
                <w:b w:val="1"/>
                <w:bCs w:val="1"/>
                <w:color w:val="auto"/>
              </w:rPr>
              <w:t>​  ​</w:t>
            </w:r>
          </w:p>
        </w:tc>
        <w:tc>
          <w:tcPr>
            <w:tcW w:w="3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44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1000" w:type="dxa"/>
            <w:vAlign w:val="bottom"/>
          </w:tcPr>
          <w:p>
            <w:pPr>
              <w:jc w:val="right"/>
              <w:ind w:right="39"/>
              <w:spacing w:after="0" w:line="81"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6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  ​</w:t>
            </w:r>
          </w:p>
        </w:tc>
        <w:tc>
          <w:tcPr>
            <w:tcW w:w="3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10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64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10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14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-676275</wp:posOffset>
            </wp:positionV>
            <wp:extent cx="597471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-350520</wp:posOffset>
            </wp:positionV>
            <wp:extent cx="597471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76" w:lineRule="exact"/>
        <w:rPr>
          <w:sz w:val="20"/>
          <w:szCs w:val="20"/>
          <w:color w:val="auto"/>
        </w:rPr>
      </w:pPr>
    </w:p>
    <w:p>
      <w:pPr>
        <w:ind w:left="1080" w:right="60" w:hanging="354"/>
        <w:spacing w:after="0" w:line="261" w:lineRule="auto"/>
        <w:tabs>
          <w:tab w:leader="none" w:pos="108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Audit fees consist of fees for the audit of our annual financial statements, review of the interim financial statements included in our quarterly reports on Form 10-Q, and statutory audits and related filings in various foreign locations. Audit fees for fiscal year 2024 and our fiscal year ended September 29, 2023 (“fiscal year 2023”) included fees for services incurred in connection with rendering an opinion under Section 404 of the Sarbanes-Oxley Act. Fiscal year 2024 audit fees also included fees for the review of an auditor consent to incorporate by reference prior year financial statement opinions in a registration statement on Form S-8 filed with the SEC in June 2024.</w:t>
      </w:r>
    </w:p>
    <w:p>
      <w:pPr>
        <w:ind w:left="1080" w:right="780" w:hanging="354"/>
        <w:spacing w:after="0" w:line="272" w:lineRule="auto"/>
        <w:tabs>
          <w:tab w:leader="none" w:pos="108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Audit-related fees consist of fees relating to the Company’s real-time system implementation assessment of certain enterprise resource planning software.</w:t>
      </w:r>
    </w:p>
    <w:p>
      <w:pPr>
        <w:spacing w:after="0" w:line="1" w:lineRule="exact"/>
        <w:rPr>
          <w:rFonts w:ascii="Arial" w:cs="Arial" w:eastAsia="Arial" w:hAnsi="Arial"/>
          <w:sz w:val="16"/>
          <w:szCs w:val="16"/>
          <w:i w:val="1"/>
          <w:iCs w:val="1"/>
          <w:color w:val="auto"/>
        </w:rPr>
      </w:pPr>
    </w:p>
    <w:p>
      <w:pPr>
        <w:ind w:left="1080" w:right="100" w:hanging="354"/>
        <w:spacing w:after="0" w:line="270" w:lineRule="auto"/>
        <w:tabs>
          <w:tab w:leader="none" w:pos="108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Tax fees consist of fees for tax compliance and tax planning services. Tax compliance services in fiscal years 2024 and 2023 primarily relate to the review of U.S. income tax matters, including the Section 48D advanced manufacturing investment credit in fiscal year 2024. Tax planning services, which in fiscal year 2024 relate to future changes in tax laws resulting from the BEPS Project of the OECD, including Pillar Two, accounted for $55,000 of the total tax fees for fiscal year 2024.</w:t>
      </w:r>
    </w:p>
    <w:p>
      <w:pPr>
        <w:sectPr>
          <w:pgSz w:w="11900" w:h="16838" w:orient="portrait"/>
          <w:cols w:equalWidth="0" w:num="1">
            <w:col w:w="10100"/>
          </w:cols>
          <w:pgMar w:left="580" w:top="97" w:right="1219" w:bottom="1440" w:gutter="0" w:footer="0" w:header="0"/>
          <w:type w:val="continuous"/>
        </w:sectPr>
      </w:pPr>
    </w:p>
    <w:p>
      <w:pPr>
        <w:spacing w:after="0" w:line="54"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60"/>
        <w:spacing w:after="0" w:line="289" w:lineRule="auto"/>
        <w:rPr>
          <w:sz w:val="20"/>
          <w:szCs w:val="20"/>
          <w:color w:val="auto"/>
        </w:rPr>
      </w:pPr>
      <w:r>
        <w:rPr>
          <w:rFonts w:ascii="Arial" w:cs="Arial" w:eastAsia="Arial" w:hAnsi="Arial"/>
          <w:sz w:val="19"/>
          <w:szCs w:val="19"/>
          <w:color w:val="auto"/>
        </w:rPr>
        <w:t>and permitted audit-related and non-audit services, be preapproved by the Audit Committee. The Audit Committee preapproved all audit and non-audit services provided by KPMG LLP during fiscal year 2024 and our fiscal year 2023.</w:t>
      </w:r>
    </w:p>
    <w:p>
      <w:pPr>
        <w:spacing w:after="0" w:line="392" w:lineRule="exact"/>
        <w:rPr>
          <w:sz w:val="20"/>
          <w:szCs w:val="20"/>
          <w:color w:val="auto"/>
        </w:rPr>
      </w:pPr>
    </w:p>
    <w:p>
      <w:pPr>
        <w:sectPr>
          <w:pgSz w:w="11900" w:h="16838" w:orient="portrait"/>
          <w:cols w:equalWidth="0" w:num="2">
            <w:col w:w="4880" w:space="70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jc w:val="right"/>
        <w:ind w:right="3700"/>
        <w:spacing w:after="0"/>
        <w:rPr>
          <w:sz w:val="20"/>
          <w:szCs w:val="20"/>
          <w:color w:val="auto"/>
        </w:rPr>
      </w:pPr>
      <w:r>
        <w:rPr>
          <w:rFonts w:ascii="Arial" w:cs="Arial" w:eastAsia="Arial" w:hAnsi="Arial"/>
          <w:sz w:val="32"/>
          <w:szCs w:val="32"/>
          <w:b w:val="1"/>
          <w:bCs w:val="1"/>
          <w:color w:val="0075A8"/>
        </w:rPr>
        <w:t>REPORT OF THE AUDIT COMMITTEE</w:t>
      </w:r>
    </w:p>
    <w:p>
      <w:pPr>
        <w:sectPr>
          <w:pgSz w:w="11900" w:h="16838" w:orient="portrait"/>
          <w:cols w:equalWidth="0" w:num="1">
            <w:col w:w="10100"/>
          </w:cols>
          <w:pgMar w:left="580" w:top="97" w:right="1219" w:bottom="1440" w:gutter="0" w:footer="0" w:header="0"/>
        </w:sectPr>
      </w:pPr>
    </w:p>
    <w:p>
      <w:pPr>
        <w:spacing w:after="0" w:line="113"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Audit Committee of Skyworks’ Board is responsible for providing independent, objective oversight of Skyworks’ accounting functions and internal controls. Four directors served on the Audit Committee for all of fiscal year 2024. Each member of the Audit Committee is independent within the meaning of applicable Nasdaq Rules and meets the criteria for independence set forth in Rule 10A-3(b)</w:t>
      </w:r>
    </w:p>
    <w:p>
      <w:pPr>
        <w:spacing w:after="0" w:line="3" w:lineRule="exact"/>
        <w:rPr>
          <w:sz w:val="20"/>
          <w:szCs w:val="20"/>
          <w:color w:val="auto"/>
        </w:rPr>
      </w:pPr>
    </w:p>
    <w:p>
      <w:pPr>
        <w:ind w:left="660" w:right="160" w:hanging="6"/>
        <w:spacing w:after="0" w:line="260" w:lineRule="auto"/>
        <w:tabs>
          <w:tab w:leader="none" w:pos="949" w:val="left"/>
        </w:tabs>
        <w:numPr>
          <w:ilvl w:val="0"/>
          <w:numId w:val="41"/>
        </w:numPr>
        <w:rPr>
          <w:rFonts w:ascii="Arial" w:cs="Arial" w:eastAsia="Arial" w:hAnsi="Arial"/>
          <w:sz w:val="20"/>
          <w:szCs w:val="20"/>
          <w:color w:val="auto"/>
        </w:rPr>
      </w:pPr>
      <w:r>
        <w:rPr>
          <w:rFonts w:ascii="Arial" w:cs="Arial" w:eastAsia="Arial" w:hAnsi="Arial"/>
          <w:sz w:val="20"/>
          <w:szCs w:val="20"/>
          <w:color w:val="auto"/>
        </w:rPr>
        <w:t>under the Exchange Act. The Audit Committee operates under a written charter approved by the Board.</w:t>
      </w:r>
    </w:p>
    <w:p>
      <w:pPr>
        <w:spacing w:after="0" w:line="180"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w:t>
      </w:r>
    </w:p>
    <w:p>
      <w:pPr>
        <w:spacing w:after="0" w:line="196" w:lineRule="exact"/>
        <w:rPr>
          <w:sz w:val="20"/>
          <w:szCs w:val="20"/>
          <w:color w:val="auto"/>
        </w:rPr>
      </w:pPr>
    </w:p>
    <w:p>
      <w:pPr>
        <w:ind w:left="660" w:right="120"/>
        <w:spacing w:after="0" w:line="258" w:lineRule="auto"/>
        <w:rPr>
          <w:sz w:val="20"/>
          <w:szCs w:val="20"/>
          <w:color w:val="auto"/>
        </w:rPr>
      </w:pPr>
      <w:r>
        <w:rPr>
          <w:rFonts w:ascii="Arial" w:cs="Arial" w:eastAsia="Arial" w:hAnsi="Arial"/>
          <w:sz w:val="20"/>
          <w:szCs w:val="20"/>
          <w:color w:val="auto"/>
        </w:rPr>
        <w:t>In connection with these responsibilities, the Audit Committee met with management and representatives of KPMG LLP, the Company’s independent registered public accounting firm, and reviewed and discussed the audited financial statements for fiscal year 2024, results of the internal and external audit examinations, evaluations of the Company’s internal controls,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Based upon the Audit Committee’s review and discussions described above, the Audit Committee recommended that the Board include the audited consolidated financial statements in the Company’s Annual Report on Form 10-K for fiscal year 2024, as filed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David P. McGlade, Chairman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Eric J. Guerin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Christine King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Robert A. Schriesheim</w:t>
      </w:r>
    </w:p>
    <w:p>
      <w:pPr>
        <w:spacing w:after="0" w:line="741"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5" w:name="page36"/>
    <w:bookmarkEnd w:id="35"/>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3:</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40"/>
        <w:spacing w:after="0" w:line="280" w:lineRule="auto"/>
        <w:rPr>
          <w:sz w:val="20"/>
          <w:szCs w:val="20"/>
          <w:color w:val="auto"/>
        </w:rPr>
      </w:pPr>
      <w:r>
        <w:rPr>
          <w:rFonts w:ascii="Arial" w:cs="Arial" w:eastAsia="Arial" w:hAnsi="Arial"/>
          <w:sz w:val="32"/>
          <w:szCs w:val="32"/>
          <w:b w:val="1"/>
          <w:bCs w:val="1"/>
          <w:color w:val="0075A8"/>
        </w:rPr>
        <w:t>ADVISORY VOTE ON THE COMPENSATION OF OUR NAMED EXECUTIVE OFFICERS (“SAY-ON-PAY” VOTE)</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8" w:lineRule="auto"/>
        <w:rPr>
          <w:sz w:val="20"/>
          <w:szCs w:val="20"/>
          <w:color w:val="auto"/>
        </w:rPr>
      </w:pPr>
      <w:r>
        <w:rPr>
          <w:rFonts w:ascii="Arial" w:cs="Arial" w:eastAsia="Arial" w:hAnsi="Arial"/>
          <w:sz w:val="20"/>
          <w:szCs w:val="20"/>
          <w:color w:val="auto"/>
        </w:rPr>
        <w:t>We are providing our stockholders with the opportunity to vote to approve, on a non-binding basis, the compensation of our Named Executive Officers as described below under “</w:t>
      </w:r>
      <w:r>
        <w:rPr>
          <w:rFonts w:ascii="Arial" w:cs="Arial" w:eastAsia="Arial" w:hAnsi="Arial"/>
          <w:sz w:val="20"/>
          <w:szCs w:val="20"/>
          <w:i w:val="1"/>
          <w:iCs w:val="1"/>
          <w:color w:val="auto"/>
        </w:rPr>
        <w:t>Information</w:t>
      </w:r>
      <w:r>
        <w:rPr>
          <w:rFonts w:ascii="Arial" w:cs="Arial" w:eastAsia="Arial" w:hAnsi="Arial"/>
          <w:sz w:val="20"/>
          <w:szCs w:val="20"/>
          <w:color w:val="auto"/>
        </w:rPr>
        <w:t xml:space="preserve"> </w:t>
      </w:r>
      <w:r>
        <w:rPr>
          <w:rFonts w:ascii="Arial" w:cs="Arial" w:eastAsia="Arial" w:hAnsi="Arial"/>
          <w:sz w:val="20"/>
          <w:szCs w:val="20"/>
          <w:i w:val="1"/>
          <w:iCs w:val="1"/>
          <w:color w:val="auto"/>
        </w:rPr>
        <w:t>About Executive and Director Compensation</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pursuant to Section 14A of the Exchange Act. As we describe below under “</w:t>
      </w:r>
      <w:r>
        <w:rPr>
          <w:rFonts w:ascii="Arial" w:cs="Arial" w:eastAsia="Arial" w:hAnsi="Arial"/>
          <w:sz w:val="20"/>
          <w:szCs w:val="20"/>
          <w:i w:val="1"/>
          <w:iCs w:val="1"/>
          <w:color w:val="auto"/>
        </w:rPr>
        <w:t>Compensation Discussion</w:t>
      </w:r>
      <w:r>
        <w:rPr>
          <w:rFonts w:ascii="Arial" w:cs="Arial" w:eastAsia="Arial" w:hAnsi="Arial"/>
          <w:sz w:val="20"/>
          <w:szCs w:val="20"/>
          <w:color w:val="auto"/>
        </w:rPr>
        <w:t xml:space="preserve"> </w:t>
      </w:r>
      <w:r>
        <w:rPr>
          <w:rFonts w:ascii="Arial" w:cs="Arial" w:eastAsia="Arial" w:hAnsi="Arial"/>
          <w:sz w:val="20"/>
          <w:szCs w:val="20"/>
          <w:i w:val="1"/>
          <w:iCs w:val="1"/>
          <w:color w:val="auto"/>
        </w:rPr>
        <w:t>and Analysis</w:t>
      </w:r>
      <w:r>
        <w:rPr>
          <w:rFonts w:ascii="Arial" w:cs="Arial" w:eastAsia="Arial" w:hAnsi="Arial"/>
          <w:sz w:val="20"/>
          <w:szCs w:val="20"/>
          <w:color w:val="auto"/>
        </w:rPr>
        <w:t>,” our executive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auto"/>
        </w:rPr>
        <w:t>compensation program embodies a pay-for-performance philosophy that supports our business strategy and aligns the interests of our executives with our stockholders.</w:t>
      </w:r>
    </w:p>
    <w:p>
      <w:pPr>
        <w:spacing w:after="0" w:line="176" w:lineRule="exact"/>
        <w:rPr>
          <w:sz w:val="20"/>
          <w:szCs w:val="20"/>
          <w:color w:val="auto"/>
        </w:rPr>
      </w:pPr>
    </w:p>
    <w:p>
      <w:pPr>
        <w:ind w:right="120"/>
        <w:spacing w:after="0" w:line="313" w:lineRule="auto"/>
        <w:rPr>
          <w:sz w:val="20"/>
          <w:szCs w:val="20"/>
          <w:color w:val="auto"/>
        </w:rPr>
      </w:pPr>
      <w:r>
        <w:rPr>
          <w:rFonts w:ascii="Arial" w:cs="Arial" w:eastAsia="Arial" w:hAnsi="Arial"/>
          <w:sz w:val="19"/>
          <w:szCs w:val="19"/>
          <w:color w:val="auto"/>
        </w:rPr>
        <w:t>Our Board is asking stockholders to approve a non-binding advisory vote on the following resolution:</w:t>
      </w:r>
    </w:p>
    <w:p>
      <w:pPr>
        <w:spacing w:after="0" w:line="419"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21" w:lineRule="exact"/>
        <w:rPr>
          <w:sz w:val="20"/>
          <w:szCs w:val="20"/>
          <w:color w:val="auto"/>
        </w:rPr>
      </w:pPr>
    </w:p>
    <w:p>
      <w:pPr>
        <w:ind w:left="1120" w:right="100"/>
        <w:spacing w:after="0" w:line="264" w:lineRule="auto"/>
        <w:rPr>
          <w:sz w:val="20"/>
          <w:szCs w:val="20"/>
          <w:color w:val="auto"/>
        </w:rPr>
      </w:pPr>
      <w:r>
        <w:rPr>
          <w:rFonts w:ascii="Arial" w:cs="Arial" w:eastAsia="Arial" w:hAnsi="Arial"/>
          <w:sz w:val="20"/>
          <w:szCs w:val="20"/>
          <w:b w:val="1"/>
          <w:bCs w:val="1"/>
          <w:color w:val="0075A8"/>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ectPr>
          <w:pgSz w:w="11900" w:h="16838" w:orient="portrait"/>
          <w:cols w:equalWidth="0" w:num="1">
            <w:col w:w="10200"/>
          </w:cols>
          <w:pgMar w:left="480" w:top="97" w:right="1219" w:bottom="1440" w:gutter="0" w:footer="0" w:header="0"/>
          <w:type w:val="continuous"/>
        </w:sectPr>
      </w:pPr>
    </w:p>
    <w:p>
      <w:pPr>
        <w:spacing w:after="0" w:line="47" w:lineRule="exact"/>
        <w:rPr>
          <w:sz w:val="20"/>
          <w:szCs w:val="20"/>
          <w:color w:val="auto"/>
        </w:rPr>
      </w:pPr>
    </w:p>
    <w:p>
      <w:pPr>
        <w:ind w:left="760"/>
        <w:spacing w:after="0" w:line="259" w:lineRule="auto"/>
        <w:rPr>
          <w:sz w:val="20"/>
          <w:szCs w:val="20"/>
          <w:color w:val="auto"/>
        </w:rPr>
      </w:pPr>
      <w:r>
        <w:rPr>
          <w:rFonts w:ascii="Arial" w:cs="Arial" w:eastAsia="Arial" w:hAnsi="Arial"/>
          <w:sz w:val="20"/>
          <w:szCs w:val="20"/>
          <w:color w:val="auto"/>
        </w:rPr>
        <w:t>As an advisory vote, this proposal is not binding and will not overrule any decision by the Company or the Board (or any committee thereof), nor will it create or imply any change or addition to the fiduciary duties of the Company or the Board (or any committee thereof). However, our Compensation Committee and Board value the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color w:val="auto"/>
        </w:rPr>
        <w:t>opinions expressed by our stockholders in their vote on this proposal and will consider the outcome of the vote when making future compensation decisions for Named Executive Officers. The next non-binding “say-on-pay” vote is scheduled to be held at our 2026 Annual Meeting.</w:t>
      </w:r>
    </w:p>
    <w:p>
      <w:pPr>
        <w:spacing w:after="0" w:line="429"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8" w:lineRule="exact"/>
        <w:rPr>
          <w:sz w:val="20"/>
          <w:szCs w:val="20"/>
          <w:color w:val="auto"/>
        </w:rPr>
      </w:pPr>
    </w:p>
    <w:tbl>
      <w:tblPr>
        <w:tblLayout w:type="fixed"/>
        <w:tblInd w:w="1670" w:type="dxa"/>
        <w:tblCellMar>
          <w:top w:w="0" w:type="dxa"/>
          <w:left w:w="0" w:type="dxa"/>
          <w:bottom w:w="0" w:type="dxa"/>
          <w:right w:w="0" w:type="dxa"/>
        </w:tblCellMar>
      </w:tblPr>
      <w:tr>
        <w:trPr>
          <w:trHeight w:val="388"/>
        </w:trPr>
        <w:tc>
          <w:tcPr>
            <w:tcW w:w="580" w:type="dxa"/>
            <w:vAlign w:val="bottom"/>
            <w:tcBorders>
              <w:top w:val="single" w:sz="8" w:color="0075A8"/>
              <w:left w:val="single" w:sz="8" w:color="0075A8"/>
            </w:tcBorders>
          </w:tcPr>
          <w:p>
            <w:pPr>
              <w:spacing w:after="0"/>
              <w:rPr>
                <w:sz w:val="24"/>
                <w:szCs w:val="24"/>
                <w:color w:val="auto"/>
              </w:rPr>
            </w:pPr>
          </w:p>
        </w:tc>
        <w:tc>
          <w:tcPr>
            <w:tcW w:w="7040" w:type="dxa"/>
            <w:vAlign w:val="bottom"/>
            <w:tcBorders>
              <w:top w:val="single" w:sz="8" w:color="0075A8"/>
              <w:right w:val="single" w:sz="8" w:color="0075A8"/>
            </w:tcBorders>
          </w:tcPr>
          <w:p>
            <w:pPr>
              <w:jc w:val="center"/>
              <w:ind w:left="450"/>
              <w:spacing w:after="0"/>
              <w:rPr>
                <w:sz w:val="20"/>
                <w:szCs w:val="20"/>
                <w:color w:val="auto"/>
              </w:rPr>
            </w:pPr>
            <w:r>
              <w:rPr>
                <w:rFonts w:ascii="Arial" w:cs="Arial" w:eastAsia="Arial" w:hAnsi="Arial"/>
                <w:sz w:val="18"/>
                <w:szCs w:val="18"/>
                <w:i w:val="1"/>
                <w:iCs w:val="1"/>
                <w:color w:val="0075A8"/>
                <w:w w:val="99"/>
              </w:rPr>
              <w:t>THE BOARD OF DIRECTORS UNANIMOUSLY RECOMMENDS THAT</w:t>
            </w:r>
          </w:p>
        </w:tc>
      </w:tr>
      <w:tr>
        <w:trPr>
          <w:trHeight w:val="230"/>
        </w:trPr>
        <w:tc>
          <w:tcPr>
            <w:tcW w:w="58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040" w:type="dxa"/>
            <w:vAlign w:val="bottom"/>
            <w:tcBorders>
              <w:right w:val="single" w:sz="8" w:color="0075A8"/>
            </w:tcBorders>
          </w:tcPr>
          <w:p>
            <w:pPr>
              <w:ind w:left="540"/>
              <w:spacing w:after="0"/>
              <w:rPr>
                <w:sz w:val="20"/>
                <w:szCs w:val="20"/>
                <w:color w:val="auto"/>
              </w:rPr>
            </w:pPr>
            <w:r>
              <w:rPr>
                <w:rFonts w:ascii="Arial" w:cs="Arial" w:eastAsia="Arial" w:hAnsi="Arial"/>
                <w:sz w:val="18"/>
                <w:szCs w:val="18"/>
                <w:i w:val="1"/>
                <w:iCs w:val="1"/>
                <w:color w:val="0075A8"/>
              </w:rPr>
              <w:t>​​  STOCKHOLDERS VOTE TO APPROVE THE COMPENSATION OF OUR  ​</w:t>
            </w:r>
          </w:p>
        </w:tc>
      </w:tr>
      <w:tr>
        <w:trPr>
          <w:trHeight w:val="237"/>
        </w:trPr>
        <w:tc>
          <w:tcPr>
            <w:tcW w:w="580" w:type="dxa"/>
            <w:vAlign w:val="bottom"/>
            <w:tcBorders>
              <w:left w:val="single" w:sz="8" w:color="0075A8"/>
            </w:tcBorders>
          </w:tcPr>
          <w:p>
            <w:pPr>
              <w:spacing w:after="0"/>
              <w:rPr>
                <w:sz w:val="20"/>
                <w:szCs w:val="20"/>
                <w:color w:val="auto"/>
              </w:rPr>
            </w:pPr>
          </w:p>
        </w:tc>
        <w:tc>
          <w:tcPr>
            <w:tcW w:w="7040" w:type="dxa"/>
            <w:vAlign w:val="bottom"/>
            <w:tcBorders>
              <w:right w:val="single" w:sz="8" w:color="0075A8"/>
            </w:tcBorders>
          </w:tcPr>
          <w:p>
            <w:pPr>
              <w:jc w:val="center"/>
              <w:ind w:left="450"/>
              <w:spacing w:after="0"/>
              <w:rPr>
                <w:sz w:val="20"/>
                <w:szCs w:val="20"/>
                <w:color w:val="auto"/>
              </w:rPr>
            </w:pPr>
            <w:r>
              <w:rPr>
                <w:rFonts w:ascii="Arial" w:cs="Arial" w:eastAsia="Arial" w:hAnsi="Arial"/>
                <w:sz w:val="18"/>
                <w:szCs w:val="18"/>
                <w:i w:val="1"/>
                <w:iCs w:val="1"/>
                <w:color w:val="0075A8"/>
              </w:rPr>
              <w:t>NAMED EXECUTIVE OFFICERS BY VOTING “FOR” PROPOSAL 3</w:t>
            </w:r>
          </w:p>
        </w:tc>
      </w:tr>
      <w:tr>
        <w:trPr>
          <w:trHeight w:val="158"/>
        </w:trPr>
        <w:tc>
          <w:tcPr>
            <w:tcW w:w="580" w:type="dxa"/>
            <w:vAlign w:val="bottom"/>
            <w:tcBorders>
              <w:left w:val="single" w:sz="8" w:color="0075A8"/>
              <w:bottom w:val="single" w:sz="8" w:color="0075A8"/>
            </w:tcBorders>
          </w:tcPr>
          <w:p>
            <w:pPr>
              <w:spacing w:after="0"/>
              <w:rPr>
                <w:sz w:val="13"/>
                <w:szCs w:val="13"/>
                <w:color w:val="auto"/>
              </w:rPr>
            </w:pPr>
          </w:p>
        </w:tc>
        <w:tc>
          <w:tcPr>
            <w:tcW w:w="7040" w:type="dxa"/>
            <w:vAlign w:val="bottom"/>
            <w:tcBorders>
              <w:bottom w:val="single" w:sz="8" w:color="0075A8"/>
              <w:right w:val="single" w:sz="8" w:color="0075A8"/>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-573405</wp:posOffset>
            </wp:positionV>
            <wp:extent cx="514350" cy="488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115570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right="1440"/>
        <w:spacing w:after="0" w:line="280" w:lineRule="auto"/>
        <w:rPr>
          <w:sz w:val="20"/>
          <w:szCs w:val="20"/>
          <w:color w:val="auto"/>
        </w:rPr>
      </w:pPr>
      <w:r>
        <w:rPr>
          <w:rFonts w:ascii="Arial" w:cs="Arial" w:eastAsia="Arial" w:hAnsi="Arial"/>
          <w:sz w:val="32"/>
          <w:szCs w:val="32"/>
          <w:b w:val="1"/>
          <w:bCs w:val="1"/>
          <w:color w:val="0075A8"/>
        </w:rPr>
        <w:t>INFORMATION ABOUT EXECUTIVE AND DIRECTOR COMPENSATION</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Summary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right="1320"/>
        <w:spacing w:after="0" w:line="295" w:lineRule="auto"/>
        <w:rPr>
          <w:sz w:val="20"/>
          <w:szCs w:val="20"/>
          <w:color w:val="auto"/>
        </w:rPr>
      </w:pPr>
      <w:r>
        <w:rPr>
          <w:rFonts w:ascii="Arial" w:cs="Arial" w:eastAsia="Arial" w:hAnsi="Arial"/>
          <w:sz w:val="23"/>
          <w:szCs w:val="23"/>
          <w:b w:val="1"/>
          <w:bCs w:val="1"/>
          <w:i w:val="1"/>
          <w:iCs w:val="1"/>
          <w:color w:val="auto"/>
        </w:rPr>
        <w:t>Our Executive Compensation Program Reflects Our Pay-for-Performance Philosophy</w:t>
      </w:r>
    </w:p>
    <w:p>
      <w:pPr>
        <w:sectPr>
          <w:pgSz w:w="11900" w:h="16838" w:orient="portrait"/>
          <w:cols w:equalWidth="0" w:num="1">
            <w:col w:w="10100"/>
          </w:cols>
          <w:pgMar w:left="580" w:top="97" w:right="1219" w:bottom="1440" w:gutter="0" w:footer="0" w:header="0"/>
        </w:sectPr>
      </w:pPr>
    </w:p>
    <w:p>
      <w:pPr>
        <w:spacing w:after="0" w:line="113" w:lineRule="exact"/>
        <w:rPr>
          <w:sz w:val="20"/>
          <w:szCs w:val="20"/>
          <w:color w:val="auto"/>
        </w:rPr>
      </w:pPr>
    </w:p>
    <w:p>
      <w:pPr>
        <w:ind w:left="840" w:hanging="186"/>
        <w:spacing w:after="0" w:line="284" w:lineRule="auto"/>
        <w:tabs>
          <w:tab w:leader="none" w:pos="84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0075A8"/>
        </w:rPr>
        <w:t xml:space="preserve">Alignment with Stockholder Interests. </w:t>
      </w:r>
      <w:r>
        <w:rPr>
          <w:rFonts w:ascii="Arial" w:cs="Arial" w:eastAsia="Arial" w:hAnsi="Arial"/>
          <w:sz w:val="19"/>
          <w:szCs w:val="19"/>
          <w:color w:val="000000"/>
        </w:rPr>
        <w:t>We</w:t>
      </w:r>
      <w:r>
        <w:rPr>
          <w:rFonts w:ascii="Arial" w:cs="Arial" w:eastAsia="Arial" w:hAnsi="Arial"/>
          <w:sz w:val="19"/>
          <w:szCs w:val="19"/>
          <w:b w:val="1"/>
          <w:bCs w:val="1"/>
          <w:color w:val="0075A8"/>
        </w:rPr>
        <w:t xml:space="preserve"> </w:t>
      </w:r>
      <w:r>
        <w:rPr>
          <w:rFonts w:ascii="Arial" w:cs="Arial" w:eastAsia="Arial" w:hAnsi="Arial"/>
          <w:sz w:val="19"/>
          <w:szCs w:val="19"/>
          <w:color w:val="000000"/>
        </w:rPr>
        <w:t>believe that through the combination of our equity-based incentive compensation program and rigorous executive stock ownership guidelines, the interests of our executives are strongly aligned with those of our long-term stockholders —  namely, increasing stockholder value over time.</w:t>
      </w:r>
    </w:p>
    <w:p>
      <w:pPr>
        <w:spacing w:after="0" w:line="53" w:lineRule="exact"/>
        <w:rPr>
          <w:rFonts w:ascii="Arial" w:cs="Arial" w:eastAsia="Arial" w:hAnsi="Arial"/>
          <w:sz w:val="19"/>
          <w:szCs w:val="19"/>
          <w:color w:val="auto"/>
        </w:rPr>
      </w:pPr>
    </w:p>
    <w:p>
      <w:pPr>
        <w:ind w:left="840" w:right="80" w:hanging="186"/>
        <w:spacing w:after="0" w:line="279" w:lineRule="auto"/>
        <w:tabs>
          <w:tab w:leader="none" w:pos="84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0075A8"/>
        </w:rPr>
        <w:t xml:space="preserve">Engagement with Stockholders on Executive Compensation. </w:t>
      </w:r>
      <w:r>
        <w:rPr>
          <w:rFonts w:ascii="Arial" w:cs="Arial" w:eastAsia="Arial" w:hAnsi="Arial"/>
          <w:sz w:val="19"/>
          <w:szCs w:val="19"/>
          <w:color w:val="000000"/>
        </w:rPr>
        <w:t>Following our 2024 Annual</w:t>
      </w:r>
      <w:r>
        <w:rPr>
          <w:rFonts w:ascii="Arial" w:cs="Arial" w:eastAsia="Arial" w:hAnsi="Arial"/>
          <w:sz w:val="19"/>
          <w:szCs w:val="19"/>
          <w:b w:val="1"/>
          <w:bCs w:val="1"/>
          <w:color w:val="0075A8"/>
        </w:rPr>
        <w:t xml:space="preserve"> </w:t>
      </w:r>
      <w:r>
        <w:rPr>
          <w:rFonts w:ascii="Arial" w:cs="Arial" w:eastAsia="Arial" w:hAnsi="Arial"/>
          <w:sz w:val="19"/>
          <w:szCs w:val="19"/>
          <w:color w:val="000000"/>
        </w:rPr>
        <w:t>Meeting, we engaged in formal outreach with 20 institutional stockholders representing approximately 54% of the Company’s shares outstanding. Stockholders representing approximately 44% of the Company’s shares outstanding responded to the outreach, and we held meetings with those stockholders who wanted to meet, representing approximately 36% of the Company’s outstanding shares. In the meetings, institutional stockholders generally did not express concerns with the overall structure of our compensation program and broadly shared support for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261620</wp:posOffset>
            </wp:positionV>
            <wp:extent cx="5151755" cy="2468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51755"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83" w:right="120"/>
        <w:spacing w:after="0" w:line="258" w:lineRule="auto"/>
        <w:rPr>
          <w:sz w:val="20"/>
          <w:szCs w:val="20"/>
          <w:color w:val="auto"/>
        </w:rPr>
      </w:pPr>
      <w:r>
        <w:rPr>
          <w:rFonts w:ascii="Arial" w:cs="Arial" w:eastAsia="Arial" w:hAnsi="Arial"/>
          <w:sz w:val="20"/>
          <w:szCs w:val="20"/>
          <w:color w:val="auto"/>
        </w:rPr>
        <w:t>demonstrated history of disclosure and stockholder responsiveness, including relating to compensation policies and plan designs and providing information about the rationale behind our metrics and performance periods. In addition, our Chairman, who was at the time serving as Lead Independent Director, also participated in select engagement.</w:t>
      </w:r>
    </w:p>
    <w:p>
      <w:pPr>
        <w:spacing w:after="0" w:line="72" w:lineRule="exact"/>
        <w:rPr>
          <w:sz w:val="20"/>
          <w:szCs w:val="20"/>
          <w:color w:val="auto"/>
        </w:rPr>
      </w:pPr>
    </w:p>
    <w:p>
      <w:pPr>
        <w:ind w:left="183" w:right="40" w:hanging="183"/>
        <w:spacing w:after="0" w:line="265" w:lineRule="auto"/>
        <w:tabs>
          <w:tab w:leader="none" w:pos="183"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0075A8"/>
        </w:rPr>
        <w:t xml:space="preserve">High At-Risk Compensation Levels. </w:t>
      </w:r>
      <w:r>
        <w:rPr>
          <w:rFonts w:ascii="Arial" w:cs="Arial" w:eastAsia="Arial" w:hAnsi="Arial"/>
          <w:sz w:val="20"/>
          <w:szCs w:val="20"/>
          <w:color w:val="000000"/>
        </w:rPr>
        <w:t>The only</w:t>
      </w:r>
      <w:r>
        <w:rPr>
          <w:rFonts w:ascii="Arial" w:cs="Arial" w:eastAsia="Arial" w:hAnsi="Arial"/>
          <w:sz w:val="20"/>
          <w:szCs w:val="20"/>
          <w:b w:val="1"/>
          <w:bCs w:val="1"/>
          <w:color w:val="0075A8"/>
        </w:rPr>
        <w:t xml:space="preserve"> </w:t>
      </w:r>
      <w:r>
        <w:rPr>
          <w:rFonts w:ascii="Arial" w:cs="Arial" w:eastAsia="Arial" w:hAnsi="Arial"/>
          <w:sz w:val="20"/>
          <w:szCs w:val="20"/>
          <w:color w:val="000000"/>
        </w:rPr>
        <w:t>fixed component of our Named Executive Officers’ annual compensation is base salary. All short-term cash incentive awards and long-term equity incentive awards are tied to Company performance, stock price performance, or both. The charts below show the target total direct compensation mix for fiscal year 2024 for our Chief Executive Officer and the average for the other Named Executive Officers. The target total direct compensation mix for fiscal year 2024 reflects base salary, target short-term incentive award, and the grant date fair value of the annual performance share and restricted stock unit awards.</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75A8"/>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320"/>
        </w:trPr>
        <w:tc>
          <w:tcPr>
            <w:tcW w:w="4420" w:type="dxa"/>
            <w:vAlign w:val="bottom"/>
            <w:gridSpan w:val="2"/>
          </w:tcPr>
          <w:p>
            <w:pPr>
              <w:spacing w:after="0"/>
              <w:rPr>
                <w:sz w:val="20"/>
                <w:szCs w:val="20"/>
                <w:color w:val="auto"/>
              </w:rPr>
            </w:pPr>
            <w:r>
              <w:rPr>
                <w:rFonts w:ascii="Arial" w:cs="Arial" w:eastAsia="Arial" w:hAnsi="Arial"/>
                <w:sz w:val="23"/>
                <w:szCs w:val="23"/>
                <w:b w:val="1"/>
                <w:bCs w:val="1"/>
                <w:i w:val="1"/>
                <w:iCs w:val="1"/>
                <w:color w:val="auto"/>
              </w:rPr>
              <w:t>Compensation Best Practices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Arial" w:cs="Arial" w:eastAsia="Arial" w:hAnsi="Arial"/>
                <w:sz w:val="23"/>
                <w:szCs w:val="23"/>
                <w:b w:val="1"/>
                <w:bCs w:val="1"/>
                <w:color w:val="0075A8"/>
              </w:rPr>
              <w:t>What We Do</w:t>
            </w:r>
          </w:p>
        </w:tc>
        <w:tc>
          <w:tcPr>
            <w:tcW w:w="300" w:type="dxa"/>
            <w:vAlign w:val="bottom"/>
          </w:tcPr>
          <w:p>
            <w:pPr>
              <w:spacing w:after="0"/>
              <w:rPr>
                <w:sz w:val="24"/>
                <w:szCs w:val="24"/>
                <w:color w:val="auto"/>
              </w:rPr>
            </w:pPr>
          </w:p>
        </w:tc>
        <w:tc>
          <w:tcPr>
            <w:tcW w:w="4660" w:type="dxa"/>
            <w:vAlign w:val="bottom"/>
            <w:gridSpan w:val="2"/>
          </w:tcPr>
          <w:p>
            <w:pPr>
              <w:ind w:left="200"/>
              <w:spacing w:after="0"/>
              <w:rPr>
                <w:sz w:val="20"/>
                <w:szCs w:val="20"/>
                <w:color w:val="auto"/>
              </w:rPr>
            </w:pPr>
            <w:r>
              <w:rPr>
                <w:rFonts w:ascii="Arial" w:cs="Arial" w:eastAsia="Arial" w:hAnsi="Arial"/>
                <w:sz w:val="23"/>
                <w:szCs w:val="23"/>
                <w:b w:val="1"/>
                <w:bCs w:val="1"/>
                <w:color w:val="auto"/>
              </w:rPr>
              <w:t>What We Don’t Do</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20" w:type="dxa"/>
            <w:vAlign w:val="bottom"/>
            <w:gridSpan w:val="2"/>
          </w:tcPr>
          <w:p>
            <w:pPr>
              <w:spacing w:after="0"/>
              <w:rPr>
                <w:sz w:val="20"/>
                <w:szCs w:val="20"/>
                <w:color w:val="auto"/>
              </w:rPr>
            </w:pPr>
            <w:r>
              <w:rPr>
                <w:rFonts w:ascii="Arial" w:cs="Arial" w:eastAsia="Arial" w:hAnsi="Arial"/>
                <w:sz w:val="18"/>
                <w:szCs w:val="18"/>
                <w:color w:val="0075A8"/>
              </w:rPr>
              <w:t>​   ​​Heavily weight executive compensation toward “at</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rPr>
                <w:sz w:val="20"/>
                <w:szCs w:val="20"/>
                <w:color w:val="auto"/>
              </w:rPr>
            </w:pPr>
            <w:r>
              <w:rPr>
                <w:rFonts w:ascii="Arial" w:cs="Arial" w:eastAsia="Arial" w:hAnsi="Arial"/>
                <w:sz w:val="18"/>
                <w:szCs w:val="18"/>
                <w:color w:val="auto"/>
              </w:rPr>
              <w:t>​​Guarantee bonus payments or base salary</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risk,” performance-based compensation</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0075A8"/>
              </w:rPr>
              <w:t>​ ​</w:t>
            </w:r>
          </w:p>
        </w:tc>
        <w:tc>
          <w:tcPr>
            <w:tcW w:w="4180" w:type="dxa"/>
            <w:vAlign w:val="bottom"/>
          </w:tcPr>
          <w:p>
            <w:pPr>
              <w:ind w:left="80"/>
              <w:spacing w:after="0"/>
              <w:rPr>
                <w:sz w:val="20"/>
                <w:szCs w:val="20"/>
                <w:color w:val="auto"/>
              </w:rPr>
            </w:pPr>
            <w:r>
              <w:rPr>
                <w:rFonts w:ascii="Arial" w:cs="Arial" w:eastAsia="Arial" w:hAnsi="Arial"/>
                <w:sz w:val="18"/>
                <w:szCs w:val="18"/>
                <w:color w:val="0075A8"/>
              </w:rPr>
              <w:t>​​Balance short-term and long-term incentive</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Provide single-trigger change-in-control benefits</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compensation</w:t>
            </w:r>
          </w:p>
        </w:tc>
        <w:tc>
          <w:tcPr>
            <w:tcW w:w="300" w:type="dxa"/>
            <w:vAlign w:val="bottom"/>
          </w:tcPr>
          <w:p>
            <w:pPr>
              <w:spacing w:after="0"/>
              <w:rPr>
                <w:sz w:val="21"/>
                <w:szCs w:val="21"/>
                <w:color w:val="auto"/>
              </w:rPr>
            </w:pPr>
          </w:p>
        </w:tc>
        <w:tc>
          <w:tcPr>
            <w:tcW w:w="4720" w:type="dxa"/>
            <w:vAlign w:val="bottom"/>
            <w:gridSpan w:val="3"/>
          </w:tcPr>
          <w:p>
            <w:pPr>
              <w:ind w:left="200"/>
              <w:spacing w:after="0" w:line="249"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Provide excise tax gross-up payments in connection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51"/>
        </w:trPr>
        <w:tc>
          <w:tcPr>
            <w:tcW w:w="4420" w:type="dxa"/>
            <w:vAlign w:val="bottom"/>
            <w:gridSpan w:val="2"/>
          </w:tcPr>
          <w:p>
            <w:pPr>
              <w:spacing w:after="0" w:line="251" w:lineRule="exact"/>
              <w:rPr>
                <w:sz w:val="20"/>
                <w:szCs w:val="20"/>
                <w:color w:val="auto"/>
              </w:rPr>
            </w:pPr>
            <w:r>
              <w:rPr>
                <w:rFonts w:ascii="Arial" w:cs="Arial" w:eastAsia="Arial" w:hAnsi="Arial"/>
                <w:sz w:val="29"/>
                <w:szCs w:val="29"/>
                <w:color w:val="0075A8"/>
                <w:vertAlign w:val="superscript"/>
              </w:rPr>
              <w:t>​   ​​</w:t>
            </w:r>
            <w:r>
              <w:rPr>
                <w:rFonts w:ascii="Arial" w:cs="Arial" w:eastAsia="Arial" w:hAnsi="Arial"/>
                <w:sz w:val="16"/>
                <w:szCs w:val="16"/>
                <w:color w:val="0075A8"/>
              </w:rPr>
              <w:t>Use multi-year vesting for executive officer equity</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1"/>
                <w:szCs w:val="21"/>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with a change in control of the Company</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w w:val="98"/>
              </w:rPr>
              <w:t>awards, with 75% of the annual performance share</w:t>
            </w:r>
          </w:p>
        </w:tc>
        <w:tc>
          <w:tcPr>
            <w:tcW w:w="30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35"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Provide excessive perquisites to our executive</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awards for fiscal year 2025 for executive officers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officers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based on a three-year vesting period</w:t>
            </w:r>
          </w:p>
        </w:tc>
        <w:tc>
          <w:tcPr>
            <w:tcW w:w="3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Provide retirement or pension benefits to our</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tcPr>
          <w:p>
            <w:pPr>
              <w:spacing w:after="0" w:line="224" w:lineRule="exact"/>
              <w:rPr>
                <w:sz w:val="20"/>
                <w:szCs w:val="20"/>
                <w:color w:val="auto"/>
              </w:rPr>
            </w:pPr>
            <w:r>
              <w:rPr>
                <w:rFonts w:ascii="Arial" w:cs="Arial" w:eastAsia="Arial" w:hAnsi="Arial"/>
                <w:sz w:val="25"/>
                <w:szCs w:val="25"/>
                <w:color w:val="0075A8"/>
                <w:vertAlign w:val="superscript"/>
              </w:rPr>
              <w:t>​   ​​</w:t>
            </w:r>
            <w:r>
              <w:rPr>
                <w:rFonts w:ascii="Arial" w:cs="Arial" w:eastAsia="Arial" w:hAnsi="Arial"/>
                <w:sz w:val="14"/>
                <w:szCs w:val="14"/>
                <w:color w:val="0075A8"/>
              </w:rPr>
              <w:t>Base half of annual performance share award on</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executive officers that are not available to</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three-year relative TSR performance metric</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employees generally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0"/>
                <w:szCs w:val="20"/>
                <w:color w:val="auto"/>
              </w:rPr>
            </w:pPr>
            <w:r>
              <w:rPr>
                <w:rFonts w:ascii="Arial" w:cs="Arial" w:eastAsia="Arial" w:hAnsi="Arial"/>
                <w:sz w:val="18"/>
                <w:szCs w:val="18"/>
                <w:color w:val="0075A8"/>
              </w:rPr>
              <w:t>​</w:t>
            </w:r>
          </w:p>
        </w:tc>
        <w:tc>
          <w:tcPr>
            <w:tcW w:w="4480" w:type="dxa"/>
            <w:vAlign w:val="bottom"/>
            <w:gridSpan w:val="2"/>
          </w:tcPr>
          <w:p>
            <w:pPr>
              <w:jc w:val="right"/>
              <w:ind w:right="110"/>
              <w:spacing w:after="0" w:line="283" w:lineRule="exact"/>
              <w:rPr>
                <w:sz w:val="20"/>
                <w:szCs w:val="20"/>
                <w:color w:val="auto"/>
              </w:rPr>
            </w:pPr>
            <w:r>
              <w:rPr>
                <w:rFonts w:ascii="Arial" w:cs="Arial" w:eastAsia="Arial" w:hAnsi="Arial"/>
                <w:sz w:val="32"/>
                <w:szCs w:val="32"/>
                <w:color w:val="0075A8"/>
                <w:vertAlign w:val="superscript"/>
              </w:rPr>
              <w:t>​​</w:t>
            </w:r>
            <w:r>
              <w:rPr>
                <w:rFonts w:ascii="Arial" w:cs="Arial" w:eastAsia="Arial" w:hAnsi="Arial"/>
                <w:sz w:val="17"/>
                <w:szCs w:val="17"/>
                <w:color w:val="0075A8"/>
              </w:rPr>
              <w:t xml:space="preserve">Maintain a clawback policy providing for recovery of </w:t>
            </w:r>
            <w:r>
              <w:rPr>
                <w:rFonts w:ascii="Arial" w:cs="Arial" w:eastAsia="Arial" w:hAnsi="Arial"/>
                <w:sz w:val="32"/>
                <w:szCs w:val="32"/>
                <w:color w:val="0075A8"/>
                <w:vertAlign w:val="superscript"/>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Permit hedging or other forms of speculative</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incentive compensation from Section 16 officers in</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transactions by employees or directors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the event of a financial restatement</w:t>
            </w:r>
          </w:p>
        </w:tc>
        <w:tc>
          <w:tcPr>
            <w:tcW w:w="300" w:type="dxa"/>
            <w:vAlign w:val="bottom"/>
          </w:tcPr>
          <w:p>
            <w:pPr>
              <w:spacing w:after="0"/>
              <w:rPr>
                <w:sz w:val="21"/>
                <w:szCs w:val="21"/>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Permit pledging by employees or directors</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Maintain robust stock ownership guidelines for</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Allow for the repricing of stock options without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executive officers and non-executive directors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stockholder approval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Structure our executive officer compensation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Pay dividends or dividend equivalents on unearned</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program to encourage appropriate risk-taking</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performance shares or restricted stock units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line="230" w:lineRule="exact"/>
              <w:rPr>
                <w:sz w:val="20"/>
                <w:szCs w:val="20"/>
                <w:color w:val="auto"/>
              </w:rPr>
            </w:pPr>
            <w:r>
              <w:rPr>
                <w:rFonts w:ascii="Arial" w:cs="Arial" w:eastAsia="Arial" w:hAnsi="Arial"/>
                <w:sz w:val="26"/>
                <w:szCs w:val="26"/>
                <w:color w:val="0075A8"/>
                <w:vertAlign w:val="superscript"/>
              </w:rPr>
              <w:t>​   ​​</w:t>
            </w:r>
            <w:r>
              <w:rPr>
                <w:rFonts w:ascii="Arial" w:cs="Arial" w:eastAsia="Arial" w:hAnsi="Arial"/>
                <w:sz w:val="15"/>
                <w:szCs w:val="15"/>
                <w:color w:val="0075A8"/>
              </w:rPr>
              <w:t>Benchmark pay practices against selected peer</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80" w:type="dxa"/>
            <w:vAlign w:val="bottom"/>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240" w:type="dxa"/>
            <w:vAlign w:val="bottom"/>
          </w:tcPr>
          <w:p>
            <w:pPr>
              <w:spacing w:after="0"/>
              <w:rPr>
                <w:sz w:val="6"/>
                <w:szCs w:val="6"/>
                <w:color w:val="auto"/>
              </w:rPr>
            </w:pPr>
          </w:p>
        </w:tc>
        <w:tc>
          <w:tcPr>
            <w:tcW w:w="4180" w:type="dxa"/>
            <w:vAlign w:val="bottom"/>
            <w:vMerge w:val="restart"/>
          </w:tcPr>
          <w:p>
            <w:pPr>
              <w:ind w:left="140"/>
              <w:spacing w:after="0"/>
              <w:rPr>
                <w:sz w:val="20"/>
                <w:szCs w:val="20"/>
                <w:color w:val="auto"/>
              </w:rPr>
            </w:pPr>
            <w:r>
              <w:rPr>
                <w:rFonts w:ascii="Arial" w:cs="Arial" w:eastAsia="Arial" w:hAnsi="Arial"/>
                <w:sz w:val="18"/>
                <w:szCs w:val="18"/>
                <w:color w:val="0075A8"/>
              </w:rPr>
              <w:t>companies with whom we compete for executive</w:t>
            </w: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80" w:type="dxa"/>
            <w:vAlign w:val="bottom"/>
          </w:tcPr>
          <w:p>
            <w:pPr>
              <w:ind w:left="200"/>
              <w:spacing w:after="0" w:line="76" w:lineRule="exact"/>
              <w:rPr>
                <w:sz w:val="20"/>
                <w:szCs w:val="20"/>
                <w:color w:val="auto"/>
              </w:rPr>
            </w:pPr>
            <w:r>
              <w:rPr>
                <w:rFonts w:ascii="Arial" w:cs="Arial" w:eastAsia="Arial" w:hAnsi="Arial"/>
                <w:sz w:val="8"/>
                <w:szCs w:val="8"/>
                <w:color w:val="auto"/>
              </w:rPr>
              <w:t>Include “evergreen” provisions or “liberal” change-in-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80" w:type="dxa"/>
            <w:vAlign w:val="bottom"/>
          </w:tcPr>
          <w:p>
            <w:pPr>
              <w:ind w:left="200"/>
              <w:spacing w:after="0" w:line="189" w:lineRule="exact"/>
              <w:rPr>
                <w:sz w:val="20"/>
                <w:szCs w:val="20"/>
                <w:color w:val="auto"/>
              </w:rPr>
            </w:pPr>
            <w:r>
              <w:rPr>
                <w:rFonts w:ascii="Arial" w:cs="Arial" w:eastAsia="Arial" w:hAnsi="Arial"/>
                <w:sz w:val="18"/>
                <w:szCs w:val="18"/>
                <w:color w:val="auto"/>
              </w:rPr>
              <w:t>control definitions in our equity incentive award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talent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plans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420" w:type="dxa"/>
            <w:vAlign w:val="bottom"/>
            <w:gridSpan w:val="2"/>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Solicit advice from the Compensation Committee’s</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independent compensation consultant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20" w:type="dxa"/>
            <w:vAlign w:val="bottom"/>
            <w:gridSpan w:val="2"/>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Maintain a cash severance limitation policy</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applicable to executive officers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Hold annual “say-on-pay” advisory vote</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20" w:type="dxa"/>
            <w:vAlign w:val="bottom"/>
            <w:gridSpan w:val="2"/>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Conduct regular engagement with stockholders on</w:t>
            </w:r>
          </w:p>
        </w:tc>
        <w:tc>
          <w:tcPr>
            <w:tcW w:w="30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0075A8"/>
              </w:rPr>
              <w:t>compensation-related topics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-4150995</wp:posOffset>
            </wp:positionV>
            <wp:extent cx="76835" cy="774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-3533775</wp:posOffset>
            </wp:positionV>
            <wp:extent cx="76835"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-2933700</wp:posOffset>
            </wp:positionV>
            <wp:extent cx="76835"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-2616200</wp:posOffset>
            </wp:positionV>
            <wp:extent cx="76835" cy="76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-2162175</wp:posOffset>
            </wp:positionV>
            <wp:extent cx="76835"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-1844675</wp:posOffset>
            </wp:positionV>
            <wp:extent cx="76835" cy="76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-1527810</wp:posOffset>
            </wp:positionV>
            <wp:extent cx="76835"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-1073150</wp:posOffset>
            </wp:positionV>
            <wp:extent cx="76835" cy="76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-756285</wp:posOffset>
            </wp:positionV>
            <wp:extent cx="76835"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-438785</wp:posOffset>
            </wp:positionV>
            <wp:extent cx="76835" cy="768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-267335</wp:posOffset>
            </wp:positionV>
            <wp:extent cx="76835" cy="768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-4150995</wp:posOffset>
            </wp:positionV>
            <wp:extent cx="93980" cy="939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-3842385</wp:posOffset>
            </wp:positionV>
            <wp:extent cx="93980" cy="93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-3670935</wp:posOffset>
            </wp:positionV>
            <wp:extent cx="9398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-3362325</wp:posOffset>
            </wp:positionV>
            <wp:extent cx="93980"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-3053715</wp:posOffset>
            </wp:positionV>
            <wp:extent cx="93980" cy="946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-2607945</wp:posOffset>
            </wp:positionV>
            <wp:extent cx="93980"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-2299335</wp:posOffset>
            </wp:positionV>
            <wp:extent cx="93980" cy="939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-2127885</wp:posOffset>
            </wp:positionV>
            <wp:extent cx="93980" cy="93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-1819275</wp:posOffset>
            </wp:positionV>
            <wp:extent cx="93980" cy="93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-1510665</wp:posOffset>
            </wp:positionV>
            <wp:extent cx="93980" cy="94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Named Executive Officers</w:t>
            </w:r>
          </w:p>
        </w:tc>
        <w:tc>
          <w:tcPr>
            <w:tcW w:w="800" w:type="dxa"/>
            <w:vAlign w:val="bottom"/>
          </w:tcPr>
          <w:p>
            <w:pPr>
              <w:spacing w:after="0"/>
              <w:rPr>
                <w:sz w:val="19"/>
                <w:szCs w:val="19"/>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​​34​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1060" w:type="dxa"/>
            <w:vAlign w:val="bottom"/>
            <w:shd w:val="clear" w:color="auto" w:fill="0075A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Engagement with Stockholders Regarding Executive Compensation</w:t>
            </w:r>
          </w:p>
        </w:tc>
        <w:tc>
          <w:tcPr>
            <w:tcW w:w="800" w:type="dxa"/>
            <w:vAlign w:val="bottom"/>
          </w:tcPr>
          <w:p>
            <w:pPr>
              <w:spacing w:after="0"/>
              <w:rPr>
                <w:sz w:val="20"/>
                <w:szCs w:val="20"/>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​​34​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1500" w:type="dxa"/>
            <w:vAlign w:val="bottom"/>
            <w:gridSpan w:val="2"/>
            <w:shd w:val="clear" w:color="auto" w:fill="0075A8"/>
          </w:tcPr>
          <w:p>
            <w:pPr>
              <w:spacing w:after="0" w:line="20" w:lineRule="exact"/>
              <w:rPr>
                <w:sz w:val="1"/>
                <w:szCs w:val="1"/>
                <w:color w:val="auto"/>
              </w:rPr>
            </w:pPr>
          </w:p>
        </w:tc>
        <w:tc>
          <w:tcPr>
            <w:tcW w:w="1140" w:type="dxa"/>
            <w:vAlign w:val="bottom"/>
            <w:shd w:val="clear" w:color="auto" w:fill="0075A8"/>
          </w:tcPr>
          <w:p>
            <w:pPr>
              <w:spacing w:after="0" w:line="20" w:lineRule="exact"/>
              <w:rPr>
                <w:sz w:val="1"/>
                <w:szCs w:val="1"/>
                <w:color w:val="auto"/>
              </w:rPr>
            </w:pPr>
          </w:p>
        </w:tc>
        <w:tc>
          <w:tcPr>
            <w:tcW w:w="6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34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Approach for Determining Form and Amounts of Compensation</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​​35​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1500" w:type="dxa"/>
            <w:vAlign w:val="bottom"/>
            <w:gridSpan w:val="2"/>
            <w:shd w:val="clear" w:color="auto" w:fill="0075A8"/>
          </w:tcPr>
          <w:p>
            <w:pPr>
              <w:spacing w:after="0" w:line="20" w:lineRule="exact"/>
              <w:rPr>
                <w:sz w:val="1"/>
                <w:szCs w:val="1"/>
                <w:color w:val="auto"/>
              </w:rPr>
            </w:pPr>
          </w:p>
        </w:tc>
        <w:tc>
          <w:tcPr>
            <w:tcW w:w="1140" w:type="dxa"/>
            <w:vAlign w:val="bottom"/>
            <w:shd w:val="clear" w:color="auto" w:fill="0075A8"/>
          </w:tcPr>
          <w:p>
            <w:pPr>
              <w:spacing w:after="0" w:line="20" w:lineRule="exact"/>
              <w:rPr>
                <w:sz w:val="1"/>
                <w:szCs w:val="1"/>
                <w:color w:val="auto"/>
              </w:rPr>
            </w:pPr>
          </w:p>
        </w:tc>
        <w:tc>
          <w:tcPr>
            <w:tcW w:w="640" w:type="dxa"/>
            <w:vAlign w:val="bottom"/>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34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Components of Compensation</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​​37​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1500" w:type="dxa"/>
            <w:vAlign w:val="bottom"/>
            <w:gridSpan w:val="2"/>
            <w:shd w:val="clear" w:color="auto" w:fill="0075A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Severance and Change-in-Control Benefits</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​​44​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2640" w:type="dxa"/>
            <w:vAlign w:val="bottom"/>
            <w:gridSpan w:val="3"/>
            <w:shd w:val="clear" w:color="auto" w:fill="0075A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Executive Officer Stock Ownership Requirements</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​​45​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3280" w:type="dxa"/>
            <w:vAlign w:val="bottom"/>
            <w:gridSpan w:val="4"/>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Prohibition on Hedging and Certain Other Transactions</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​​46​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3460" w:type="dxa"/>
            <w:vAlign w:val="bottom"/>
            <w:gridSpan w:val="5"/>
            <w:shd w:val="clear" w:color="auto" w:fill="0075A8"/>
          </w:tcPr>
          <w:p>
            <w:pPr>
              <w:spacing w:after="0" w:line="20" w:lineRule="exact"/>
              <w:rPr>
                <w:sz w:val="1"/>
                <w:szCs w:val="1"/>
                <w:color w:val="auto"/>
              </w:rPr>
            </w:pPr>
          </w:p>
        </w:tc>
        <w:tc>
          <w:tcPr>
            <w:tcW w:w="340" w:type="dxa"/>
            <w:vAlign w:val="bottom"/>
            <w:shd w:val="clear" w:color="auto" w:fill="0075A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Compliance with Internal Revenue Code Section 162(m)</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​​47​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3460" w:type="dxa"/>
            <w:vAlign w:val="bottom"/>
            <w:gridSpan w:val="5"/>
            <w:shd w:val="clear" w:color="auto" w:fill="0075A8"/>
          </w:tcPr>
          <w:p>
            <w:pPr>
              <w:spacing w:after="0" w:line="20" w:lineRule="exact"/>
              <w:rPr>
                <w:sz w:val="1"/>
                <w:szCs w:val="1"/>
                <w:color w:val="auto"/>
              </w:rPr>
            </w:pPr>
          </w:p>
        </w:tc>
        <w:tc>
          <w:tcPr>
            <w:tcW w:w="380" w:type="dxa"/>
            <w:vAlign w:val="bottom"/>
            <w:gridSpan w:val="2"/>
            <w:shd w:val="clear" w:color="auto" w:fill="0075A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Compensation Tables for Named Executive Officers</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​​48​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3460" w:type="dxa"/>
            <w:vAlign w:val="bottom"/>
            <w:gridSpan w:val="5"/>
            <w:shd w:val="clear" w:color="auto" w:fill="0075A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Potential Payments Upon Termination or Change in Control</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​​52​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4200" w:type="dxa"/>
            <w:vAlign w:val="bottom"/>
            <w:gridSpan w:val="8"/>
            <w:shd w:val="clear" w:color="auto" w:fill="0075A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CEO Pay Ratio</w:t>
            </w:r>
          </w:p>
        </w:tc>
        <w:tc>
          <w:tcPr>
            <w:tcW w:w="80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​​58​ ​</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530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80"/>
        </w:trPr>
        <w:tc>
          <w:tcPr>
            <w:tcW w:w="7960" w:type="dxa"/>
            <w:vAlign w:val="bottom"/>
            <w:gridSpan w:val="13"/>
          </w:tcPr>
          <w:p>
            <w:pPr>
              <w:ind w:left="660"/>
              <w:spacing w:after="0"/>
              <w:rPr>
                <w:sz w:val="20"/>
                <w:szCs w:val="20"/>
                <w:color w:val="auto"/>
              </w:rPr>
            </w:pPr>
            <w:r>
              <w:rPr>
                <w:rFonts w:ascii="Arial" w:cs="Arial" w:eastAsia="Arial" w:hAnsi="Arial"/>
                <w:sz w:val="16"/>
                <w:szCs w:val="16"/>
                <w:color w:val="auto"/>
              </w:rPr>
              <w:t>​Proxy Statement​   ​</w:t>
            </w:r>
          </w:p>
        </w:tc>
        <w:tc>
          <w:tcPr>
            <w:tcW w:w="800" w:type="dxa"/>
            <w:vAlign w:val="bottom"/>
          </w:tcPr>
          <w:p>
            <w:pPr>
              <w:ind w:left="30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6"/>
                <w:szCs w:val="16"/>
                <w:color w:val="auto"/>
              </w:rPr>
              <w:t>33​</w:t>
            </w:r>
          </w:p>
        </w:tc>
      </w:tr>
      <w:tr>
        <w:trPr>
          <w:trHeight w:val="306"/>
        </w:trPr>
        <w:tc>
          <w:tcPr>
            <w:tcW w:w="1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-401955</wp:posOffset>
            </wp:positionV>
            <wp:extent cx="77978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Named Executive Officers</w:t>
      </w:r>
    </w:p>
    <w:p>
      <w:pPr>
        <w:spacing w:after="0" w:line="137"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This Compensation Discussion and Analysis section discusses the compensation policies and programs for our Named Executive Officers.</w:t>
      </w:r>
    </w:p>
    <w:p>
      <w:pPr>
        <w:spacing w:after="0" w:line="172" w:lineRule="exact"/>
        <w:rPr>
          <w:sz w:val="20"/>
          <w:szCs w:val="20"/>
          <w:color w:val="auto"/>
        </w:rPr>
      </w:pPr>
    </w:p>
    <w:p>
      <w:pPr>
        <w:ind w:left="660" w:right="120"/>
        <w:spacing w:after="0" w:line="286" w:lineRule="auto"/>
        <w:rPr>
          <w:sz w:val="20"/>
          <w:szCs w:val="20"/>
          <w:color w:val="auto"/>
        </w:rPr>
      </w:pPr>
      <w:r>
        <w:rPr>
          <w:rFonts w:ascii="Arial" w:cs="Arial" w:eastAsia="Arial" w:hAnsi="Arial"/>
          <w:sz w:val="20"/>
          <w:szCs w:val="20"/>
          <w:color w:val="auto"/>
        </w:rPr>
        <w:t>For fiscal year 2024, our Named Executive Officers were:</w:t>
      </w:r>
    </w:p>
    <w:p>
      <w:pPr>
        <w:spacing w:after="0" w:line="140" w:lineRule="exact"/>
        <w:rPr>
          <w:sz w:val="20"/>
          <w:szCs w:val="20"/>
          <w:color w:val="auto"/>
        </w:rPr>
      </w:pPr>
    </w:p>
    <w:p>
      <w:pPr>
        <w:ind w:left="840" w:right="60" w:hanging="186"/>
        <w:spacing w:after="0" w:line="227" w:lineRule="auto"/>
        <w:tabs>
          <w:tab w:leader="none" w:pos="8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Liam K. Griffin, Chairman, Chief Executive Officer and President;</w:t>
      </w:r>
      <w:r>
        <w:rPr>
          <w:rFonts w:ascii="Arial" w:cs="Arial" w:eastAsia="Arial" w:hAnsi="Arial"/>
          <w:sz w:val="30"/>
          <w:szCs w:val="30"/>
          <w:color w:val="auto"/>
          <w:vertAlign w:val="superscript"/>
        </w:rPr>
        <w:t>(1)</w:t>
      </w:r>
    </w:p>
    <w:p>
      <w:pPr>
        <w:ind w:left="840" w:right="160" w:hanging="186"/>
        <w:spacing w:after="0" w:line="253" w:lineRule="auto"/>
        <w:tabs>
          <w:tab w:leader="none" w:pos="8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Kris Sennesael, Senior Vice President and Chief Financial Officer;</w:t>
      </w:r>
    </w:p>
    <w:p>
      <w:pPr>
        <w:spacing w:after="0" w:line="1" w:lineRule="exact"/>
        <w:rPr>
          <w:rFonts w:ascii="Arial" w:cs="Arial" w:eastAsia="Arial" w:hAnsi="Arial"/>
          <w:sz w:val="20"/>
          <w:szCs w:val="20"/>
          <w:color w:val="auto"/>
        </w:rPr>
      </w:pPr>
    </w:p>
    <w:p>
      <w:pPr>
        <w:ind w:left="840" w:right="60" w:hanging="186"/>
        <w:spacing w:after="0" w:line="219" w:lineRule="auto"/>
        <w:tabs>
          <w:tab w:leader="none" w:pos="8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Reza Kasnavi, Senior Vice President, Technology and Manufacturing;</w:t>
      </w:r>
      <w:r>
        <w:rPr>
          <w:rFonts w:ascii="Arial" w:cs="Arial" w:eastAsia="Arial" w:hAnsi="Arial"/>
          <w:sz w:val="30"/>
          <w:szCs w:val="30"/>
          <w:color w:val="auto"/>
          <w:vertAlign w:val="superscript"/>
        </w:rPr>
        <w:t>(2)</w:t>
      </w:r>
    </w:p>
    <w:p>
      <w:pPr>
        <w:spacing w:after="0" w:line="1" w:lineRule="exact"/>
        <w:rPr>
          <w:rFonts w:ascii="Arial" w:cs="Arial" w:eastAsia="Arial" w:hAnsi="Arial"/>
          <w:sz w:val="20"/>
          <w:szCs w:val="20"/>
          <w:color w:val="auto"/>
        </w:rPr>
      </w:pPr>
    </w:p>
    <w:p>
      <w:pPr>
        <w:ind w:left="840" w:right="180" w:hanging="186"/>
        <w:spacing w:after="0" w:line="260" w:lineRule="auto"/>
        <w:tabs>
          <w:tab w:leader="none" w:pos="8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Carlos S. Bori, Senior Vice President, Sales and Marketing; and</w:t>
      </w:r>
    </w:p>
    <w:p>
      <w:pPr>
        <w:spacing w:after="0" w:line="1" w:lineRule="exact"/>
        <w:rPr>
          <w:rFonts w:ascii="Arial" w:cs="Arial" w:eastAsia="Arial" w:hAnsi="Arial"/>
          <w:sz w:val="20"/>
          <w:szCs w:val="20"/>
          <w:color w:val="auto"/>
        </w:rPr>
      </w:pPr>
    </w:p>
    <w:p>
      <w:pPr>
        <w:ind w:left="840" w:right="300" w:hanging="186"/>
        <w:spacing w:after="0" w:line="281" w:lineRule="auto"/>
        <w:tabs>
          <w:tab w:leader="none" w:pos="8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Robert J. Terry, Senior Vice President, General Counsel and Secretary.</w:t>
      </w:r>
    </w:p>
    <w:p>
      <w:pPr>
        <w:spacing w:after="0" w:line="217" w:lineRule="exact"/>
        <w:rPr>
          <w:sz w:val="20"/>
          <w:szCs w:val="20"/>
          <w:color w:val="auto"/>
        </w:rPr>
      </w:pPr>
    </w:p>
    <w:p>
      <w:pPr>
        <w:ind w:left="660" w:right="480"/>
        <w:spacing w:after="0" w:line="295" w:lineRule="auto"/>
        <w:rPr>
          <w:sz w:val="20"/>
          <w:szCs w:val="20"/>
          <w:color w:val="auto"/>
        </w:rPr>
      </w:pPr>
      <w:r>
        <w:rPr>
          <w:rFonts w:ascii="Arial" w:cs="Arial" w:eastAsia="Arial" w:hAnsi="Arial"/>
          <w:sz w:val="23"/>
          <w:szCs w:val="23"/>
          <w:b w:val="1"/>
          <w:bCs w:val="1"/>
          <w:i w:val="1"/>
          <w:iCs w:val="1"/>
          <w:color w:val="auto"/>
        </w:rPr>
        <w:t>Engagement with Stockholders Regarding Executive Compensation</w:t>
      </w:r>
    </w:p>
    <w:p>
      <w:pPr>
        <w:spacing w:after="0" w:line="21" w:lineRule="exact"/>
        <w:rPr>
          <w:sz w:val="20"/>
          <w:szCs w:val="20"/>
          <w:color w:val="auto"/>
        </w:rPr>
      </w:pPr>
    </w:p>
    <w:p>
      <w:pPr>
        <w:ind w:left="660" w:right="40"/>
        <w:spacing w:after="0" w:line="256" w:lineRule="auto"/>
        <w:rPr>
          <w:sz w:val="20"/>
          <w:szCs w:val="20"/>
          <w:color w:val="auto"/>
        </w:rPr>
      </w:pPr>
      <w:r>
        <w:rPr>
          <w:rFonts w:ascii="Arial" w:cs="Arial" w:eastAsia="Arial" w:hAnsi="Arial"/>
          <w:sz w:val="20"/>
          <w:szCs w:val="20"/>
          <w:color w:val="auto"/>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2024 Annual Meeting, approximately 88% of the votes cast approved our “say-on-pay” proposal, reflecting continued support for our compensation policies and determinations for fiscal year 2023.</w:t>
      </w:r>
    </w:p>
    <w:p>
      <w:pPr>
        <w:spacing w:after="0" w:line="188" w:lineRule="exact"/>
        <w:rPr>
          <w:sz w:val="20"/>
          <w:szCs w:val="20"/>
          <w:color w:val="auto"/>
        </w:rPr>
      </w:pPr>
    </w:p>
    <w:p>
      <w:pPr>
        <w:ind w:left="660" w:right="20"/>
        <w:spacing w:after="0" w:line="272" w:lineRule="auto"/>
        <w:rPr>
          <w:sz w:val="20"/>
          <w:szCs w:val="20"/>
          <w:color w:val="auto"/>
        </w:rPr>
      </w:pPr>
      <w:r>
        <w:rPr>
          <w:rFonts w:ascii="Arial" w:cs="Arial" w:eastAsia="Arial" w:hAnsi="Arial"/>
          <w:sz w:val="19"/>
          <w:szCs w:val="19"/>
          <w:color w:val="auto"/>
        </w:rPr>
        <w:t>Following the 2024 Annual Meeting,we engaged in formal stockholder outreach with 20 institutional stockholders representing approximately 54% of the Company’s shares outstanding. Stockholders representing approximately 44% of the Company’s shares outstanding responded to the outreach, either with written feedback, a request to speak, or by declining the invitation. Generally, investors who declined a meeting noted that they did so because they did not have any concerns to discuss.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104140</wp:posOffset>
            </wp:positionV>
            <wp:extent cx="12344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held engagement meetings with each of those stockholders who requested to meet, representing approximately 36% of the Company’s outstanding shares. Our Chairman of the Board, then our Lead Independent Director, and Chairman of our Compensation Committee, Ms. King, was actively involved in stockholder engagement.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During these conversations, institutional stockholders were interested in discussing a range of topics beyond executive compensation, including corporate governance, business strategy, our efforts to eliminate the supermajority vote provisions from our Restated Certificate of Incorporation, and our sustainability program. In addition, these stockholders generally did not express concerns with the overall structure of our compensation program, with many expressing support for our program and some expressing a preference for longer performance periods in our long-term incentive program. Many of our stockholders also communicated their appreciation for the Company’s track record of disclosure and stockholder responsiveness over the past several years. Input and feedback from our stockholders during the most recent outreach, as well as the ongoing dialogue we have shared with stockholders for many years, continues to directly inform the evolution of compensation practices, which are detailed in the section below.</w:t>
      </w:r>
    </w:p>
    <w:p>
      <w:pPr>
        <w:spacing w:after="0" w:line="231" w:lineRule="exact"/>
        <w:rPr>
          <w:sz w:val="20"/>
          <w:szCs w:val="20"/>
          <w:color w:val="auto"/>
        </w:rPr>
      </w:pPr>
    </w:p>
    <w:p>
      <w:pPr>
        <w:ind w:right="180"/>
        <w:spacing w:after="0" w:line="295" w:lineRule="auto"/>
        <w:rPr>
          <w:sz w:val="20"/>
          <w:szCs w:val="20"/>
          <w:color w:val="auto"/>
        </w:rPr>
      </w:pPr>
      <w:r>
        <w:rPr>
          <w:rFonts w:ascii="Arial" w:cs="Arial" w:eastAsia="Arial" w:hAnsi="Arial"/>
          <w:sz w:val="23"/>
          <w:szCs w:val="23"/>
          <w:b w:val="1"/>
          <w:bCs w:val="1"/>
          <w:i w:val="1"/>
          <w:iCs w:val="1"/>
          <w:color w:val="auto"/>
        </w:rPr>
        <w:t>Evolution of Compensation Program in Response to Stockholder Input</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20"/>
          <w:szCs w:val="20"/>
          <w:color w:val="auto"/>
        </w:rPr>
        <w:t>Over the past several years, the Compensation Committee has made several changes to our executive compensation program to further align it with stockholder interests and the evolution of our business.</w:t>
      </w:r>
    </w:p>
    <w:p>
      <w:pPr>
        <w:spacing w:after="0" w:line="18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For fiscal year 2024, the Compensation Committee made two changes. First, it modified our peer group, adding two technology companies whose revenues and market capitalizations were below the median for the peer group. Second, the Compensation Committee returned the short-term</w:t>
      </w:r>
    </w:p>
    <w:p>
      <w:pPr>
        <w:spacing w:after="0" w:line="263"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47" w:lineRule="exact"/>
        <w:rPr>
          <w:sz w:val="20"/>
          <w:szCs w:val="20"/>
          <w:color w:val="auto"/>
        </w:rPr>
      </w:pPr>
    </w:p>
    <w:p>
      <w:pPr>
        <w:ind w:left="1080" w:hanging="354"/>
        <w:spacing w:after="0"/>
        <w:tabs>
          <w:tab w:leader="none" w:pos="108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Mr. Griffin ceased serving as Chief Executive Officer and President of the Company effective February 17, 2025.</w:t>
      </w:r>
    </w:p>
    <w:p>
      <w:pPr>
        <w:spacing w:after="0" w:line="32" w:lineRule="exact"/>
        <w:rPr>
          <w:rFonts w:ascii="Arial" w:cs="Arial" w:eastAsia="Arial" w:hAnsi="Arial"/>
          <w:sz w:val="16"/>
          <w:szCs w:val="16"/>
          <w:i w:val="1"/>
          <w:iCs w:val="1"/>
          <w:color w:val="auto"/>
        </w:rPr>
      </w:pPr>
    </w:p>
    <w:p>
      <w:pPr>
        <w:ind w:left="1080" w:right="200" w:hanging="354"/>
        <w:spacing w:after="0" w:line="301" w:lineRule="auto"/>
        <w:tabs>
          <w:tab w:leader="none" w:pos="108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Mr. Kasnavi began serving as Executive Vice President, Chief Operations and Technology Officer of the Company effective March 15, 2025.</w:t>
      </w:r>
    </w:p>
    <w:p>
      <w:pPr>
        <w:spacing w:after="0" w:line="28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8" w:lineRule="exact"/>
        <w:rPr>
          <w:sz w:val="20"/>
          <w:szCs w:val="20"/>
          <w:color w:val="auto"/>
        </w:rPr>
      </w:pPr>
    </w:p>
    <w:p>
      <w:pPr>
        <w:ind w:left="660"/>
        <w:spacing w:after="0" w:line="248" w:lineRule="auto"/>
        <w:rPr>
          <w:sz w:val="20"/>
          <w:szCs w:val="20"/>
          <w:color w:val="auto"/>
        </w:rPr>
      </w:pPr>
      <w:r>
        <w:rPr>
          <w:rFonts w:ascii="Arial" w:cs="Arial" w:eastAsia="Arial" w:hAnsi="Arial"/>
          <w:sz w:val="20"/>
          <w:szCs w:val="20"/>
          <w:color w:val="auto"/>
        </w:rPr>
        <w:t>incentive program for fiscal year 2024 from two semi-annual performance periods to one annual performance period because the Compensation Committee believed that it could set appropriately rigorous performance goals for a one-year period. Many of our stockholders indicated they were pleased with the change we made to the short-term incentive program.</w:t>
      </w:r>
    </w:p>
    <w:p>
      <w:pPr>
        <w:spacing w:after="0" w:line="178" w:lineRule="exact"/>
        <w:rPr>
          <w:sz w:val="20"/>
          <w:szCs w:val="20"/>
          <w:color w:val="auto"/>
        </w:rPr>
      </w:pPr>
    </w:p>
    <w:p>
      <w:pPr>
        <w:ind w:left="660"/>
        <w:spacing w:after="0" w:line="248" w:lineRule="auto"/>
        <w:rPr>
          <w:sz w:val="20"/>
          <w:szCs w:val="20"/>
          <w:color w:val="auto"/>
        </w:rPr>
      </w:pPr>
      <w:r>
        <w:rPr>
          <w:rFonts w:ascii="Arial" w:cs="Arial" w:eastAsia="Arial" w:hAnsi="Arial"/>
          <w:sz w:val="20"/>
          <w:szCs w:val="20"/>
          <w:color w:val="auto"/>
        </w:rPr>
        <w:t>For our fiscal year 2025, the Compensation Committee made additional changes to our long-term stock-based incentives for executives that were directly responsive to stockholder feedback. For the fiscal year 2025 performance share awards to Named Executive Officers, both the performance period and vesting period for the EBITDA margin percentile ranking metric were increased from two years to three years.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These most recent changes follow several changes to our executive compensation program in</w:t>
      </w:r>
    </w:p>
    <w:p>
      <w:pPr>
        <w:spacing w:after="0" w:line="1" w:lineRule="exact"/>
        <w:rPr>
          <w:sz w:val="20"/>
          <w:szCs w:val="20"/>
          <w:color w:val="auto"/>
        </w:rPr>
      </w:pPr>
    </w:p>
    <w:p>
      <w:pPr>
        <w:ind w:left="660" w:right="80"/>
        <w:spacing w:after="0" w:line="249" w:lineRule="auto"/>
        <w:rPr>
          <w:sz w:val="20"/>
          <w:szCs w:val="20"/>
          <w:color w:val="auto"/>
        </w:rPr>
      </w:pPr>
      <w:r>
        <w:rPr>
          <w:rFonts w:ascii="Arial" w:cs="Arial" w:eastAsia="Arial" w:hAnsi="Arial"/>
          <w:sz w:val="19"/>
          <w:szCs w:val="19"/>
          <w:color w:val="auto"/>
        </w:rPr>
        <w:t>fiscal years 2022 and 2023, further demonstrating the Compensation Committee’s commitment to responding to stockholder feedback and evolving our programs to align with our business and strategic goals. For the Company’s executive compensation program for the fiscal year ended September 30, 2022 (“fiscal year 2022”), the Compensation Committee implemented several changes to the performance share award design, including extending vesting for two key metrics to two years (from one year), incorporating a relative EBITDA margin percentile ranking metric (from an absolute metric), and setting target performance of relative metrics at the 55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In both the</w:t>
      </w:r>
    </w:p>
    <w:p>
      <w:pPr>
        <w:spacing w:after="0" w:line="1" w:lineRule="exact"/>
        <w:rPr>
          <w:sz w:val="20"/>
          <w:szCs w:val="20"/>
          <w:color w:val="auto"/>
        </w:rPr>
      </w:pPr>
    </w:p>
    <w:p>
      <w:pPr>
        <w:ind w:left="660" w:right="200"/>
        <w:spacing w:after="0" w:line="262" w:lineRule="auto"/>
        <w:rPr>
          <w:sz w:val="20"/>
          <w:szCs w:val="20"/>
          <w:color w:val="auto"/>
        </w:rPr>
      </w:pPr>
      <w:r>
        <w:rPr>
          <w:rFonts w:ascii="Arial" w:cs="Arial" w:eastAsia="Arial" w:hAnsi="Arial"/>
          <w:sz w:val="19"/>
          <w:szCs w:val="19"/>
          <w:color w:val="auto"/>
        </w:rPr>
        <w:t>Company’s fiscal year 2022 and fiscal year 2023, the Compensation Committee modified our peer group to improve comparability, replacing larger market cap companies with companies that were more comparable in size with the Company.</w:t>
      </w:r>
    </w:p>
    <w:p>
      <w:pPr>
        <w:spacing w:after="0" w:line="238" w:lineRule="exact"/>
        <w:rPr>
          <w:sz w:val="20"/>
          <w:szCs w:val="20"/>
          <w:color w:val="auto"/>
        </w:rPr>
      </w:pPr>
    </w:p>
    <w:p>
      <w:pPr>
        <w:ind w:left="660" w:right="380"/>
        <w:spacing w:after="0" w:line="282" w:lineRule="auto"/>
        <w:rPr>
          <w:sz w:val="20"/>
          <w:szCs w:val="20"/>
          <w:color w:val="auto"/>
        </w:rPr>
      </w:pPr>
      <w:r>
        <w:rPr>
          <w:rFonts w:ascii="Arial" w:cs="Arial" w:eastAsia="Arial" w:hAnsi="Arial"/>
          <w:sz w:val="23"/>
          <w:szCs w:val="23"/>
          <w:b w:val="1"/>
          <w:bCs w:val="1"/>
          <w:i w:val="1"/>
          <w:iCs w:val="1"/>
          <w:color w:val="auto"/>
        </w:rPr>
        <w:t>Approach for Determining Form and Amounts of Compensation</w:t>
      </w:r>
    </w:p>
    <w:p>
      <w:pPr>
        <w:spacing w:after="0" w:line="36" w:lineRule="exact"/>
        <w:rPr>
          <w:sz w:val="20"/>
          <w:szCs w:val="20"/>
          <w:color w:val="auto"/>
        </w:rPr>
      </w:pPr>
    </w:p>
    <w:p>
      <w:pPr>
        <w:ind w:left="660"/>
        <w:spacing w:after="0" w:line="264" w:lineRule="auto"/>
        <w:rPr>
          <w:sz w:val="20"/>
          <w:szCs w:val="20"/>
          <w:color w:val="auto"/>
        </w:rPr>
      </w:pPr>
      <w:r>
        <w:rPr>
          <w:rFonts w:ascii="Arial" w:cs="Arial" w:eastAsia="Arial" w:hAnsi="Arial"/>
          <w:sz w:val="19"/>
          <w:szCs w:val="19"/>
          <w:color w:val="auto"/>
        </w:rPr>
        <w:t>The Compensation Committee, which is composed solely of independent directors within the meaning of applicable Nasdaq Rules and non-employee directors within the meaning of Rule 16b-3 under the Exchange Act, is responsible for determining all components and amounts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 w:right="60"/>
        <w:spacing w:after="0" w:line="246" w:lineRule="auto"/>
        <w:rPr>
          <w:sz w:val="20"/>
          <w:szCs w:val="20"/>
          <w:color w:val="auto"/>
        </w:rPr>
      </w:pPr>
      <w:r>
        <w:rPr>
          <w:rFonts w:ascii="Arial" w:cs="Arial" w:eastAsia="Arial" w:hAnsi="Arial"/>
          <w:sz w:val="20"/>
          <w:szCs w:val="20"/>
          <w:color w:val="auto"/>
        </w:rPr>
        <w:t>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Compensation Program Objectives</w:t>
      </w:r>
    </w:p>
    <w:p>
      <w:pPr>
        <w:spacing w:after="0" w:line="143" w:lineRule="exact"/>
        <w:rPr>
          <w:sz w:val="20"/>
          <w:szCs w:val="20"/>
          <w:color w:val="auto"/>
        </w:rPr>
      </w:pPr>
    </w:p>
    <w:p>
      <w:pPr>
        <w:ind w:left="3" w:right="60"/>
        <w:spacing w:after="0" w:line="257" w:lineRule="auto"/>
        <w:rPr>
          <w:sz w:val="20"/>
          <w:szCs w:val="20"/>
          <w:color w:val="auto"/>
        </w:rPr>
      </w:pPr>
      <w:r>
        <w:rPr>
          <w:rFonts w:ascii="Arial" w:cs="Arial" w:eastAsia="Arial" w:hAnsi="Arial"/>
          <w:sz w:val="20"/>
          <w:szCs w:val="20"/>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187" w:lineRule="exact"/>
        <w:rPr>
          <w:sz w:val="20"/>
          <w:szCs w:val="20"/>
          <w:color w:val="auto"/>
        </w:rPr>
      </w:pPr>
    </w:p>
    <w:p>
      <w:pPr>
        <w:ind w:left="183" w:right="80" w:hanging="183"/>
        <w:spacing w:after="0" w:line="265" w:lineRule="auto"/>
        <w:tabs>
          <w:tab w:leader="none" w:pos="183" w:val="left"/>
        </w:tabs>
        <w:numPr>
          <w:ilvl w:val="0"/>
          <w:numId w:val="46"/>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competitive with a group of companies in the semiconductor industry with which we compete for executive talent;</w:t>
      </w:r>
    </w:p>
    <w:p>
      <w:pPr>
        <w:spacing w:after="0" w:line="1" w:lineRule="exact"/>
        <w:rPr>
          <w:rFonts w:ascii="Arial" w:cs="Arial" w:eastAsia="Arial" w:hAnsi="Arial"/>
          <w:sz w:val="20"/>
          <w:szCs w:val="20"/>
          <w:color w:val="auto"/>
        </w:rPr>
      </w:pPr>
    </w:p>
    <w:p>
      <w:pPr>
        <w:ind w:left="183" w:right="60" w:hanging="183"/>
        <w:spacing w:after="0" w:line="260" w:lineRule="auto"/>
        <w:tabs>
          <w:tab w:leader="none" w:pos="183" w:val="left"/>
        </w:tabs>
        <w:numPr>
          <w:ilvl w:val="0"/>
          <w:numId w:val="46"/>
        </w:numPr>
        <w:rPr>
          <w:rFonts w:ascii="Arial" w:cs="Arial" w:eastAsia="Arial" w:hAnsi="Arial"/>
          <w:sz w:val="20"/>
          <w:szCs w:val="20"/>
          <w:color w:val="auto"/>
        </w:rPr>
      </w:pPr>
      <w:r>
        <w:rPr>
          <w:rFonts w:ascii="Arial" w:cs="Arial" w:eastAsia="Arial" w:hAnsi="Arial"/>
          <w:sz w:val="20"/>
          <w:szCs w:val="20"/>
          <w:color w:val="auto"/>
        </w:rPr>
        <w:t>providing a base salary that serves as the foundation of a compensation package that attracts and retains the executive talent needed to achieve our business objectives;</w:t>
      </w:r>
    </w:p>
    <w:p>
      <w:pPr>
        <w:spacing w:after="0" w:line="2" w:lineRule="exact"/>
        <w:rPr>
          <w:rFonts w:ascii="Arial" w:cs="Arial" w:eastAsia="Arial" w:hAnsi="Arial"/>
          <w:sz w:val="20"/>
          <w:szCs w:val="20"/>
          <w:color w:val="auto"/>
        </w:rPr>
      </w:pPr>
    </w:p>
    <w:p>
      <w:pPr>
        <w:ind w:left="183" w:right="40" w:hanging="183"/>
        <w:spacing w:after="0" w:line="276" w:lineRule="auto"/>
        <w:tabs>
          <w:tab w:leader="none" w:pos="183" w:val="left"/>
        </w:tabs>
        <w:numPr>
          <w:ilvl w:val="0"/>
          <w:numId w:val="46"/>
        </w:numPr>
        <w:rPr>
          <w:rFonts w:ascii="Arial" w:cs="Arial" w:eastAsia="Arial" w:hAnsi="Arial"/>
          <w:sz w:val="19"/>
          <w:szCs w:val="19"/>
          <w:color w:val="auto"/>
        </w:rPr>
      </w:pPr>
      <w:r>
        <w:rPr>
          <w:rFonts w:ascii="Arial" w:cs="Arial" w:eastAsia="Arial" w:hAnsi="Arial"/>
          <w:sz w:val="19"/>
          <w:szCs w:val="19"/>
          <w:color w:val="auto"/>
        </w:rPr>
        <w:t>providing short-term variable compensation that motivates executives and rewards them for achieving Company financial performance targets;</w:t>
      </w:r>
    </w:p>
    <w:p>
      <w:pPr>
        <w:spacing w:after="0" w:line="2" w:lineRule="exact"/>
        <w:rPr>
          <w:rFonts w:ascii="Arial" w:cs="Arial" w:eastAsia="Arial" w:hAnsi="Arial"/>
          <w:sz w:val="19"/>
          <w:szCs w:val="19"/>
          <w:color w:val="auto"/>
        </w:rPr>
      </w:pPr>
    </w:p>
    <w:p>
      <w:pPr>
        <w:ind w:left="183" w:right="320" w:hanging="183"/>
        <w:spacing w:after="0" w:line="278" w:lineRule="auto"/>
        <w:tabs>
          <w:tab w:leader="none" w:pos="183" w:val="left"/>
        </w:tabs>
        <w:numPr>
          <w:ilvl w:val="0"/>
          <w:numId w:val="46"/>
        </w:numPr>
        <w:rPr>
          <w:rFonts w:ascii="Arial" w:cs="Arial" w:eastAsia="Arial" w:hAnsi="Arial"/>
          <w:sz w:val="19"/>
          <w:szCs w:val="19"/>
          <w:color w:val="auto"/>
        </w:rPr>
      </w:pPr>
      <w:r>
        <w:rPr>
          <w:rFonts w:ascii="Arial" w:cs="Arial" w:eastAsia="Arial" w:hAnsi="Arial"/>
          <w:sz w:val="19"/>
          <w:szCs w:val="19"/>
          <w:color w:val="auto"/>
        </w:rPr>
        <w:t>providing long-term stock-based compensation that aligns the interest of our executives with stockholders by rewarding them for long-term increases in stockholder value; and</w:t>
      </w:r>
    </w:p>
    <w:p>
      <w:pPr>
        <w:ind w:left="183" w:right="140" w:hanging="183"/>
        <w:spacing w:after="0" w:line="274" w:lineRule="auto"/>
        <w:tabs>
          <w:tab w:leader="none" w:pos="183" w:val="left"/>
        </w:tabs>
        <w:numPr>
          <w:ilvl w:val="0"/>
          <w:numId w:val="46"/>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perceived as fundamentally fair to our employees.</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Retention of Compensation Consultant</w:t>
      </w:r>
    </w:p>
    <w:p>
      <w:pPr>
        <w:spacing w:after="0" w:line="143" w:lineRule="exact"/>
        <w:rPr>
          <w:sz w:val="20"/>
          <w:szCs w:val="20"/>
          <w:color w:val="auto"/>
        </w:rPr>
      </w:pPr>
    </w:p>
    <w:p>
      <w:pPr>
        <w:ind w:left="3" w:right="100"/>
        <w:spacing w:after="0" w:line="286" w:lineRule="auto"/>
        <w:rPr>
          <w:sz w:val="20"/>
          <w:szCs w:val="20"/>
          <w:color w:val="auto"/>
        </w:rPr>
      </w:pPr>
      <w:r>
        <w:rPr>
          <w:rFonts w:ascii="Arial" w:cs="Arial" w:eastAsia="Arial" w:hAnsi="Arial"/>
          <w:sz w:val="20"/>
          <w:szCs w:val="20"/>
          <w:color w:val="auto"/>
        </w:rPr>
        <w:t>The Compensation Committee has engaged Aon to assist in determining the components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205740</wp:posOffset>
            </wp:positionV>
            <wp:extent cx="77978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398"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60" w:space="517"/>
            <w:col w:w="4523"/>
          </w:cols>
          <w:pgMar w:left="580" w:top="97" w:right="12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amount of executive compensation. Aon reports directly to the Compensation Committee, through its chairman, and the Compensation Committee retains the right to terminate or replace the consultant at any time. The Compensation Committee has considered the relationships that Aon has with the Company, the members of the Compensation Committee and our executive officers, as well as the policies that Aon has in place to maintain its independence and objectivity, and has determined that Aon’s work for the Compensation Committee has not raised any conflicts of interest. Company management also purchases published compensation and benefits surveys from Aon, and on occasion engages certain affiliates of Aon in various jurisdictions for services unrelated to executive compensation and benefits, engagements for which the Company’s management has not sought the Compensation Committee’s approval. The fees paid to Aon and its affiliates in fiscal year 2024 for these surveys and additional services did not exceed $120,000.</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Use of Comparator Group Data</w:t>
      </w:r>
    </w:p>
    <w:p>
      <w:pPr>
        <w:spacing w:after="0" w:line="143"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short-term incentives, and long-term stock-based compensation awards, as discussed in further detail below under “</w:t>
      </w:r>
      <w:r>
        <w:rPr>
          <w:rFonts w:ascii="Arial" w:cs="Arial" w:eastAsia="Arial" w:hAnsi="Arial"/>
          <w:sz w:val="19"/>
          <w:szCs w:val="19"/>
          <w:i w:val="1"/>
          <w:iCs w:val="1"/>
          <w:color w:val="auto"/>
        </w:rPr>
        <w:t>Components of Compensation</w:t>
      </w:r>
      <w:r>
        <w:rPr>
          <w:rFonts w:ascii="Arial" w:cs="Arial" w:eastAsia="Arial" w:hAnsi="Arial"/>
          <w:sz w:val="19"/>
          <w:szCs w:val="19"/>
          <w:color w:val="auto"/>
        </w:rPr>
        <w:t>.” For fiscal year 2024, the Compensation Committee approved Comparator Group data consisting of a 50/50 blend of (i) Aon survey data of semiconductor companies (where sufficient data was not available in the Aon semiconductor survey data for a given executive position, the Comparator Group data also included survey data regarding high-technology companies), and (ii) data from the group of</w:t>
      </w:r>
    </w:p>
    <w:p>
      <w:pPr>
        <w:spacing w:after="0" w:line="9"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auto"/>
        </w:rPr>
        <w:t>17 publicly traded semiconductor companies listed below.</w:t>
      </w:r>
    </w:p>
    <w:p>
      <w:pPr>
        <w:spacing w:after="0" w:line="159"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Each year the Compensation Committee engages Aon to assess the peer group. Using this information, the Compensation Committee seeks to create a peer group comprised of semiconductor companies. Consolidation within the semiconductor industry over time has resulted in fewer semiconductor companies that are of similar market capitalization and revenue as Skyworks. As a result, when considering companies to potentially include in the peer group, the Compensation Committee also considers companies in adjacent industries, such as the semiconductor manufacturing equipment industry, as well as companies with smaller or greater revenue or market capitalization than the Company, many of which are business competitors and companies with which we compete for executive talent.</w:t>
      </w:r>
    </w:p>
    <w:p>
      <w:pPr>
        <w:spacing w:after="0" w:line="628"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323"/>
        </w:trPr>
        <w:tc>
          <w:tcPr>
            <w:tcW w:w="1520" w:type="dxa"/>
            <w:vAlign w:val="bottom"/>
            <w:shd w:val="clear" w:color="auto" w:fill="0075A8"/>
          </w:tcPr>
          <w:p>
            <w:pPr>
              <w:ind w:left="40"/>
              <w:spacing w:after="0"/>
              <w:rPr>
                <w:sz w:val="20"/>
                <w:szCs w:val="20"/>
                <w:color w:val="auto"/>
              </w:rPr>
            </w:pPr>
            <w:r>
              <w:rPr>
                <w:rFonts w:ascii="Arial" w:cs="Arial" w:eastAsia="Arial" w:hAnsi="Arial"/>
                <w:sz w:val="18"/>
                <w:szCs w:val="18"/>
                <w:b w:val="1"/>
                <w:bCs w:val="1"/>
                <w:color w:val="FFFFFF"/>
              </w:rPr>
              <w:t>​</w:t>
            </w:r>
          </w:p>
        </w:tc>
        <w:tc>
          <w:tcPr>
            <w:tcW w:w="7360" w:type="dxa"/>
            <w:vAlign w:val="bottom"/>
            <w:gridSpan w:val="4"/>
            <w:shd w:val="clear" w:color="auto" w:fill="0075A8"/>
          </w:tcPr>
          <w:p>
            <w:pPr>
              <w:ind w:left="220"/>
              <w:spacing w:after="0"/>
              <w:rPr>
                <w:sz w:val="20"/>
                <w:szCs w:val="20"/>
                <w:color w:val="auto"/>
              </w:rPr>
            </w:pPr>
            <w:r>
              <w:rPr>
                <w:rFonts w:ascii="Arial" w:cs="Arial" w:eastAsia="Arial" w:hAnsi="Arial"/>
                <w:sz w:val="18"/>
                <w:szCs w:val="18"/>
                <w:b w:val="1"/>
                <w:bCs w:val="1"/>
                <w:color w:val="FFFFFF"/>
              </w:rPr>
              <w:t>Peer Group for Fiscal Year 2024 Compensation (“FY24 Peer Group”)(1)</w:t>
            </w:r>
          </w:p>
        </w:tc>
        <w:tc>
          <w:tcPr>
            <w:tcW w:w="520" w:type="dxa"/>
            <w:vAlign w:val="bottom"/>
            <w:shd w:val="clear" w:color="auto" w:fill="0075A8"/>
          </w:tcPr>
          <w:p>
            <w:pPr>
              <w:ind w:left="460"/>
              <w:spacing w:after="0"/>
              <w:rPr>
                <w:sz w:val="20"/>
                <w:szCs w:val="20"/>
                <w:color w:val="auto"/>
              </w:rPr>
            </w:pPr>
            <w:r>
              <w:rPr>
                <w:rFonts w:ascii="Arial" w:cs="Arial" w:eastAsia="Arial" w:hAnsi="Arial"/>
                <w:sz w:val="18"/>
                <w:szCs w:val="18"/>
                <w:b w:val="1"/>
                <w:bCs w:val="1"/>
                <w:color w:val="FFFFFF"/>
              </w:rPr>
              <w:t>​</w:t>
            </w:r>
          </w:p>
        </w:tc>
      </w:tr>
      <w:tr>
        <w:trPr>
          <w:trHeight w:val="96"/>
        </w:trPr>
        <w:tc>
          <w:tcPr>
            <w:tcW w:w="1520" w:type="dxa"/>
            <w:vAlign w:val="bottom"/>
            <w:shd w:val="clear" w:color="auto" w:fill="0075A8"/>
          </w:tcPr>
          <w:p>
            <w:pPr>
              <w:spacing w:after="0"/>
              <w:rPr>
                <w:sz w:val="8"/>
                <w:szCs w:val="8"/>
                <w:color w:val="auto"/>
              </w:rPr>
            </w:pPr>
          </w:p>
        </w:tc>
        <w:tc>
          <w:tcPr>
            <w:tcW w:w="520" w:type="dxa"/>
            <w:vAlign w:val="bottom"/>
            <w:shd w:val="clear" w:color="auto" w:fill="0075A8"/>
          </w:tcPr>
          <w:p>
            <w:pPr>
              <w:spacing w:after="0"/>
              <w:rPr>
                <w:sz w:val="8"/>
                <w:szCs w:val="8"/>
                <w:color w:val="auto"/>
              </w:rPr>
            </w:pPr>
          </w:p>
        </w:tc>
        <w:tc>
          <w:tcPr>
            <w:tcW w:w="2400" w:type="dxa"/>
            <w:vAlign w:val="bottom"/>
            <w:shd w:val="clear" w:color="auto" w:fill="0075A8"/>
          </w:tcPr>
          <w:p>
            <w:pPr>
              <w:spacing w:after="0"/>
              <w:rPr>
                <w:sz w:val="8"/>
                <w:szCs w:val="8"/>
                <w:color w:val="auto"/>
              </w:rPr>
            </w:pPr>
          </w:p>
        </w:tc>
        <w:tc>
          <w:tcPr>
            <w:tcW w:w="2160" w:type="dxa"/>
            <w:vAlign w:val="bottom"/>
            <w:shd w:val="clear" w:color="auto" w:fill="0075A8"/>
          </w:tcPr>
          <w:p>
            <w:pPr>
              <w:spacing w:after="0"/>
              <w:rPr>
                <w:sz w:val="8"/>
                <w:szCs w:val="8"/>
                <w:color w:val="auto"/>
              </w:rPr>
            </w:pPr>
          </w:p>
        </w:tc>
        <w:tc>
          <w:tcPr>
            <w:tcW w:w="2280" w:type="dxa"/>
            <w:vAlign w:val="bottom"/>
            <w:shd w:val="clear" w:color="auto" w:fill="0075A8"/>
          </w:tcPr>
          <w:p>
            <w:pPr>
              <w:spacing w:after="0"/>
              <w:rPr>
                <w:sz w:val="8"/>
                <w:szCs w:val="8"/>
                <w:color w:val="auto"/>
              </w:rPr>
            </w:pPr>
          </w:p>
        </w:tc>
        <w:tc>
          <w:tcPr>
            <w:tcW w:w="520" w:type="dxa"/>
            <w:vAlign w:val="bottom"/>
            <w:shd w:val="clear" w:color="auto" w:fill="0075A8"/>
          </w:tcPr>
          <w:p>
            <w:pPr>
              <w:spacing w:after="0"/>
              <w:rPr>
                <w:sz w:val="8"/>
                <w:szCs w:val="8"/>
                <w:color w:val="auto"/>
              </w:rPr>
            </w:pPr>
          </w:p>
        </w:tc>
      </w:tr>
      <w:tr>
        <w:trPr>
          <w:trHeight w:val="295"/>
        </w:trPr>
        <w:tc>
          <w:tcPr>
            <w:tcW w:w="204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 Advanced Micro Devices</w:t>
            </w:r>
          </w:p>
        </w:tc>
        <w:tc>
          <w:tcPr>
            <w:tcW w:w="24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 ​ Marvell Technology</w:t>
            </w:r>
          </w:p>
        </w:tc>
        <w:tc>
          <w:tcPr>
            <w:tcW w:w="21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 ​ ON Semiconductor</w:t>
            </w:r>
          </w:p>
        </w:tc>
        <w:tc>
          <w:tcPr>
            <w:tcW w:w="2280" w:type="dxa"/>
            <w:vAlign w:val="bottom"/>
            <w:shd w:val="clear" w:color="auto" w:fill="E5E5E5"/>
          </w:tcPr>
          <w:p>
            <w:pPr>
              <w:ind w:left="340"/>
              <w:spacing w:after="0"/>
              <w:rPr>
                <w:sz w:val="20"/>
                <w:szCs w:val="20"/>
                <w:color w:val="auto"/>
              </w:rPr>
            </w:pPr>
            <w:r>
              <w:rPr>
                <w:rFonts w:ascii="Arial" w:cs="Arial" w:eastAsia="Arial" w:hAnsi="Arial"/>
                <w:sz w:val="16"/>
                <w:szCs w:val="16"/>
                <w:color w:val="auto"/>
              </w:rPr>
              <w:t>​ ​ Texas Instruments</w:t>
            </w:r>
          </w:p>
        </w:tc>
        <w:tc>
          <w:tcPr>
            <w:tcW w:w="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r>
      <w:tr>
        <w:trPr>
          <w:trHeight w:val="97"/>
        </w:trPr>
        <w:tc>
          <w:tcPr>
            <w:tcW w:w="152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c>
          <w:tcPr>
            <w:tcW w:w="2400" w:type="dxa"/>
            <w:vAlign w:val="bottom"/>
            <w:shd w:val="clear" w:color="auto" w:fill="E5E5E5"/>
          </w:tcPr>
          <w:p>
            <w:pPr>
              <w:spacing w:after="0"/>
              <w:rPr>
                <w:sz w:val="8"/>
                <w:szCs w:val="8"/>
                <w:color w:val="auto"/>
              </w:rPr>
            </w:pPr>
          </w:p>
        </w:tc>
        <w:tc>
          <w:tcPr>
            <w:tcW w:w="2160" w:type="dxa"/>
            <w:vAlign w:val="bottom"/>
            <w:shd w:val="clear" w:color="auto" w:fill="E5E5E5"/>
          </w:tcPr>
          <w:p>
            <w:pPr>
              <w:spacing w:after="0"/>
              <w:rPr>
                <w:sz w:val="8"/>
                <w:szCs w:val="8"/>
                <w:color w:val="auto"/>
              </w:rPr>
            </w:pPr>
          </w:p>
        </w:tc>
        <w:tc>
          <w:tcPr>
            <w:tcW w:w="228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r>
      <w:tr>
        <w:trPr>
          <w:trHeight w:val="295"/>
        </w:trPr>
        <w:tc>
          <w:tcPr>
            <w:tcW w:w="1520" w:type="dxa"/>
            <w:vAlign w:val="bottom"/>
          </w:tcPr>
          <w:p>
            <w:pPr>
              <w:spacing w:after="0"/>
              <w:rPr>
                <w:sz w:val="20"/>
                <w:szCs w:val="20"/>
                <w:color w:val="auto"/>
              </w:rPr>
            </w:pPr>
            <w:r>
              <w:rPr>
                <w:rFonts w:ascii="Arial" w:cs="Arial" w:eastAsia="Arial" w:hAnsi="Arial"/>
                <w:sz w:val="16"/>
                <w:szCs w:val="16"/>
                <w:color w:val="auto"/>
              </w:rPr>
              <w:t>​ Analog Devices</w:t>
            </w:r>
          </w:p>
        </w:tc>
        <w:tc>
          <w:tcPr>
            <w:tcW w:w="52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 ​ Microchip Technology</w:t>
            </w:r>
          </w:p>
        </w:tc>
        <w:tc>
          <w:tcPr>
            <w:tcW w:w="2160" w:type="dxa"/>
            <w:vAlign w:val="bottom"/>
          </w:tcPr>
          <w:p>
            <w:pPr>
              <w:ind w:left="140"/>
              <w:spacing w:after="0"/>
              <w:rPr>
                <w:sz w:val="20"/>
                <w:szCs w:val="20"/>
                <w:color w:val="auto"/>
              </w:rPr>
            </w:pPr>
            <w:r>
              <w:rPr>
                <w:rFonts w:ascii="Arial" w:cs="Arial" w:eastAsia="Arial" w:hAnsi="Arial"/>
                <w:sz w:val="16"/>
                <w:szCs w:val="16"/>
                <w:color w:val="auto"/>
              </w:rPr>
              <w:t>​ ​ Qorvo</w:t>
            </w:r>
          </w:p>
        </w:tc>
        <w:tc>
          <w:tcPr>
            <w:tcW w:w="2280" w:type="dxa"/>
            <w:vAlign w:val="bottom"/>
          </w:tcPr>
          <w:p>
            <w:pPr>
              <w:ind w:left="340"/>
              <w:spacing w:after="0"/>
              <w:rPr>
                <w:sz w:val="20"/>
                <w:szCs w:val="20"/>
                <w:color w:val="auto"/>
              </w:rPr>
            </w:pPr>
            <w:r>
              <w:rPr>
                <w:rFonts w:ascii="Arial" w:cs="Arial" w:eastAsia="Arial" w:hAnsi="Arial"/>
                <w:sz w:val="16"/>
                <w:szCs w:val="16"/>
                <w:color w:val="auto"/>
              </w:rPr>
              <w:t>​ ​ Western Digital</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96"/>
        </w:trPr>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95"/>
        </w:trPr>
        <w:tc>
          <w:tcPr>
            <w:tcW w:w="1520" w:type="dxa"/>
            <w:vAlign w:val="bottom"/>
            <w:shd w:val="clear" w:color="auto" w:fill="E5E5E5"/>
          </w:tcPr>
          <w:p>
            <w:pPr>
              <w:spacing w:after="0"/>
              <w:rPr>
                <w:sz w:val="20"/>
                <w:szCs w:val="20"/>
                <w:color w:val="auto"/>
              </w:rPr>
            </w:pPr>
            <w:r>
              <w:rPr>
                <w:rFonts w:ascii="Arial" w:cs="Arial" w:eastAsia="Arial" w:hAnsi="Arial"/>
                <w:sz w:val="16"/>
                <w:szCs w:val="16"/>
                <w:color w:val="auto"/>
              </w:rPr>
              <w:t>​ Entegris</w:t>
            </w:r>
          </w:p>
        </w:tc>
        <w:tc>
          <w:tcPr>
            <w:tcW w:w="520" w:type="dxa"/>
            <w:vAlign w:val="bottom"/>
            <w:shd w:val="clear" w:color="auto" w:fill="E5E5E5"/>
          </w:tcPr>
          <w:p>
            <w:pPr>
              <w:spacing w:after="0"/>
              <w:rPr>
                <w:sz w:val="24"/>
                <w:szCs w:val="24"/>
                <w:color w:val="auto"/>
              </w:rPr>
            </w:pPr>
          </w:p>
        </w:tc>
        <w:tc>
          <w:tcPr>
            <w:tcW w:w="24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 ​ Micron Technology</w:t>
            </w:r>
          </w:p>
        </w:tc>
        <w:tc>
          <w:tcPr>
            <w:tcW w:w="21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 ​ QUALCOMM</w:t>
            </w:r>
          </w:p>
        </w:tc>
        <w:tc>
          <w:tcPr>
            <w:tcW w:w="2280" w:type="dxa"/>
            <w:vAlign w:val="bottom"/>
            <w:shd w:val="clear" w:color="auto" w:fill="E5E5E5"/>
          </w:tcPr>
          <w:p>
            <w:pPr>
              <w:ind w:left="340"/>
              <w:spacing w:after="0"/>
              <w:rPr>
                <w:sz w:val="20"/>
                <w:szCs w:val="20"/>
                <w:color w:val="auto"/>
              </w:rPr>
            </w:pPr>
            <w:r>
              <w:rPr>
                <w:rFonts w:ascii="Arial" w:cs="Arial" w:eastAsia="Arial" w:hAnsi="Arial"/>
                <w:sz w:val="16"/>
                <w:szCs w:val="16"/>
                <w:color w:val="auto"/>
              </w:rPr>
              <w:t>​ ​ ​</w:t>
            </w:r>
          </w:p>
        </w:tc>
        <w:tc>
          <w:tcPr>
            <w:tcW w:w="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r>
      <w:tr>
        <w:trPr>
          <w:trHeight w:val="97"/>
        </w:trPr>
        <w:tc>
          <w:tcPr>
            <w:tcW w:w="152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c>
          <w:tcPr>
            <w:tcW w:w="2400" w:type="dxa"/>
            <w:vAlign w:val="bottom"/>
            <w:shd w:val="clear" w:color="auto" w:fill="E5E5E5"/>
          </w:tcPr>
          <w:p>
            <w:pPr>
              <w:spacing w:after="0"/>
              <w:rPr>
                <w:sz w:val="8"/>
                <w:szCs w:val="8"/>
                <w:color w:val="auto"/>
              </w:rPr>
            </w:pPr>
          </w:p>
        </w:tc>
        <w:tc>
          <w:tcPr>
            <w:tcW w:w="2160" w:type="dxa"/>
            <w:vAlign w:val="bottom"/>
            <w:shd w:val="clear" w:color="auto" w:fill="E5E5E5"/>
          </w:tcPr>
          <w:p>
            <w:pPr>
              <w:spacing w:after="0"/>
              <w:rPr>
                <w:sz w:val="8"/>
                <w:szCs w:val="8"/>
                <w:color w:val="auto"/>
              </w:rPr>
            </w:pPr>
          </w:p>
        </w:tc>
        <w:tc>
          <w:tcPr>
            <w:tcW w:w="228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r>
      <w:tr>
        <w:trPr>
          <w:trHeight w:val="295"/>
        </w:trPr>
        <w:tc>
          <w:tcPr>
            <w:tcW w:w="1520" w:type="dxa"/>
            <w:vAlign w:val="bottom"/>
          </w:tcPr>
          <w:p>
            <w:pPr>
              <w:spacing w:after="0"/>
              <w:rPr>
                <w:sz w:val="20"/>
                <w:szCs w:val="20"/>
                <w:color w:val="auto"/>
              </w:rPr>
            </w:pPr>
            <w:r>
              <w:rPr>
                <w:rFonts w:ascii="Arial" w:cs="Arial" w:eastAsia="Arial" w:hAnsi="Arial"/>
                <w:sz w:val="16"/>
                <w:szCs w:val="16"/>
                <w:color w:val="auto"/>
              </w:rPr>
              <w:t>​ KLA Corporation</w:t>
            </w:r>
          </w:p>
        </w:tc>
        <w:tc>
          <w:tcPr>
            <w:tcW w:w="52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 ​ Monolithic Power Systems</w:t>
            </w:r>
          </w:p>
        </w:tc>
        <w:tc>
          <w:tcPr>
            <w:tcW w:w="2160" w:type="dxa"/>
            <w:vAlign w:val="bottom"/>
          </w:tcPr>
          <w:p>
            <w:pPr>
              <w:ind w:left="140"/>
              <w:spacing w:after="0"/>
              <w:rPr>
                <w:sz w:val="20"/>
                <w:szCs w:val="20"/>
                <w:color w:val="auto"/>
              </w:rPr>
            </w:pPr>
            <w:r>
              <w:rPr>
                <w:rFonts w:ascii="Arial" w:cs="Arial" w:eastAsia="Arial" w:hAnsi="Arial"/>
                <w:sz w:val="16"/>
                <w:szCs w:val="16"/>
                <w:color w:val="auto"/>
              </w:rPr>
              <w:t>​ ​ Seagate Technology</w:t>
            </w:r>
          </w:p>
        </w:tc>
        <w:tc>
          <w:tcPr>
            <w:tcW w:w="2280" w:type="dxa"/>
            <w:vAlign w:val="bottom"/>
          </w:tcPr>
          <w:p>
            <w:pPr>
              <w:ind w:left="340"/>
              <w:spacing w:after="0"/>
              <w:rPr>
                <w:sz w:val="20"/>
                <w:szCs w:val="20"/>
                <w:color w:val="auto"/>
              </w:rPr>
            </w:pPr>
            <w:r>
              <w:rPr>
                <w:rFonts w:ascii="Arial" w:cs="Arial" w:eastAsia="Arial" w:hAnsi="Arial"/>
                <w:sz w:val="16"/>
                <w:szCs w:val="16"/>
                <w:color w:val="auto"/>
              </w:rPr>
              <w:t>​ ​ ​</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96"/>
        </w:trPr>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322"/>
        </w:trPr>
        <w:tc>
          <w:tcPr>
            <w:tcW w:w="1520" w:type="dxa"/>
            <w:vAlign w:val="bottom"/>
            <w:shd w:val="clear" w:color="auto" w:fill="E5E5E5"/>
          </w:tcPr>
          <w:p>
            <w:pPr>
              <w:spacing w:after="0"/>
              <w:rPr>
                <w:sz w:val="20"/>
                <w:szCs w:val="20"/>
                <w:color w:val="auto"/>
              </w:rPr>
            </w:pPr>
            <w:r>
              <w:rPr>
                <w:rFonts w:ascii="Arial" w:cs="Arial" w:eastAsia="Arial" w:hAnsi="Arial"/>
                <w:sz w:val="16"/>
                <w:szCs w:val="16"/>
                <w:color w:val="auto"/>
              </w:rPr>
              <w:t>​ Lam Research</w:t>
            </w:r>
          </w:p>
        </w:tc>
        <w:tc>
          <w:tcPr>
            <w:tcW w:w="520" w:type="dxa"/>
            <w:vAlign w:val="bottom"/>
            <w:shd w:val="clear" w:color="auto" w:fill="E5E5E5"/>
          </w:tcPr>
          <w:p>
            <w:pPr>
              <w:spacing w:after="0"/>
              <w:rPr>
                <w:sz w:val="24"/>
                <w:szCs w:val="24"/>
                <w:color w:val="auto"/>
              </w:rPr>
            </w:pPr>
          </w:p>
        </w:tc>
        <w:tc>
          <w:tcPr>
            <w:tcW w:w="24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 ​ NXP Semiconductors</w:t>
            </w:r>
          </w:p>
        </w:tc>
        <w:tc>
          <w:tcPr>
            <w:tcW w:w="21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 ​ Teradyne</w:t>
            </w:r>
          </w:p>
        </w:tc>
        <w:tc>
          <w:tcPr>
            <w:tcW w:w="2280" w:type="dxa"/>
            <w:vAlign w:val="bottom"/>
            <w:shd w:val="clear" w:color="auto" w:fill="E5E5E5"/>
          </w:tcPr>
          <w:p>
            <w:pPr>
              <w:ind w:left="340"/>
              <w:spacing w:after="0"/>
              <w:rPr>
                <w:sz w:val="20"/>
                <w:szCs w:val="20"/>
                <w:color w:val="auto"/>
              </w:rPr>
            </w:pPr>
            <w:r>
              <w:rPr>
                <w:rFonts w:ascii="Arial" w:cs="Arial" w:eastAsia="Arial" w:hAnsi="Arial"/>
                <w:sz w:val="16"/>
                <w:szCs w:val="16"/>
                <w:color w:val="auto"/>
              </w:rPr>
              <w:t>​ ​ ​</w:t>
            </w:r>
          </w:p>
        </w:tc>
        <w:tc>
          <w:tcPr>
            <w:tcW w:w="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r>
      <w:tr>
        <w:trPr>
          <w:trHeight w:val="124"/>
        </w:trPr>
        <w:tc>
          <w:tcPr>
            <w:tcW w:w="1520" w:type="dxa"/>
            <w:vAlign w:val="bottom"/>
            <w:tcBorders>
              <w:bottom w:val="single" w:sz="8" w:color="CCCCCC"/>
            </w:tcBorders>
            <w:shd w:val="clear" w:color="auto" w:fill="E5E5E5"/>
          </w:tcPr>
          <w:p>
            <w:pPr>
              <w:spacing w:after="0"/>
              <w:rPr>
                <w:sz w:val="10"/>
                <w:szCs w:val="10"/>
                <w:color w:val="auto"/>
              </w:rPr>
            </w:pPr>
          </w:p>
        </w:tc>
        <w:tc>
          <w:tcPr>
            <w:tcW w:w="520" w:type="dxa"/>
            <w:vAlign w:val="bottom"/>
            <w:tcBorders>
              <w:bottom w:val="single" w:sz="8" w:color="CCCCCC"/>
            </w:tcBorders>
            <w:shd w:val="clear" w:color="auto" w:fill="E5E5E5"/>
          </w:tcPr>
          <w:p>
            <w:pPr>
              <w:spacing w:after="0"/>
              <w:rPr>
                <w:sz w:val="10"/>
                <w:szCs w:val="10"/>
                <w:color w:val="auto"/>
              </w:rPr>
            </w:pPr>
          </w:p>
        </w:tc>
        <w:tc>
          <w:tcPr>
            <w:tcW w:w="2400" w:type="dxa"/>
            <w:vAlign w:val="bottom"/>
            <w:tcBorders>
              <w:bottom w:val="single" w:sz="8" w:color="CCCCCC"/>
            </w:tcBorders>
            <w:shd w:val="clear" w:color="auto" w:fill="E5E5E5"/>
          </w:tcPr>
          <w:p>
            <w:pPr>
              <w:spacing w:after="0"/>
              <w:rPr>
                <w:sz w:val="10"/>
                <w:szCs w:val="10"/>
                <w:color w:val="auto"/>
              </w:rPr>
            </w:pPr>
          </w:p>
        </w:tc>
        <w:tc>
          <w:tcPr>
            <w:tcW w:w="2160" w:type="dxa"/>
            <w:vAlign w:val="bottom"/>
            <w:tcBorders>
              <w:bottom w:val="single" w:sz="8" w:color="CCCCCC"/>
            </w:tcBorders>
            <w:shd w:val="clear" w:color="auto" w:fill="E5E5E5"/>
          </w:tcPr>
          <w:p>
            <w:pPr>
              <w:spacing w:after="0"/>
              <w:rPr>
                <w:sz w:val="10"/>
                <w:szCs w:val="10"/>
                <w:color w:val="auto"/>
              </w:rPr>
            </w:pPr>
          </w:p>
        </w:tc>
        <w:tc>
          <w:tcPr>
            <w:tcW w:w="2280" w:type="dxa"/>
            <w:vAlign w:val="bottom"/>
            <w:tcBorders>
              <w:bottom w:val="single" w:sz="8" w:color="CCCCCC"/>
            </w:tcBorders>
            <w:shd w:val="clear" w:color="auto" w:fill="E5E5E5"/>
          </w:tcPr>
          <w:p>
            <w:pPr>
              <w:spacing w:after="0"/>
              <w:rPr>
                <w:sz w:val="10"/>
                <w:szCs w:val="10"/>
                <w:color w:val="auto"/>
              </w:rPr>
            </w:pPr>
          </w:p>
        </w:tc>
        <w:tc>
          <w:tcPr>
            <w:tcW w:w="520" w:type="dxa"/>
            <w:vAlign w:val="bottom"/>
            <w:tcBorders>
              <w:bottom w:val="single" w:sz="8" w:color="CCCCCC"/>
            </w:tcBorders>
            <w:shd w:val="clear" w:color="auto" w:fill="E5E5E5"/>
          </w:tcPr>
          <w:p>
            <w:pPr>
              <w:spacing w:after="0"/>
              <w:rPr>
                <w:sz w:val="10"/>
                <w:szCs w:val="10"/>
                <w:color w:val="auto"/>
              </w:rPr>
            </w:pPr>
          </w:p>
        </w:tc>
      </w:tr>
    </w:tbl>
    <w:p>
      <w:pPr>
        <w:spacing w:after="0" w:line="150" w:lineRule="exact"/>
        <w:rPr>
          <w:sz w:val="20"/>
          <w:szCs w:val="20"/>
          <w:color w:val="auto"/>
        </w:rPr>
      </w:pPr>
    </w:p>
    <w:p>
      <w:pPr>
        <w:ind w:left="1080" w:right="240" w:hanging="354"/>
        <w:spacing w:after="0" w:line="270" w:lineRule="auto"/>
        <w:tabs>
          <w:tab w:leader="none" w:pos="108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For the Company’s fiscal year 2024 compensation program, we made adjustments to our peer group from the prior fiscal year based on several factors to improve comparability, in part in response to stockholder feedback. Specifically, we added Seagate Technology and Teradyne. At the time that changes to the peer group were considered, both new additions had lower market capitalizations measured on a 30-day average as of March 17, 2023, as compared to the Company.</w:t>
      </w:r>
    </w:p>
    <w:p>
      <w:pPr>
        <w:spacing w:after="0" w:line="32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8" w:lineRule="exact"/>
        <w:rPr>
          <w:sz w:val="20"/>
          <w:szCs w:val="20"/>
          <w:color w:val="auto"/>
        </w:rPr>
      </w:pPr>
    </w:p>
    <w:p>
      <w:pPr>
        <w:ind w:left="660"/>
        <w:spacing w:after="0" w:line="245" w:lineRule="auto"/>
        <w:rPr>
          <w:sz w:val="20"/>
          <w:szCs w:val="20"/>
          <w:color w:val="auto"/>
        </w:rPr>
      </w:pPr>
      <w:r>
        <w:rPr>
          <w:rFonts w:ascii="Arial" w:cs="Arial" w:eastAsia="Arial" w:hAnsi="Arial"/>
          <w:sz w:val="20"/>
          <w:szCs w:val="20"/>
          <w:color w:val="auto"/>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 the Compensation Committee established (and the full Board was advised of) the base salary, short-term incentive target, and stock-based compensation for each Named Executive Officer for fiscal year 2024. Aon advised the Compensation Committee that such components of executive compensation for fiscal year 2024 were competitive for chief executive officers and other executive officers at companies of similar size and complexity in the semiconductor industry.</w:t>
      </w:r>
    </w:p>
    <w:p>
      <w:pPr>
        <w:spacing w:after="0" w:line="194" w:lineRule="exact"/>
        <w:rPr>
          <w:sz w:val="20"/>
          <w:szCs w:val="20"/>
          <w:color w:val="auto"/>
        </w:rPr>
      </w:pPr>
    </w:p>
    <w:p>
      <w:pPr>
        <w:ind w:left="660" w:right="620"/>
        <w:spacing w:after="0" w:line="250" w:lineRule="auto"/>
        <w:rPr>
          <w:sz w:val="20"/>
          <w:szCs w:val="20"/>
          <w:color w:val="auto"/>
        </w:rPr>
      </w:pPr>
      <w:r>
        <w:rPr>
          <w:rFonts w:ascii="Arial" w:cs="Arial" w:eastAsia="Arial" w:hAnsi="Arial"/>
          <w:sz w:val="20"/>
          <w:szCs w:val="20"/>
          <w:color w:val="auto"/>
        </w:rPr>
        <w:t>In determining the compensation of our Chief Executive Officer for fiscal year 2024, the Compensation Committee focused on</w:t>
      </w:r>
    </w:p>
    <w:p>
      <w:pPr>
        <w:spacing w:after="0" w:line="1" w:lineRule="exact"/>
        <w:rPr>
          <w:sz w:val="20"/>
          <w:szCs w:val="20"/>
          <w:color w:val="auto"/>
        </w:rPr>
      </w:pPr>
    </w:p>
    <w:p>
      <w:pPr>
        <w:ind w:left="660" w:right="200" w:hanging="6"/>
        <w:spacing w:after="0" w:line="257" w:lineRule="auto"/>
        <w:tabs>
          <w:tab w:leader="none" w:pos="883"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w:t>
      </w:r>
    </w:p>
    <w:p>
      <w:pPr>
        <w:spacing w:after="0" w:line="4" w:lineRule="exact"/>
        <w:rPr>
          <w:rFonts w:ascii="Arial" w:cs="Arial" w:eastAsia="Arial" w:hAnsi="Arial"/>
          <w:sz w:val="19"/>
          <w:szCs w:val="19"/>
          <w:color w:val="auto"/>
        </w:rPr>
      </w:pPr>
    </w:p>
    <w:p>
      <w:pPr>
        <w:ind w:left="660" w:right="120" w:hanging="6"/>
        <w:spacing w:after="0" w:line="263" w:lineRule="auto"/>
        <w:tabs>
          <w:tab w:leader="none" w:pos="9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p>
    <w:p>
      <w:pPr>
        <w:spacing w:after="0" w:line="165" w:lineRule="exact"/>
        <w:rPr>
          <w:sz w:val="20"/>
          <w:szCs w:val="20"/>
          <w:color w:val="auto"/>
        </w:rPr>
      </w:pPr>
    </w:p>
    <w:p>
      <w:pPr>
        <w:ind w:left="660" w:right="20"/>
        <w:spacing w:after="0" w:line="261" w:lineRule="auto"/>
        <w:rPr>
          <w:sz w:val="20"/>
          <w:szCs w:val="20"/>
          <w:color w:val="auto"/>
        </w:rPr>
      </w:pPr>
      <w:r>
        <w:rPr>
          <w:rFonts w:ascii="Arial" w:cs="Arial" w:eastAsia="Arial" w:hAnsi="Arial"/>
          <w:sz w:val="19"/>
          <w:szCs w:val="19"/>
          <w:color w:val="auto"/>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Components of Compensation</w:t>
      </w:r>
    </w:p>
    <w:p>
      <w:pPr>
        <w:spacing w:after="0" w:line="137"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key elements of compensation for our Named Executive Officers are base salary, short-term incentives, long-term stock-based incentives, and health and welfare benefits. For fiscal year 2024,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Base Salary</w:t>
      </w:r>
    </w:p>
    <w:p>
      <w:pPr>
        <w:spacing w:after="0" w:line="143"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auto"/>
        </w:rPr>
        <w:t>The Compensation Committee annually determines a competitive base salary for each executive officer using the Comparator Group data and input provided by Aon. Base salaries are intended to attract and retain talented executives, recognize individual roles and responsibilities and provide stable income to executives. In order to provide flexibility in consideration of differences in an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 The base salary for the Chief Executive Officer for fiscal year 2024 was unchanged from fiscal year 2023. The base salary increase for fiscal year 2024 for each other Named Executive Officer, as reflected in the table below, was based on the market-based salary adjustments recommended by Aon, as well as recommendations by the Chief Executive Officer and consideration of the scope of duties for such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2846070" cy="291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58"/>
              <w:spacing w:after="0"/>
              <w:rPr>
                <w:sz w:val="20"/>
                <w:szCs w:val="20"/>
                <w:color w:val="auto"/>
              </w:rPr>
            </w:pPr>
            <w:r>
              <w:rPr>
                <w:rFonts w:ascii="Arial" w:cs="Arial" w:eastAsia="Arial" w:hAnsi="Arial"/>
                <w:sz w:val="18"/>
                <w:szCs w:val="18"/>
                <w:b w:val="1"/>
                <w:bCs w:val="1"/>
                <w:color w:val="FFFFFF"/>
                <w:w w:val="95"/>
              </w:rPr>
              <w:t>FY2024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Arial" w:cs="Arial" w:eastAsia="Arial" w:hAnsi="Arial"/>
                <w:sz w:val="18"/>
                <w:szCs w:val="18"/>
                <w:b w:val="1"/>
                <w:bCs w:val="1"/>
                <w:color w:val="FFFFFF"/>
                <w:w w:val="95"/>
              </w:rPr>
              <w:t>FY2023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40" w:type="dxa"/>
            <w:vAlign w:val="bottom"/>
          </w:tcPr>
          <w:p>
            <w:pPr>
              <w:jc w:val="right"/>
              <w:ind w:right="1178"/>
              <w:spacing w:after="0"/>
              <w:rPr>
                <w:sz w:val="20"/>
                <w:szCs w:val="20"/>
                <w:color w:val="auto"/>
              </w:rPr>
            </w:pPr>
            <w:r>
              <w:rPr>
                <w:rFonts w:ascii="Arial" w:cs="Arial" w:eastAsia="Arial" w:hAnsi="Arial"/>
                <w:sz w:val="18"/>
                <w:szCs w:val="18"/>
                <w:b w:val="1"/>
                <w:bCs w:val="1"/>
                <w:color w:val="FFFFFF"/>
              </w:rPr>
              <w:t>​​</w:t>
            </w:r>
          </w:p>
        </w:tc>
        <w:tc>
          <w:tcPr>
            <w:tcW w:w="3180" w:type="dxa"/>
            <w:vAlign w:val="bottom"/>
            <w:gridSpan w:val="7"/>
          </w:tcPr>
          <w:p>
            <w:pPr>
              <w:jc w:val="right"/>
              <w:spacing w:after="0"/>
              <w:rPr>
                <w:sz w:val="20"/>
                <w:szCs w:val="20"/>
                <w:color w:val="auto"/>
              </w:rPr>
            </w:pPr>
            <w:r>
              <w:rPr>
                <w:rFonts w:ascii="Arial" w:cs="Arial" w:eastAsia="Arial" w:hAnsi="Arial"/>
                <w:sz w:val="18"/>
                <w:szCs w:val="18"/>
                <w:b w:val="1"/>
                <w:bCs w:val="1"/>
                <w:color w:val="FFFFFF"/>
              </w:rPr>
              <w:t>​ ​Base Salary ($) ​ ​Base Salary ($) ​</w:t>
            </w:r>
          </w:p>
        </w:tc>
        <w:tc>
          <w:tcPr>
            <w:tcW w:w="0" w:type="dxa"/>
            <w:vAlign w:val="bottom"/>
          </w:tcPr>
          <w:p>
            <w:pPr>
              <w:spacing w:after="0"/>
              <w:rPr>
                <w:sz w:val="1"/>
                <w:szCs w:val="1"/>
                <w:color w:val="auto"/>
              </w:rPr>
            </w:pPr>
          </w:p>
        </w:tc>
      </w:tr>
      <w:tr>
        <w:trPr>
          <w:trHeight w:val="216"/>
        </w:trPr>
        <w:tc>
          <w:tcPr>
            <w:tcW w:w="1340" w:type="dxa"/>
            <w:vAlign w:val="bottom"/>
          </w:tcPr>
          <w:p>
            <w:pPr>
              <w:ind w:left="60"/>
              <w:spacing w:after="0"/>
              <w:rPr>
                <w:sz w:val="20"/>
                <w:szCs w:val="20"/>
                <w:color w:val="auto"/>
              </w:rPr>
            </w:pPr>
            <w:r>
              <w:rPr>
                <w:rFonts w:ascii="Arial" w:cs="Arial" w:eastAsia="Arial" w:hAnsi="Arial"/>
                <w:sz w:val="16"/>
                <w:szCs w:val="16"/>
                <w:color w:val="auto"/>
              </w:rPr>
              <w:t>Liam K. Griffin</w:t>
            </w: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120" w:type="dxa"/>
            <w:vAlign w:val="bottom"/>
            <w:gridSpan w:val="2"/>
          </w:tcPr>
          <w:p>
            <w:pPr>
              <w:jc w:val="right"/>
              <w:ind w:right="118"/>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1,175,000​</w:t>
            </w:r>
          </w:p>
        </w:tc>
        <w:tc>
          <w:tcPr>
            <w:tcW w:w="340" w:type="dxa"/>
            <w:vAlign w:val="bottom"/>
            <w:vMerge w:val="restart"/>
          </w:tcPr>
          <w:p>
            <w:pPr>
              <w:spacing w:after="0"/>
              <w:rPr>
                <w:sz w:val="20"/>
                <w:szCs w:val="20"/>
                <w:color w:val="auto"/>
              </w:rPr>
            </w:pPr>
            <w:r>
              <w:rPr>
                <w:rFonts w:ascii="Arial" w:cs="Arial" w:eastAsia="Arial" w:hAnsi="Arial"/>
                <w:sz w:val="16"/>
                <w:szCs w:val="16"/>
                <w:color w:val="auto"/>
              </w:rPr>
              <w:t>​ ​ ​</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1,175,000​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340" w:type="dxa"/>
            <w:vAlign w:val="bottom"/>
          </w:tcPr>
          <w:p>
            <w:pPr>
              <w:jc w:val="right"/>
              <w:ind w:right="1178"/>
              <w:spacing w:after="0" w:line="54" w:lineRule="exact"/>
              <w:rPr>
                <w:sz w:val="20"/>
                <w:szCs w:val="20"/>
                <w:color w:val="auto"/>
              </w:rPr>
            </w:pPr>
            <w:r>
              <w:rPr>
                <w:rFonts w:ascii="Arial" w:cs="Arial" w:eastAsia="Arial" w:hAnsi="Arial"/>
                <w:sz w:val="6"/>
                <w:szCs w:val="6"/>
                <w:color w:val="auto"/>
              </w:rPr>
              <w:t>​</w:t>
            </w:r>
          </w:p>
        </w:tc>
        <w:tc>
          <w:tcPr>
            <w:tcW w:w="5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60"/>
              <w:spacing w:after="0"/>
              <w:rPr>
                <w:sz w:val="20"/>
                <w:szCs w:val="20"/>
                <w:color w:val="auto"/>
              </w:rPr>
            </w:pPr>
            <w:r>
              <w:rPr>
                <w:rFonts w:ascii="Arial" w:cs="Arial" w:eastAsia="Arial" w:hAnsi="Arial"/>
                <w:sz w:val="16"/>
                <w:szCs w:val="16"/>
                <w:color w:val="auto"/>
              </w:rPr>
              <w:t>Kris Sennesael</w:t>
            </w: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8"/>
              <w:spacing w:after="0"/>
              <w:rPr>
                <w:sz w:val="20"/>
                <w:szCs w:val="20"/>
                <w:color w:val="auto"/>
              </w:rPr>
            </w:pPr>
            <w:r>
              <w:rPr>
                <w:rFonts w:ascii="Arial" w:cs="Arial" w:eastAsia="Arial" w:hAnsi="Arial"/>
                <w:sz w:val="16"/>
                <w:szCs w:val="16"/>
                <w:color w:val="auto"/>
              </w:rPr>
              <w:t>630,000​</w:t>
            </w:r>
          </w:p>
        </w:tc>
        <w:tc>
          <w:tcPr>
            <w:tcW w:w="340" w:type="dxa"/>
            <w:vAlign w:val="bottom"/>
            <w:vMerge w:val="restart"/>
          </w:tcPr>
          <w:p>
            <w:pPr>
              <w:spacing w:after="0"/>
              <w:rPr>
                <w:sz w:val="20"/>
                <w:szCs w:val="20"/>
                <w:color w:val="auto"/>
              </w:rPr>
            </w:pPr>
            <w:r>
              <w:rPr>
                <w:rFonts w:ascii="Arial" w:cs="Arial" w:eastAsia="Arial" w:hAnsi="Arial"/>
                <w:sz w:val="16"/>
                <w:szCs w:val="16"/>
                <w:color w:val="auto"/>
              </w:rPr>
              <w:t>​ ​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606,000​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340" w:type="dxa"/>
            <w:vAlign w:val="bottom"/>
          </w:tcPr>
          <w:p>
            <w:pPr>
              <w:jc w:val="right"/>
              <w:ind w:right="1178"/>
              <w:spacing w:after="0" w:line="54" w:lineRule="exact"/>
              <w:rPr>
                <w:sz w:val="20"/>
                <w:szCs w:val="20"/>
                <w:color w:val="auto"/>
              </w:rPr>
            </w:pPr>
            <w:r>
              <w:rPr>
                <w:rFonts w:ascii="Arial" w:cs="Arial" w:eastAsia="Arial" w:hAnsi="Arial"/>
                <w:sz w:val="6"/>
                <w:szCs w:val="6"/>
                <w:color w:val="auto"/>
              </w:rPr>
              <w:t>​</w:t>
            </w:r>
          </w:p>
        </w:tc>
        <w:tc>
          <w:tcPr>
            <w:tcW w:w="5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60"/>
              <w:spacing w:after="0"/>
              <w:rPr>
                <w:sz w:val="20"/>
                <w:szCs w:val="20"/>
                <w:color w:val="auto"/>
              </w:rPr>
            </w:pPr>
            <w:r>
              <w:rPr>
                <w:rFonts w:ascii="Arial" w:cs="Arial" w:eastAsia="Arial" w:hAnsi="Arial"/>
                <w:sz w:val="16"/>
                <w:szCs w:val="16"/>
                <w:color w:val="auto"/>
              </w:rPr>
              <w:t>Reza Kasnavi</w:t>
            </w: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8"/>
              <w:spacing w:after="0"/>
              <w:rPr>
                <w:sz w:val="20"/>
                <w:szCs w:val="20"/>
                <w:color w:val="auto"/>
              </w:rPr>
            </w:pPr>
            <w:r>
              <w:rPr>
                <w:rFonts w:ascii="Arial" w:cs="Arial" w:eastAsia="Arial" w:hAnsi="Arial"/>
                <w:sz w:val="16"/>
                <w:szCs w:val="16"/>
                <w:color w:val="auto"/>
              </w:rPr>
              <w:t>600,000​</w:t>
            </w:r>
          </w:p>
        </w:tc>
        <w:tc>
          <w:tcPr>
            <w:tcW w:w="340" w:type="dxa"/>
            <w:vAlign w:val="bottom"/>
            <w:vMerge w:val="restart"/>
          </w:tcPr>
          <w:p>
            <w:pPr>
              <w:spacing w:after="0"/>
              <w:rPr>
                <w:sz w:val="20"/>
                <w:szCs w:val="20"/>
                <w:color w:val="auto"/>
              </w:rPr>
            </w:pPr>
            <w:r>
              <w:rPr>
                <w:rFonts w:ascii="Arial" w:cs="Arial" w:eastAsia="Arial" w:hAnsi="Arial"/>
                <w:sz w:val="16"/>
                <w:szCs w:val="16"/>
                <w:color w:val="auto"/>
              </w:rPr>
              <w:t>​ ​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576,000​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340" w:type="dxa"/>
            <w:vAlign w:val="bottom"/>
          </w:tcPr>
          <w:p>
            <w:pPr>
              <w:jc w:val="right"/>
              <w:ind w:right="1178"/>
              <w:spacing w:after="0" w:line="54" w:lineRule="exact"/>
              <w:rPr>
                <w:sz w:val="20"/>
                <w:szCs w:val="20"/>
                <w:color w:val="auto"/>
              </w:rPr>
            </w:pPr>
            <w:r>
              <w:rPr>
                <w:rFonts w:ascii="Arial" w:cs="Arial" w:eastAsia="Arial" w:hAnsi="Arial"/>
                <w:sz w:val="6"/>
                <w:szCs w:val="6"/>
                <w:color w:val="auto"/>
              </w:rPr>
              <w:t>​</w:t>
            </w:r>
          </w:p>
        </w:tc>
        <w:tc>
          <w:tcPr>
            <w:tcW w:w="5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60"/>
              <w:spacing w:after="0"/>
              <w:rPr>
                <w:sz w:val="20"/>
                <w:szCs w:val="20"/>
                <w:color w:val="auto"/>
              </w:rPr>
            </w:pPr>
            <w:r>
              <w:rPr>
                <w:rFonts w:ascii="Arial" w:cs="Arial" w:eastAsia="Arial" w:hAnsi="Arial"/>
                <w:sz w:val="16"/>
                <w:szCs w:val="16"/>
                <w:color w:val="auto"/>
              </w:rPr>
              <w:t>Carlos S. Bori</w:t>
            </w: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8"/>
              <w:spacing w:after="0"/>
              <w:rPr>
                <w:sz w:val="20"/>
                <w:szCs w:val="20"/>
                <w:color w:val="auto"/>
              </w:rPr>
            </w:pPr>
            <w:r>
              <w:rPr>
                <w:rFonts w:ascii="Arial" w:cs="Arial" w:eastAsia="Arial" w:hAnsi="Arial"/>
                <w:sz w:val="16"/>
                <w:szCs w:val="16"/>
                <w:color w:val="auto"/>
              </w:rPr>
              <w:t>600,000​</w:t>
            </w:r>
          </w:p>
        </w:tc>
        <w:tc>
          <w:tcPr>
            <w:tcW w:w="340" w:type="dxa"/>
            <w:vAlign w:val="bottom"/>
            <w:vMerge w:val="restart"/>
          </w:tcPr>
          <w:p>
            <w:pPr>
              <w:spacing w:after="0"/>
              <w:rPr>
                <w:sz w:val="20"/>
                <w:szCs w:val="20"/>
                <w:color w:val="auto"/>
              </w:rPr>
            </w:pPr>
            <w:r>
              <w:rPr>
                <w:rFonts w:ascii="Arial" w:cs="Arial" w:eastAsia="Arial" w:hAnsi="Arial"/>
                <w:sz w:val="16"/>
                <w:szCs w:val="16"/>
                <w:color w:val="auto"/>
              </w:rPr>
              <w:t>​ ​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541,000​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340" w:type="dxa"/>
            <w:vAlign w:val="bottom"/>
          </w:tcPr>
          <w:p>
            <w:pPr>
              <w:jc w:val="right"/>
              <w:ind w:right="1178"/>
              <w:spacing w:after="0" w:line="54" w:lineRule="exact"/>
              <w:rPr>
                <w:sz w:val="20"/>
                <w:szCs w:val="20"/>
                <w:color w:val="auto"/>
              </w:rPr>
            </w:pPr>
            <w:r>
              <w:rPr>
                <w:rFonts w:ascii="Arial" w:cs="Arial" w:eastAsia="Arial" w:hAnsi="Arial"/>
                <w:sz w:val="6"/>
                <w:szCs w:val="6"/>
                <w:color w:val="auto"/>
              </w:rPr>
              <w:t>​</w:t>
            </w:r>
          </w:p>
        </w:tc>
        <w:tc>
          <w:tcPr>
            <w:tcW w:w="5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40" w:type="dxa"/>
            <w:vAlign w:val="bottom"/>
          </w:tcPr>
          <w:p>
            <w:pPr>
              <w:ind w:left="60"/>
              <w:spacing w:after="0"/>
              <w:rPr>
                <w:sz w:val="20"/>
                <w:szCs w:val="20"/>
                <w:color w:val="auto"/>
              </w:rPr>
            </w:pPr>
            <w:r>
              <w:rPr>
                <w:rFonts w:ascii="Arial" w:cs="Arial" w:eastAsia="Arial" w:hAnsi="Arial"/>
                <w:sz w:val="16"/>
                <w:szCs w:val="16"/>
                <w:color w:val="auto"/>
              </w:rPr>
              <w:t>​Robert J. Terry</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960" w:type="dxa"/>
            <w:vAlign w:val="bottom"/>
          </w:tcPr>
          <w:p>
            <w:pPr>
              <w:jc w:val="right"/>
              <w:ind w:right="118"/>
              <w:spacing w:after="0"/>
              <w:rPr>
                <w:sz w:val="20"/>
                <w:szCs w:val="20"/>
                <w:color w:val="auto"/>
              </w:rPr>
            </w:pPr>
            <w:r>
              <w:rPr>
                <w:rFonts w:ascii="Arial" w:cs="Arial" w:eastAsia="Arial" w:hAnsi="Arial"/>
                <w:sz w:val="16"/>
                <w:szCs w:val="16"/>
                <w:color w:val="auto"/>
              </w:rPr>
              <w:t>562,000​</w:t>
            </w:r>
          </w:p>
        </w:tc>
        <w:tc>
          <w:tcPr>
            <w:tcW w:w="500" w:type="dxa"/>
            <w:vAlign w:val="bottom"/>
            <w:gridSpan w:val="2"/>
          </w:tcPr>
          <w:p>
            <w:pPr>
              <w:spacing w:after="0"/>
              <w:rPr>
                <w:sz w:val="20"/>
                <w:szCs w:val="20"/>
                <w:color w:val="auto"/>
              </w:rPr>
            </w:pPr>
            <w:r>
              <w:rPr>
                <w:rFonts w:ascii="Arial" w:cs="Arial" w:eastAsia="Arial" w:hAnsi="Arial"/>
                <w:sz w:val="16"/>
                <w:szCs w:val="16"/>
                <w:color w:val="auto"/>
              </w:rPr>
              <w:t xml:space="preserve">​ ​ ​   </w:t>
            </w: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540,000​   ​​</w:t>
            </w:r>
          </w:p>
        </w:tc>
        <w:tc>
          <w:tcPr>
            <w:tcW w:w="0" w:type="dxa"/>
            <w:vAlign w:val="bottom"/>
          </w:tcPr>
          <w:p>
            <w:pPr>
              <w:spacing w:after="0"/>
              <w:rPr>
                <w:sz w:val="1"/>
                <w:szCs w:val="1"/>
                <w:color w:val="auto"/>
              </w:rPr>
            </w:pPr>
          </w:p>
        </w:tc>
      </w:tr>
      <w:tr>
        <w:trPr>
          <w:trHeight w:val="808"/>
        </w:trPr>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168275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-1361440</wp:posOffset>
            </wp:positionV>
            <wp:extent cx="284607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-1018540</wp:posOffset>
            </wp:positionV>
            <wp:extent cx="284607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-675640</wp:posOffset>
            </wp:positionV>
            <wp:extent cx="284607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46070" cy="162560"/>
                    </a:xfrm>
                    <a:prstGeom prst="rect">
                      <a:avLst/>
                    </a:prstGeom>
                    <a:noFill/>
                  </pic:spPr>
                </pic:pic>
              </a:graphicData>
            </a:graphic>
          </wp:anchor>
        </w:drawing>
        <w:drawing>
          <wp:anchor simplePos="0" relativeHeight="251657728" behindDoc="1" locked="0" layoutInCell="0" allowOverlap="1">
            <wp:simplePos x="0" y="0"/>
            <wp:positionH relativeFrom="column">
              <wp:posOffset>-462280</wp:posOffset>
            </wp:positionH>
            <wp:positionV relativeFrom="paragraph">
              <wp:posOffset>-195580</wp:posOffset>
            </wp:positionV>
            <wp:extent cx="779780"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Short-Term Incentives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 Company’s short-term incentive compensation plan for executive officers should generally be measured over a one-year performance period. Beginning with the Company’s fiscal year ended October 2, 2020 (“fiscal year 2020”) and continuing through fiscal year 2023, the Compensation Committee established annual short-term compensation incentive plans with two six-month performance periods as a result of significant market uncertainties resulting from geopolitical concerns and global supply chain challenges affecting the Company and its customers, which made forecasting difficult.</w:t>
      </w:r>
    </w:p>
    <w:p>
      <w:pPr>
        <w:spacing w:after="0" w:line="174" w:lineRule="exact"/>
        <w:rPr>
          <w:sz w:val="20"/>
          <w:szCs w:val="20"/>
          <w:color w:val="auto"/>
        </w:rPr>
      </w:pPr>
    </w:p>
    <w:p>
      <w:pPr>
        <w:ind w:left="660" w:right="60"/>
        <w:spacing w:after="0" w:line="271" w:lineRule="auto"/>
        <w:rPr>
          <w:sz w:val="20"/>
          <w:szCs w:val="20"/>
          <w:color w:val="auto"/>
        </w:rPr>
      </w:pPr>
      <w:r>
        <w:rPr>
          <w:rFonts w:ascii="Arial" w:cs="Arial" w:eastAsia="Arial" w:hAnsi="Arial"/>
          <w:sz w:val="19"/>
          <w:szCs w:val="19"/>
          <w:color w:val="auto"/>
        </w:rPr>
        <w:t>With respect to the fiscal year 2024 Executive Incentive Plan (the “Incentive Plan”) adopted by the Compensation Committee on December 14, 2023, in large part due to feedback from the Company’s stockholders, the Compensation Committee returned to an annual performance period for the short-term compensation incentive plan despite some continuing uncertain market conditions. Although significant macroeconomic challenges persisted, the Compensation Committee believed that it could set appropriately rigorous performance goals for a one-year period for fiscal year 2024.</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Incentive Opportunities</w:t>
      </w:r>
    </w:p>
    <w:p>
      <w:pPr>
        <w:spacing w:after="0" w:line="137" w:lineRule="exact"/>
        <w:rPr>
          <w:sz w:val="20"/>
          <w:szCs w:val="20"/>
          <w:color w:val="auto"/>
        </w:rPr>
      </w:pPr>
    </w:p>
    <w:p>
      <w:pPr>
        <w:ind w:left="660" w:right="80"/>
        <w:spacing w:after="0" w:line="269" w:lineRule="auto"/>
        <w:rPr>
          <w:sz w:val="20"/>
          <w:szCs w:val="20"/>
          <w:color w:val="auto"/>
        </w:rPr>
      </w:pPr>
      <w:r>
        <w:rPr>
          <w:rFonts w:ascii="Arial" w:cs="Arial" w:eastAsia="Arial" w:hAnsi="Arial"/>
          <w:sz w:val="20"/>
          <w:szCs w:val="20"/>
          <w:color w:val="auto"/>
        </w:rPr>
        <w:t>For each executive officer, short-term incentive compensation at the “target” level is designed to be near the median short-term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448310</wp:posOffset>
            </wp:positionV>
            <wp:extent cx="12344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60"/>
        <w:spacing w:after="0" w:line="271" w:lineRule="auto"/>
        <w:rPr>
          <w:sz w:val="20"/>
          <w:szCs w:val="20"/>
          <w:color w:val="auto"/>
        </w:rPr>
      </w:pPr>
      <w:r>
        <w:rPr>
          <w:rFonts w:ascii="Arial" w:cs="Arial" w:eastAsia="Arial" w:hAnsi="Arial"/>
          <w:sz w:val="19"/>
          <w:szCs w:val="19"/>
          <w:color w:val="auto"/>
        </w:rPr>
        <w:t>compensation of the Comparator Group. After reviewing Comparator Group data, the Compensation Committee determined that the target incentive under the Incentive Plan, as</w:t>
      </w:r>
    </w:p>
    <w:p>
      <w:pPr>
        <w:spacing w:after="0" w:line="3"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a percentage of base salary, for each of the Named Executive Officers should not be changed, as compared to the target incentives under the prior year’s short-term incentive plan.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The following table shows the range of short-term incentive compensation that each Named Executive Officer could earn in fiscal year 2024 as</w:t>
      </w:r>
    </w:p>
    <w:p>
      <w:pPr>
        <w:spacing w:after="0" w:line="2"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color w:val="auto"/>
        </w:rPr>
        <w:t>a percentage of such executive officer’s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284607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20" w:type="dxa"/>
            <w:vAlign w:val="bottom"/>
          </w:tcPr>
          <w:p>
            <w:pPr>
              <w:jc w:val="right"/>
              <w:ind w:right="1652"/>
              <w:spacing w:after="0"/>
              <w:rPr>
                <w:sz w:val="20"/>
                <w:szCs w:val="20"/>
                <w:color w:val="auto"/>
              </w:rPr>
            </w:pPr>
            <w:r>
              <w:rPr>
                <w:rFonts w:ascii="Arial" w:cs="Arial" w:eastAsia="Arial" w:hAnsi="Arial"/>
                <w:sz w:val="18"/>
                <w:szCs w:val="18"/>
                <w:b w:val="1"/>
                <w:bCs w:val="1"/>
                <w:color w:val="FFFFFF"/>
              </w:rPr>
              <w:t>​​</w:t>
            </w: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FFFFFF"/>
              </w:rPr>
              <w:t>​​Threshold ​​Target ​​Maximum ​</w:t>
            </w:r>
          </w:p>
        </w:tc>
        <w:tc>
          <w:tcPr>
            <w:tcW w:w="0" w:type="dxa"/>
            <w:vAlign w:val="bottom"/>
          </w:tcPr>
          <w:p>
            <w:pPr>
              <w:spacing w:after="0"/>
              <w:rPr>
                <w:sz w:val="1"/>
                <w:szCs w:val="1"/>
                <w:color w:val="auto"/>
              </w:rPr>
            </w:pPr>
          </w:p>
        </w:tc>
      </w:tr>
      <w:tr>
        <w:trPr>
          <w:trHeight w:val="216"/>
        </w:trPr>
        <w:tc>
          <w:tcPr>
            <w:tcW w:w="182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3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80​%</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160​%</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320​%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820" w:type="dxa"/>
            <w:vAlign w:val="bottom"/>
          </w:tcPr>
          <w:p>
            <w:pPr>
              <w:jc w:val="right"/>
              <w:ind w:right="1652"/>
              <w:spacing w:after="0" w:line="54"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20" w:type="dxa"/>
            <w:vAlign w:val="bottom"/>
          </w:tcPr>
          <w:p>
            <w:pPr>
              <w:jc w:val="right"/>
              <w:ind w:right="59"/>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3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820" w:type="dxa"/>
            <w:vAlign w:val="bottom"/>
          </w:tcPr>
          <w:p>
            <w:pPr>
              <w:jc w:val="right"/>
              <w:ind w:right="1652"/>
              <w:spacing w:after="0" w:line="54"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20" w:type="dxa"/>
            <w:vAlign w:val="bottom"/>
          </w:tcPr>
          <w:p>
            <w:pPr>
              <w:jc w:val="right"/>
              <w:ind w:right="59"/>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20" w:type="dxa"/>
            <w:vAlign w:val="bottom"/>
          </w:tcPr>
          <w:p>
            <w:pPr>
              <w:ind w:left="60"/>
              <w:spacing w:after="0"/>
              <w:rPr>
                <w:sz w:val="20"/>
                <w:szCs w:val="20"/>
                <w:color w:val="auto"/>
              </w:rPr>
            </w:pPr>
            <w:r>
              <w:rPr>
                <w:rFonts w:ascii="Arial" w:cs="Arial" w:eastAsia="Arial" w:hAnsi="Arial"/>
                <w:sz w:val="16"/>
                <w:szCs w:val="16"/>
                <w:color w:val="auto"/>
              </w:rPr>
              <w:t>Other Named Executive</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60"/>
              <w:spacing w:after="0"/>
              <w:rPr>
                <w:sz w:val="20"/>
                <w:szCs w:val="20"/>
                <w:color w:val="auto"/>
              </w:rPr>
            </w:pPr>
            <w:r>
              <w:rPr>
                <w:rFonts w:ascii="Arial" w:cs="Arial" w:eastAsia="Arial" w:hAnsi="Arial"/>
                <w:sz w:val="16"/>
                <w:szCs w:val="16"/>
                <w:color w:val="auto"/>
              </w:rPr>
              <w:t>Officers​</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    ​40​%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 80​%​​​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284607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2846070" cy="282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46070" cy="28257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137" w:lineRule="exact"/>
        <w:rPr>
          <w:sz w:val="20"/>
          <w:szCs w:val="20"/>
          <w:color w:val="auto"/>
        </w:rPr>
      </w:pPr>
    </w:p>
    <w:p>
      <w:pPr>
        <w:ind w:right="260"/>
        <w:spacing w:after="0" w:line="245" w:lineRule="auto"/>
        <w:rPr>
          <w:sz w:val="20"/>
          <w:szCs w:val="20"/>
          <w:color w:val="auto"/>
        </w:rPr>
      </w:pPr>
      <w:r>
        <w:rPr>
          <w:rFonts w:ascii="Arial" w:cs="Arial" w:eastAsia="Arial" w:hAnsi="Arial"/>
          <w:sz w:val="20"/>
          <w:szCs w:val="20"/>
          <w:color w:val="auto"/>
        </w:rPr>
        <w:t>In December 2023, the Compensation Committee established performance goals for the Incentive Plan that were based on achieving revenue and non-GAAP operating income performance goals, each of which was weighted at 50%. The non-GAAP operating income performance goal is measured based on the Company’s publicly disclosed non-GAAP operating income</w:t>
      </w:r>
      <w:r>
        <w:rPr>
          <w:rFonts w:ascii="Arial" w:cs="Arial" w:eastAsia="Arial" w:hAnsi="Arial"/>
          <w:sz w:val="30"/>
          <w:szCs w:val="30"/>
          <w:color w:val="auto"/>
          <w:vertAlign w:val="superscript"/>
        </w:rPr>
        <w:t>(2)</w:t>
      </w:r>
      <w:r>
        <w:rPr>
          <w:rFonts w:ascii="Arial" w:cs="Arial" w:eastAsia="Arial" w:hAnsi="Arial"/>
          <w:sz w:val="20"/>
          <w:szCs w:val="20"/>
          <w:color w:val="auto"/>
        </w:rPr>
        <w:t xml:space="preserve"> after accounting for any incentive award payments, including those to be made under the Incentive Plan.</w:t>
      </w:r>
    </w:p>
    <w:p>
      <w:pPr>
        <w:spacing w:after="0" w:line="203"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The target level performance goals were established by the Compensation Committee under the Incentive Plan after reviewing the Company’s historical operating results, as well as the Company’s business outlook and expected future results relative to peers, and were designed to require significant effort and operational success on the part of our executives and the</w:t>
      </w:r>
    </w:p>
    <w:p>
      <w:pPr>
        <w:spacing w:after="0" w:line="200"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197" w:lineRule="exact"/>
        <w:rPr>
          <w:sz w:val="20"/>
          <w:szCs w:val="20"/>
          <w:color w:val="auto"/>
        </w:rPr>
      </w:pPr>
    </w:p>
    <w:p>
      <w:pPr>
        <w:ind w:left="1080" w:right="480" w:hanging="354"/>
        <w:spacing w:after="0" w:line="274" w:lineRule="auto"/>
        <w:tabs>
          <w:tab w:leader="none" w:pos="108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p>
    <w:p>
      <w:pPr>
        <w:spacing w:after="0" w:line="32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80"/>
        <w:spacing w:after="0" w:line="260" w:lineRule="auto"/>
        <w:rPr>
          <w:sz w:val="20"/>
          <w:szCs w:val="20"/>
          <w:color w:val="auto"/>
        </w:rPr>
      </w:pPr>
      <w:r>
        <w:rPr>
          <w:rFonts w:ascii="Arial" w:cs="Arial" w:eastAsia="Arial" w:hAnsi="Arial"/>
          <w:sz w:val="20"/>
          <w:szCs w:val="20"/>
          <w:color w:val="auto"/>
        </w:rPr>
        <w:t>Company. The maximum level performance goals established by the Compensation Committee have historically been difficult to achieve and are designed to represent outstanding performance that the Compensation Committee believes should be rewarded.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performance goals established under the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Incentive Plan for fiscal year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165100</wp:posOffset>
            </wp:positionV>
            <wp:extent cx="2846070" cy="291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​(in millions)</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FFFFFF"/>
              </w:rPr>
              <w:t>Non-GAAP</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400" w:type="dxa"/>
            <w:vAlign w:val="bottom"/>
            <w:vMerge w:val="continue"/>
          </w:tcPr>
          <w:p>
            <w:pPr>
              <w:spacing w:after="0"/>
              <w:rPr>
                <w:sz w:val="22"/>
                <w:szCs w:val="22"/>
                <w:color w:val="auto"/>
              </w:rPr>
            </w:pPr>
          </w:p>
        </w:tc>
        <w:tc>
          <w:tcPr>
            <w:tcW w:w="3120" w:type="dxa"/>
            <w:vAlign w:val="bottom"/>
            <w:gridSpan w:val="4"/>
          </w:tcPr>
          <w:p>
            <w:pPr>
              <w:ind w:left="360"/>
              <w:spacing w:after="0"/>
              <w:rPr>
                <w:sz w:val="20"/>
                <w:szCs w:val="20"/>
                <w:color w:val="auto"/>
              </w:rPr>
            </w:pPr>
            <w:r>
              <w:rPr>
                <w:rFonts w:ascii="Arial" w:cs="Arial" w:eastAsia="Arial" w:hAnsi="Arial"/>
                <w:sz w:val="18"/>
                <w:szCs w:val="18"/>
                <w:b w:val="1"/>
                <w:bCs w:val="1"/>
                <w:color w:val="FFFFFF"/>
              </w:rPr>
              <w:t>​ ​Revenue ​ ​ Operating Income ​</w:t>
            </w: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6"/>
                <w:szCs w:val="16"/>
                <w:color w:val="auto"/>
              </w:rPr>
              <w:t>Threshold</w:t>
            </w:r>
          </w:p>
        </w:tc>
        <w:tc>
          <w:tcPr>
            <w:tcW w:w="1220" w:type="dxa"/>
            <w:vAlign w:val="bottom"/>
          </w:tcPr>
          <w:p>
            <w:pPr>
              <w:ind w:left="640"/>
              <w:spacing w:after="0"/>
              <w:rPr>
                <w:sz w:val="20"/>
                <w:szCs w:val="20"/>
                <w:color w:val="auto"/>
              </w:rPr>
            </w:pPr>
            <w:r>
              <w:rPr>
                <w:rFonts w:ascii="Arial" w:cs="Arial" w:eastAsia="Arial" w:hAnsi="Arial"/>
                <w:sz w:val="16"/>
                <w:szCs w:val="16"/>
                <w:color w:val="auto"/>
              </w:rPr>
              <w:t>$4,000​</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 ​ ​</w:t>
            </w:r>
          </w:p>
        </w:tc>
        <w:tc>
          <w:tcPr>
            <w:tcW w:w="1220" w:type="dxa"/>
            <w:vAlign w:val="bottom"/>
          </w:tcPr>
          <w:p>
            <w:pPr>
              <w:ind w:left="360"/>
              <w:spacing w:after="0"/>
              <w:rPr>
                <w:sz w:val="20"/>
                <w:szCs w:val="20"/>
                <w:color w:val="auto"/>
              </w:rPr>
            </w:pPr>
            <w:r>
              <w:rPr>
                <w:rFonts w:ascii="Arial" w:cs="Arial" w:eastAsia="Arial" w:hAnsi="Arial"/>
                <w:sz w:val="16"/>
                <w:szCs w:val="16"/>
                <w:color w:val="auto"/>
              </w:rPr>
              <w:t>$1,000​</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20" w:type="dxa"/>
            <w:vAlign w:val="bottom"/>
            <w:vMerge w:val="continue"/>
          </w:tcPr>
          <w:p>
            <w:pPr>
              <w:spacing w:after="0"/>
              <w:rPr>
                <w:sz w:val="4"/>
                <w:szCs w:val="4"/>
                <w:color w:val="auto"/>
              </w:rPr>
            </w:pPr>
          </w:p>
        </w:tc>
        <w:tc>
          <w:tcPr>
            <w:tcW w:w="12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6"/>
                <w:szCs w:val="16"/>
                <w:color w:val="auto"/>
              </w:rPr>
              <w:t>Target</w:t>
            </w:r>
          </w:p>
        </w:tc>
        <w:tc>
          <w:tcPr>
            <w:tcW w:w="1220" w:type="dxa"/>
            <w:vAlign w:val="bottom"/>
          </w:tcPr>
          <w:p>
            <w:pPr>
              <w:ind w:left="640"/>
              <w:spacing w:after="0"/>
              <w:rPr>
                <w:sz w:val="20"/>
                <w:szCs w:val="20"/>
                <w:color w:val="auto"/>
              </w:rPr>
            </w:pPr>
            <w:r>
              <w:rPr>
                <w:rFonts w:ascii="Arial" w:cs="Arial" w:eastAsia="Arial" w:hAnsi="Arial"/>
                <w:sz w:val="16"/>
                <w:szCs w:val="16"/>
                <w:color w:val="auto"/>
              </w:rPr>
              <w:t>$4,375​</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 ​ ​</w:t>
            </w:r>
          </w:p>
        </w:tc>
        <w:tc>
          <w:tcPr>
            <w:tcW w:w="1220" w:type="dxa"/>
            <w:vAlign w:val="bottom"/>
          </w:tcPr>
          <w:p>
            <w:pPr>
              <w:ind w:left="360"/>
              <w:spacing w:after="0"/>
              <w:rPr>
                <w:sz w:val="20"/>
                <w:szCs w:val="20"/>
                <w:color w:val="auto"/>
              </w:rPr>
            </w:pPr>
            <w:r>
              <w:rPr>
                <w:rFonts w:ascii="Arial" w:cs="Arial" w:eastAsia="Arial" w:hAnsi="Arial"/>
                <w:sz w:val="16"/>
                <w:szCs w:val="16"/>
                <w:color w:val="auto"/>
              </w:rPr>
              <w:t>$ 1,311​</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20" w:type="dxa"/>
            <w:vAlign w:val="bottom"/>
            <w:vMerge w:val="continue"/>
          </w:tcPr>
          <w:p>
            <w:pPr>
              <w:spacing w:after="0"/>
              <w:rPr>
                <w:sz w:val="4"/>
                <w:szCs w:val="4"/>
                <w:color w:val="auto"/>
              </w:rPr>
            </w:pPr>
          </w:p>
        </w:tc>
        <w:tc>
          <w:tcPr>
            <w:tcW w:w="12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00" w:type="dxa"/>
            <w:vAlign w:val="bottom"/>
          </w:tcPr>
          <w:p>
            <w:pPr>
              <w:ind w:left="40"/>
              <w:spacing w:after="0"/>
              <w:rPr>
                <w:sz w:val="20"/>
                <w:szCs w:val="20"/>
                <w:color w:val="auto"/>
              </w:rPr>
            </w:pPr>
            <w:r>
              <w:rPr>
                <w:rFonts w:ascii="Arial" w:cs="Arial" w:eastAsia="Arial" w:hAnsi="Arial"/>
                <w:sz w:val="16"/>
                <w:szCs w:val="16"/>
                <w:color w:val="auto"/>
              </w:rPr>
              <w:t>​Maximum</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 ​ ​$4,775​ ​ ​ ​</w:t>
            </w:r>
          </w:p>
        </w:tc>
        <w:tc>
          <w:tcPr>
            <w:tcW w:w="1220" w:type="dxa"/>
            <w:vAlign w:val="bottom"/>
          </w:tcPr>
          <w:p>
            <w:pPr>
              <w:ind w:left="360"/>
              <w:spacing w:after="0"/>
              <w:rPr>
                <w:sz w:val="20"/>
                <w:szCs w:val="20"/>
                <w:color w:val="auto"/>
              </w:rPr>
            </w:pPr>
            <w:r>
              <w:rPr>
                <w:rFonts w:ascii="Arial" w:cs="Arial" w:eastAsia="Arial" w:hAnsi="Arial"/>
                <w:sz w:val="16"/>
                <w:szCs w:val="16"/>
                <w:color w:val="auto"/>
              </w:rPr>
              <w:t>​$1,605​</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-505460</wp:posOffset>
            </wp:positionV>
            <wp:extent cx="284607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284607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188" w:lineRule="exact"/>
        <w:rPr>
          <w:sz w:val="20"/>
          <w:szCs w:val="20"/>
          <w:color w:val="auto"/>
        </w:rPr>
      </w:pPr>
    </w:p>
    <w:p>
      <w:pPr>
        <w:ind w:left="660" w:right="40"/>
        <w:spacing w:after="0" w:line="269" w:lineRule="auto"/>
        <w:rPr>
          <w:sz w:val="20"/>
          <w:szCs w:val="20"/>
          <w:color w:val="auto"/>
        </w:rPr>
      </w:pPr>
      <w:r>
        <w:rPr>
          <w:rFonts w:ascii="Arial" w:cs="Arial" w:eastAsia="Arial" w:hAnsi="Arial"/>
          <w:sz w:val="19"/>
          <w:szCs w:val="19"/>
          <w:color w:val="auto"/>
        </w:rPr>
        <w:t>The Compensation Committee seeks to set challenging yet attainable performance goals for incentive compensation to motivate our executives. For fiscal year 2024, the Compensation Committee, after substantial evaluation and discussion, set target performance goals that were below fiscal year 2023 performance. Nonetheless, the Compensation Committee believed that these goals reflected an appropriate level of rigor given several factors. The goals were established in alignment with the Company’s annual operating plan for fiscal year 2024, which took into account the broader macroeconomic environment, elevated levels of semiconductor inventory globally, and the performance expectations of our stockholders. The rigor of these target goals is underscored by the below-target achievement amounts as described in the section below. The Incentive Plan also stipulated that payouts to executives following the end of the fiscal year, under either of the revenue and non-GAAP operating income metrics, were conditioned upon the Company achieving full-year non-GAAP operating income of at least $1.0 billion.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Calculation of Incentive Plan Payments</w:t>
      </w:r>
    </w:p>
    <w:p>
      <w:pPr>
        <w:spacing w:after="0" w:line="150" w:lineRule="exact"/>
        <w:rPr>
          <w:sz w:val="20"/>
          <w:szCs w:val="20"/>
          <w:color w:val="auto"/>
        </w:rPr>
      </w:pPr>
    </w:p>
    <w:p>
      <w:pPr>
        <w:ind w:left="660" w:right="140"/>
        <w:spacing w:after="0" w:line="259" w:lineRule="auto"/>
        <w:rPr>
          <w:sz w:val="20"/>
          <w:szCs w:val="20"/>
          <w:color w:val="auto"/>
        </w:rPr>
      </w:pPr>
      <w:r>
        <w:rPr>
          <w:rFonts w:ascii="Arial" w:cs="Arial" w:eastAsia="Arial" w:hAnsi="Arial"/>
          <w:sz w:val="20"/>
          <w:szCs w:val="20"/>
          <w:color w:val="auto"/>
        </w:rPr>
        <w:t>Under the Incentive Plan, upon completion of the fiscal year, the Compensation Committee determined the extent to which the Company’s performance goals were attained, reviewed the Chief Executive Officer’s recommended payouts under the Incentive Plan, and approved the awards to be made under the Incentive Plan.</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Achievement under the performance goals at the “threshold,” “target,” or “maximum” level corresponds to payment under the Incentive Plan at the “threshold,” “target,” or “maximum” percentage, as applicable, with such percentage multiplied by the executive’s base salary for fiscal year 2024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Results</w:t>
      </w:r>
    </w:p>
    <w:p>
      <w:pPr>
        <w:spacing w:after="0" w:line="150"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For fiscal year 2024, the Company’s revenue and non-GAAP operating income achieved were $4,178 million and $1,137 million, respectively, resulting in a short-term compensation award for each Named Executive Officer equal to 73% of his or her target payment level. In November 2024, upon certifying that the nominal level of non-GAAP operating income had been achieved for the fiscal year, the Compensation Committee approved payment of the short-term incentive to the Company’s executives for fiscal year 2024. The Compensation Committee did not exercise discretion, either upward or downward, to executives’ payments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233045</wp:posOffset>
            </wp:positionV>
            <wp:extent cx="77978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39​</w:t>
            </w:r>
          </w:p>
        </w:tc>
      </w:tr>
    </w:tbl>
    <w:p>
      <w:pPr>
        <w:sectPr>
          <w:pgSz w:w="11900" w:h="16838" w:orient="portrait"/>
          <w:cols w:equalWidth="0" w:num="2">
            <w:col w:w="5180" w:space="400"/>
            <w:col w:w="4520"/>
          </w:cols>
          <w:pgMar w:left="580" w:top="97" w:right="12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420" w:type="dxa"/>
            <w:vAlign w:val="bottom"/>
            <w:gridSpan w:val="5"/>
          </w:tcPr>
          <w:p>
            <w:pPr>
              <w:spacing w:after="0"/>
              <w:rPr>
                <w:sz w:val="20"/>
                <w:szCs w:val="20"/>
                <w:color w:val="auto"/>
              </w:rPr>
            </w:pPr>
            <w:r>
              <w:rPr>
                <w:rFonts w:ascii="Arial" w:cs="Arial" w:eastAsia="Arial" w:hAnsi="Arial"/>
                <w:sz w:val="20"/>
                <w:szCs w:val="20"/>
                <w:color w:val="auto"/>
              </w:rPr>
              <w:t>The following table shows the Company’s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w w:val="99"/>
              </w:rPr>
              <w:t>position. The Compensation Committee used that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5"/>
          </w:tcPr>
          <w:p>
            <w:pPr>
              <w:spacing w:after="0"/>
              <w:rPr>
                <w:sz w:val="20"/>
                <w:szCs w:val="20"/>
                <w:color w:val="auto"/>
              </w:rPr>
            </w:pPr>
            <w:r>
              <w:rPr>
                <w:rFonts w:ascii="Arial" w:cs="Arial" w:eastAsia="Arial" w:hAnsi="Arial"/>
                <w:sz w:val="20"/>
                <w:szCs w:val="20"/>
                <w:color w:val="auto"/>
              </w:rPr>
              <w:t>achievement under the Incentive Plan: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data to inform its determination of a target dollar</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w w:val="97"/>
              </w:rPr>
              <w:t>value for the long-term stock-based award for each</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FFFFFF"/>
              </w:rPr>
              <w:t>Non-GAAP</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00" w:type="dxa"/>
            <w:vAlign w:val="bottom"/>
            <w:gridSpan w:val="6"/>
          </w:tcPr>
          <w:p>
            <w:pPr>
              <w:ind w:left="100"/>
              <w:spacing w:after="0" w:line="219" w:lineRule="exact"/>
              <w:rPr>
                <w:sz w:val="20"/>
                <w:szCs w:val="20"/>
                <w:color w:val="auto"/>
              </w:rPr>
            </w:pPr>
            <w:r>
              <w:rPr>
                <w:rFonts w:ascii="Arial" w:cs="Arial" w:eastAsia="Arial" w:hAnsi="Arial"/>
                <w:sz w:val="20"/>
                <w:szCs w:val="20"/>
                <w:color w:val="auto"/>
              </w:rPr>
              <w:t>executive officer, as set forth in the table below,</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60" w:type="dxa"/>
            <w:vAlign w:val="bottom"/>
          </w:tcPr>
          <w:p>
            <w:pPr>
              <w:ind w:left="20"/>
              <w:spacing w:after="0"/>
              <w:rPr>
                <w:sz w:val="20"/>
                <w:szCs w:val="20"/>
                <w:color w:val="auto"/>
              </w:rPr>
            </w:pPr>
            <w:r>
              <w:rPr>
                <w:rFonts w:ascii="Arial" w:cs="Arial" w:eastAsia="Arial" w:hAnsi="Arial"/>
                <w:sz w:val="18"/>
                <w:szCs w:val="18"/>
                <w:b w:val="1"/>
                <w:bCs w:val="1"/>
                <w:color w:val="FFFFFF"/>
              </w:rPr>
              <w:t>​(in millions)</w:t>
            </w: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FFFFFF"/>
              </w:rPr>
              <w:t>​ ​Revenue ​ ​Operating Income ​</w:t>
            </w:r>
          </w:p>
        </w:tc>
        <w:tc>
          <w:tcPr>
            <w:tcW w:w="260" w:type="dxa"/>
            <w:vAlign w:val="bottom"/>
          </w:tcPr>
          <w:p>
            <w:pPr>
              <w:spacing w:after="0"/>
              <w:rPr>
                <w:sz w:val="22"/>
                <w:szCs w:val="22"/>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targeting awards for fiscal year 2024 that were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40"/>
              <w:spacing w:after="0"/>
              <w:rPr>
                <w:sz w:val="20"/>
                <w:szCs w:val="20"/>
                <w:color w:val="auto"/>
              </w:rPr>
            </w:pPr>
            <w:r>
              <w:rPr>
                <w:rFonts w:ascii="Arial" w:cs="Arial" w:eastAsia="Arial" w:hAnsi="Arial"/>
                <w:sz w:val="16"/>
                <w:szCs w:val="16"/>
                <w:color w:val="auto"/>
              </w:rPr>
              <w:t>​Threshold</w:t>
            </w:r>
          </w:p>
        </w:tc>
        <w:tc>
          <w:tcPr>
            <w:tcW w:w="1400" w:type="dxa"/>
            <w:vAlign w:val="bottom"/>
            <w:gridSpan w:val="3"/>
          </w:tcPr>
          <w:p>
            <w:pPr>
              <w:jc w:val="right"/>
              <w:ind w:right="134"/>
              <w:spacing w:after="0"/>
              <w:rPr>
                <w:sz w:val="20"/>
                <w:szCs w:val="20"/>
                <w:color w:val="auto"/>
              </w:rPr>
            </w:pPr>
            <w:r>
              <w:rPr>
                <w:rFonts w:ascii="Arial" w:cs="Arial" w:eastAsia="Arial" w:hAnsi="Arial"/>
                <w:sz w:val="16"/>
                <w:szCs w:val="16"/>
                <w:color w:val="auto"/>
              </w:rPr>
              <w:t>​ ​ ​$ 4,000​ ​ ​ ​</w:t>
            </w:r>
          </w:p>
        </w:tc>
        <w:tc>
          <w:tcPr>
            <w:tcW w:w="1260" w:type="dxa"/>
            <w:vAlign w:val="bottom"/>
          </w:tcPr>
          <w:p>
            <w:pPr>
              <w:ind w:left="240"/>
              <w:spacing w:after="0"/>
              <w:rPr>
                <w:sz w:val="20"/>
                <w:szCs w:val="20"/>
                <w:color w:val="auto"/>
              </w:rPr>
            </w:pPr>
            <w:r>
              <w:rPr>
                <w:rFonts w:ascii="Arial" w:cs="Arial" w:eastAsia="Arial" w:hAnsi="Arial"/>
                <w:sz w:val="16"/>
                <w:szCs w:val="16"/>
                <w:color w:val="auto"/>
              </w:rPr>
              <w:t>​$ 1,000​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competitive within the Comparator Group. Each</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60" w:type="dxa"/>
            <w:vAlign w:val="bottom"/>
          </w:tcPr>
          <w:p>
            <w:pPr>
              <w:ind w:left="40"/>
              <w:spacing w:after="0"/>
              <w:rPr>
                <w:sz w:val="20"/>
                <w:szCs w:val="20"/>
                <w:color w:val="auto"/>
              </w:rPr>
            </w:pPr>
            <w:r>
              <w:rPr>
                <w:rFonts w:ascii="Arial" w:cs="Arial" w:eastAsia="Arial" w:hAnsi="Arial"/>
                <w:sz w:val="16"/>
                <w:szCs w:val="16"/>
                <w:color w:val="auto"/>
              </w:rPr>
              <w:t>Target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$ 4,375​</w:t>
            </w:r>
          </w:p>
        </w:tc>
        <w:tc>
          <w:tcPr>
            <w:tcW w:w="500" w:type="dxa"/>
            <w:vAlign w:val="bottom"/>
            <w:vMerge w:val="restart"/>
          </w:tcPr>
          <w:p>
            <w:pPr>
              <w:jc w:val="right"/>
              <w:ind w:right="134"/>
              <w:spacing w:after="0"/>
              <w:rPr>
                <w:sz w:val="20"/>
                <w:szCs w:val="20"/>
                <w:color w:val="auto"/>
              </w:rPr>
            </w:pPr>
            <w:r>
              <w:rPr>
                <w:rFonts w:ascii="Arial" w:cs="Arial" w:eastAsia="Arial" w:hAnsi="Arial"/>
                <w:sz w:val="16"/>
                <w:szCs w:val="16"/>
                <w:color w:val="auto"/>
              </w:rPr>
              <w:t>​ ​ ​</w:t>
            </w:r>
          </w:p>
        </w:tc>
        <w:tc>
          <w:tcPr>
            <w:tcW w:w="1260" w:type="dxa"/>
            <w:vAlign w:val="bottom"/>
          </w:tcPr>
          <w:p>
            <w:pPr>
              <w:ind w:left="240"/>
              <w:spacing w:after="0"/>
              <w:rPr>
                <w:sz w:val="20"/>
                <w:szCs w:val="20"/>
                <w:color w:val="auto"/>
              </w:rPr>
            </w:pPr>
            <w:r>
              <w:rPr>
                <w:rFonts w:ascii="Arial" w:cs="Arial" w:eastAsia="Arial" w:hAnsi="Arial"/>
                <w:sz w:val="16"/>
                <w:szCs w:val="16"/>
                <w:color w:val="auto"/>
              </w:rPr>
              <w:t>$ 1,311​</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500" w:type="dxa"/>
            <w:vAlign w:val="bottom"/>
            <w:gridSpan w:val="6"/>
          </w:tcPr>
          <w:p>
            <w:pPr>
              <w:ind w:left="100"/>
              <w:spacing w:after="0" w:line="203" w:lineRule="exact"/>
              <w:rPr>
                <w:sz w:val="20"/>
                <w:szCs w:val="20"/>
                <w:color w:val="auto"/>
              </w:rPr>
            </w:pPr>
            <w:r>
              <w:rPr>
                <w:rFonts w:ascii="Arial" w:cs="Arial" w:eastAsia="Arial" w:hAnsi="Arial"/>
                <w:sz w:val="20"/>
                <w:szCs w:val="20"/>
                <w:color w:val="auto"/>
                <w:w w:val="97"/>
              </w:rPr>
              <w:t>executive officer was granted a performance share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660" w:type="dxa"/>
            <w:vAlign w:val="bottom"/>
          </w:tcPr>
          <w:p>
            <w:pPr>
              <w:ind w:left="80"/>
              <w:spacing w:after="0" w:line="54" w:lineRule="exact"/>
              <w:rPr>
                <w:sz w:val="20"/>
                <w:szCs w:val="20"/>
                <w:color w:val="auto"/>
              </w:rPr>
            </w:pPr>
            <w:r>
              <w:rPr>
                <w:rFonts w:ascii="Arial" w:cs="Arial" w:eastAsia="Arial" w:hAnsi="Arial"/>
                <w:sz w:val="6"/>
                <w:szCs w:val="6"/>
                <w:color w:val="auto"/>
              </w:rPr>
              <w:t>​ ​ ​</w:t>
            </w:r>
          </w:p>
        </w:tc>
        <w:tc>
          <w:tcPr>
            <w:tcW w:w="2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60" w:type="dxa"/>
            <w:vAlign w:val="bottom"/>
          </w:tcPr>
          <w:p>
            <w:pPr>
              <w:ind w:left="240"/>
              <w:spacing w:after="0" w:line="54" w:lineRule="exact"/>
              <w:rPr>
                <w:sz w:val="20"/>
                <w:szCs w:val="20"/>
                <w:color w:val="auto"/>
              </w:rPr>
            </w:pPr>
            <w:r>
              <w:rPr>
                <w:rFonts w:ascii="Arial" w:cs="Arial" w:eastAsia="Arial" w:hAnsi="Arial"/>
                <w:sz w:val="6"/>
                <w:szCs w:val="6"/>
                <w:color w:val="auto"/>
              </w:rPr>
              <w:t>​</w:t>
            </w:r>
          </w:p>
        </w:tc>
        <w:tc>
          <w:tcPr>
            <w:tcW w:w="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award (“PSA”) and a restricted stock unit (“RSU”)</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40"/>
              <w:spacing w:after="0"/>
              <w:rPr>
                <w:sz w:val="20"/>
                <w:szCs w:val="20"/>
                <w:color w:val="auto"/>
              </w:rPr>
            </w:pPr>
            <w:r>
              <w:rPr>
                <w:rFonts w:ascii="Arial" w:cs="Arial" w:eastAsia="Arial" w:hAnsi="Arial"/>
                <w:sz w:val="16"/>
                <w:szCs w:val="16"/>
                <w:color w:val="auto"/>
              </w:rPr>
              <w:t>Maximum</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$ 4,775​</w:t>
            </w:r>
          </w:p>
        </w:tc>
        <w:tc>
          <w:tcPr>
            <w:tcW w:w="500" w:type="dxa"/>
            <w:vAlign w:val="bottom"/>
            <w:vMerge w:val="restart"/>
          </w:tcPr>
          <w:p>
            <w:pPr>
              <w:jc w:val="right"/>
              <w:ind w:right="134"/>
              <w:spacing w:after="0"/>
              <w:rPr>
                <w:sz w:val="20"/>
                <w:szCs w:val="20"/>
                <w:color w:val="auto"/>
              </w:rPr>
            </w:pPr>
            <w:r>
              <w:rPr>
                <w:rFonts w:ascii="Arial" w:cs="Arial" w:eastAsia="Arial" w:hAnsi="Arial"/>
                <w:sz w:val="16"/>
                <w:szCs w:val="16"/>
                <w:color w:val="auto"/>
              </w:rPr>
              <w:t>​ ​ ​</w:t>
            </w:r>
          </w:p>
        </w:tc>
        <w:tc>
          <w:tcPr>
            <w:tcW w:w="1260" w:type="dxa"/>
            <w:vAlign w:val="bottom"/>
          </w:tcPr>
          <w:p>
            <w:pPr>
              <w:ind w:left="240"/>
              <w:spacing w:after="0"/>
              <w:rPr>
                <w:sz w:val="20"/>
                <w:szCs w:val="20"/>
                <w:color w:val="auto"/>
              </w:rPr>
            </w:pPr>
            <w:r>
              <w:rPr>
                <w:rFonts w:ascii="Arial" w:cs="Arial" w:eastAsia="Arial" w:hAnsi="Arial"/>
                <w:sz w:val="16"/>
                <w:szCs w:val="16"/>
                <w:color w:val="auto"/>
              </w:rPr>
              <w:t>$ 1,605​</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50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660" w:type="dxa"/>
            <w:vAlign w:val="bottom"/>
          </w:tcPr>
          <w:p>
            <w:pPr>
              <w:ind w:left="80"/>
              <w:spacing w:after="0" w:line="54" w:lineRule="exact"/>
              <w:rPr>
                <w:sz w:val="20"/>
                <w:szCs w:val="20"/>
                <w:color w:val="auto"/>
              </w:rPr>
            </w:pPr>
            <w:r>
              <w:rPr>
                <w:rFonts w:ascii="Arial" w:cs="Arial" w:eastAsia="Arial" w:hAnsi="Arial"/>
                <w:sz w:val="6"/>
                <w:szCs w:val="6"/>
                <w:color w:val="auto"/>
              </w:rPr>
              <w:t>​ ​ ​</w:t>
            </w:r>
          </w:p>
        </w:tc>
        <w:tc>
          <w:tcPr>
            <w:tcW w:w="2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60" w:type="dxa"/>
            <w:vAlign w:val="bottom"/>
          </w:tcPr>
          <w:p>
            <w:pPr>
              <w:ind w:left="240"/>
              <w:spacing w:after="0" w:line="54" w:lineRule="exact"/>
              <w:rPr>
                <w:sz w:val="20"/>
                <w:szCs w:val="20"/>
                <w:color w:val="auto"/>
              </w:rPr>
            </w:pPr>
            <w:r>
              <w:rPr>
                <w:rFonts w:ascii="Arial" w:cs="Arial" w:eastAsia="Arial" w:hAnsi="Arial"/>
                <w:sz w:val="6"/>
                <w:szCs w:val="6"/>
                <w:color w:val="auto"/>
              </w:rPr>
              <w:t>​</w:t>
            </w:r>
          </w:p>
        </w:tc>
        <w:tc>
          <w:tcPr>
            <w:tcW w:w="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w w:val="97"/>
              </w:rPr>
              <w:t>award equivalent to 60% and 40%, respectively, of</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40"/>
              <w:spacing w:after="0"/>
              <w:rPr>
                <w:sz w:val="20"/>
                <w:szCs w:val="20"/>
                <w:color w:val="auto"/>
              </w:rPr>
            </w:pPr>
            <w:r>
              <w:rPr>
                <w:rFonts w:ascii="Arial" w:cs="Arial" w:eastAsia="Arial" w:hAnsi="Arial"/>
                <w:sz w:val="16"/>
                <w:szCs w:val="16"/>
                <w:b w:val="1"/>
                <w:bCs w:val="1"/>
                <w:color w:val="auto"/>
              </w:rPr>
              <w:t>Achieved</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$ 4,178​</w:t>
            </w:r>
          </w:p>
        </w:tc>
        <w:tc>
          <w:tcPr>
            <w:tcW w:w="5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rPr>
              <w:t>​ ​ ​</w:t>
            </w:r>
          </w:p>
        </w:tc>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$ 1,137​</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450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76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6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 ​ ​</w:t>
            </w: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60" w:type="dxa"/>
            <w:vAlign w:val="bottom"/>
          </w:tcPr>
          <w:p>
            <w:pPr>
              <w:ind w:left="240"/>
              <w:spacing w:after="0" w:line="81" w:lineRule="exact"/>
              <w:rPr>
                <w:sz w:val="20"/>
                <w:szCs w:val="20"/>
                <w:color w:val="auto"/>
              </w:rPr>
            </w:pPr>
            <w:r>
              <w:rPr>
                <w:rFonts w:ascii="Arial" w:cs="Arial" w:eastAsia="Arial" w:hAnsi="Arial"/>
                <w:sz w:val="9"/>
                <w:szCs w:val="9"/>
                <w:b w:val="1"/>
                <w:bCs w:val="1"/>
                <w:color w:val="auto"/>
              </w:rPr>
              <w:t>​</w:t>
            </w:r>
          </w:p>
        </w:tc>
        <w:tc>
          <w:tcPr>
            <w:tcW w:w="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w w:val="99"/>
              </w:rPr>
              <w:t>the dollar value of the executive’s fiscal year 2024</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760" w:type="dxa"/>
            <w:vAlign w:val="bottom"/>
            <w:tcBorders>
              <w:top w:val="single" w:sz="8" w:color="BFBFBF"/>
            </w:tcBorders>
          </w:tcPr>
          <w:p>
            <w:pPr>
              <w:spacing w:after="0"/>
              <w:rPr>
                <w:sz w:val="12"/>
                <w:szCs w:val="12"/>
                <w:color w:val="auto"/>
              </w:rPr>
            </w:pPr>
          </w:p>
        </w:tc>
        <w:tc>
          <w:tcPr>
            <w:tcW w:w="660" w:type="dxa"/>
            <w:vAlign w:val="bottom"/>
            <w:tcBorders>
              <w:top w:val="single" w:sz="8" w:color="BFBFBF"/>
            </w:tcBorders>
          </w:tcPr>
          <w:p>
            <w:pPr>
              <w:spacing w:after="0"/>
              <w:rPr>
                <w:sz w:val="12"/>
                <w:szCs w:val="12"/>
                <w:color w:val="auto"/>
              </w:rPr>
            </w:pPr>
          </w:p>
        </w:tc>
        <w:tc>
          <w:tcPr>
            <w:tcW w:w="240" w:type="dxa"/>
            <w:vAlign w:val="bottom"/>
            <w:tcBorders>
              <w:top w:val="single" w:sz="8" w:color="BFBFBF"/>
            </w:tcBorders>
          </w:tcPr>
          <w:p>
            <w:pPr>
              <w:spacing w:after="0"/>
              <w:rPr>
                <w:sz w:val="12"/>
                <w:szCs w:val="12"/>
                <w:color w:val="auto"/>
              </w:rPr>
            </w:pPr>
          </w:p>
        </w:tc>
        <w:tc>
          <w:tcPr>
            <w:tcW w:w="500" w:type="dxa"/>
            <w:vAlign w:val="bottom"/>
            <w:tcBorders>
              <w:top w:val="single" w:sz="8" w:color="BFBFBF"/>
            </w:tcBorders>
          </w:tcPr>
          <w:p>
            <w:pPr>
              <w:spacing w:after="0"/>
              <w:rPr>
                <w:sz w:val="12"/>
                <w:szCs w:val="12"/>
                <w:color w:val="auto"/>
              </w:rPr>
            </w:pPr>
          </w:p>
        </w:tc>
        <w:tc>
          <w:tcPr>
            <w:tcW w:w="1260" w:type="dxa"/>
            <w:vAlign w:val="bottom"/>
            <w:tcBorders>
              <w:top w:val="single" w:sz="8" w:color="BFBFBF"/>
            </w:tcBorders>
          </w:tcPr>
          <w:p>
            <w:pPr>
              <w:spacing w:after="0"/>
              <w:rPr>
                <w:sz w:val="12"/>
                <w:szCs w:val="12"/>
                <w:color w:val="auto"/>
              </w:rPr>
            </w:pPr>
          </w:p>
        </w:tc>
        <w:tc>
          <w:tcPr>
            <w:tcW w:w="60" w:type="dxa"/>
            <w:vAlign w:val="bottom"/>
            <w:tcBorders>
              <w:top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420" w:type="dxa"/>
            <w:vAlign w:val="bottom"/>
            <w:gridSpan w:val="5"/>
          </w:tcPr>
          <w:p>
            <w:pPr>
              <w:spacing w:after="0" w:line="243" w:lineRule="exact"/>
              <w:rPr>
                <w:sz w:val="20"/>
                <w:szCs w:val="20"/>
                <w:color w:val="auto"/>
              </w:rPr>
            </w:pPr>
            <w:r>
              <w:rPr>
                <w:rFonts w:ascii="Arial" w:cs="Arial" w:eastAsia="Arial" w:hAnsi="Arial"/>
                <w:sz w:val="22"/>
                <w:szCs w:val="22"/>
                <w:i w:val="1"/>
                <w:iCs w:val="1"/>
                <w:color w:val="0075A8"/>
              </w:rPr>
              <w:t>Long-Term Stock-Based Compensation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stock-based award, calculating the number of</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w w:val="98"/>
              </w:rPr>
              <w:t>shares subject to each award using the fair market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0"/>
                <w:szCs w:val="20"/>
                <w:color w:val="auto"/>
              </w:rPr>
            </w:pPr>
            <w:r>
              <w:rPr>
                <w:rFonts w:ascii="Arial" w:cs="Arial" w:eastAsia="Arial" w:hAnsi="Arial"/>
                <w:sz w:val="20"/>
                <w:szCs w:val="20"/>
                <w:b w:val="1"/>
                <w:bCs w:val="1"/>
                <w:color w:val="auto"/>
              </w:rPr>
              <w:t>Overview</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w w:val="97"/>
              </w:rPr>
              <w:t>value of the Company’s common stock on the date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The Compensation Committee generally makes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20" w:type="dxa"/>
            <w:vAlign w:val="bottom"/>
            <w:gridSpan w:val="7"/>
          </w:tcPr>
          <w:p>
            <w:pPr>
              <w:ind w:left="100"/>
              <w:spacing w:after="0"/>
              <w:rPr>
                <w:sz w:val="20"/>
                <w:szCs w:val="20"/>
                <w:color w:val="auto"/>
              </w:rPr>
            </w:pPr>
            <w:r>
              <w:rPr>
                <w:rFonts w:ascii="Arial" w:cs="Arial" w:eastAsia="Arial" w:hAnsi="Arial"/>
                <w:sz w:val="20"/>
                <w:szCs w:val="20"/>
                <w:color w:val="auto"/>
                <w:w w:val="97"/>
              </w:rPr>
              <w:t>of such award and an assumption that the Company</w:t>
            </w: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would achieve the “target” level of performance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long-term stock-based compensation awards to</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required to earn the PSA. The Compensation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executive officers on an annual basis. Long-term</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Committee’s rationale for awarding PSAs is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w w:val="98"/>
              </w:rPr>
              <w:t>stock-based compensation awards are intended to</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w w:val="98"/>
              </w:rPr>
              <w:t>further align the executive’s interests with those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align the interests of our executive officers with</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our stockholders by using equity awards that will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those of our stockholders and to reward our</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w w:val="98"/>
              </w:rPr>
              <w:t>vest only if the Company achieves pre-established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w w:val="96"/>
              </w:rPr>
              <w:t>executive officers for increases in stockholder value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performance goals, and we believe the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560" w:type="dxa"/>
            <w:vAlign w:val="bottom"/>
            <w:gridSpan w:val="7"/>
            <w:vMerge w:val="restart"/>
          </w:tcPr>
          <w:p>
            <w:pPr>
              <w:spacing w:after="0"/>
              <w:rPr>
                <w:sz w:val="20"/>
                <w:szCs w:val="20"/>
                <w:color w:val="auto"/>
              </w:rPr>
            </w:pPr>
            <w:r>
              <w:rPr>
                <w:rFonts w:ascii="Arial" w:cs="Arial" w:eastAsia="Arial" w:hAnsi="Arial"/>
                <w:sz w:val="20"/>
                <w:szCs w:val="20"/>
                <w:color w:val="auto"/>
                <w:w w:val="97"/>
              </w:rPr>
              <w:t>over periods of time greater than one year. For fiscal</w:t>
            </w: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Compensation Committee’s decision to award 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w w:val="98"/>
              </w:rPr>
              <w:t>year 2024, the Compensation Committee made an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portion of the PSAs subject to metrics measured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w w:val="96"/>
              </w:rPr>
              <w:t>annual stock-based compensation award to each of</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w w:val="98"/>
              </w:rPr>
              <w:t>over a multi-year performance period more closely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the Named Executive Officers on November 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aligns the executive’s interests with those of our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2023, at a regularly scheduled Compensation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20" w:type="dxa"/>
            <w:vAlign w:val="bottom"/>
            <w:gridSpan w:val="7"/>
            <w:vMerge w:val="restart"/>
          </w:tcPr>
          <w:p>
            <w:pPr>
              <w:ind w:left="100"/>
              <w:spacing w:after="0"/>
              <w:rPr>
                <w:sz w:val="20"/>
                <w:szCs w:val="20"/>
                <w:color w:val="auto"/>
              </w:rPr>
            </w:pPr>
            <w:r>
              <w:rPr>
                <w:rFonts w:ascii="Arial" w:cs="Arial" w:eastAsia="Arial" w:hAnsi="Arial"/>
                <w:sz w:val="20"/>
                <w:szCs w:val="20"/>
                <w:color w:val="auto"/>
                <w:w w:val="97"/>
              </w:rPr>
              <w:t>stockholders. Each RSU award granted to executive</w:t>
            </w:r>
          </w:p>
        </w:tc>
        <w:tc>
          <w:tcPr>
            <w:tcW w:w="0" w:type="dxa"/>
            <w:vAlign w:val="bottom"/>
          </w:tcPr>
          <w:p>
            <w:pPr>
              <w:spacing w:after="0"/>
              <w:rPr>
                <w:sz w:val="1"/>
                <w:szCs w:val="1"/>
                <w:color w:val="auto"/>
              </w:rPr>
            </w:pPr>
          </w:p>
        </w:tc>
      </w:tr>
      <w:tr>
        <w:trPr>
          <w:trHeight w:val="108"/>
        </w:trPr>
        <w:tc>
          <w:tcPr>
            <w:tcW w:w="1760" w:type="dxa"/>
            <w:vAlign w:val="bottom"/>
            <w:vMerge w:val="restart"/>
          </w:tcPr>
          <w:p>
            <w:pPr>
              <w:spacing w:after="0"/>
              <w:rPr>
                <w:sz w:val="20"/>
                <w:szCs w:val="20"/>
                <w:color w:val="auto"/>
              </w:rPr>
            </w:pPr>
            <w:r>
              <w:rPr>
                <w:rFonts w:ascii="Arial" w:cs="Arial" w:eastAsia="Arial" w:hAnsi="Arial"/>
                <w:sz w:val="20"/>
                <w:szCs w:val="20"/>
                <w:color w:val="auto"/>
                <w:w w:val="97"/>
              </w:rPr>
              <w:t>Committee meeting.</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20" w:type="dxa"/>
            <w:vAlign w:val="bottom"/>
            <w:gridSpan w:val="7"/>
            <w:vMerge w:val="restart"/>
          </w:tcPr>
          <w:p>
            <w:pPr>
              <w:ind w:left="100"/>
              <w:spacing w:after="0"/>
              <w:rPr>
                <w:sz w:val="20"/>
                <w:szCs w:val="20"/>
                <w:color w:val="auto"/>
              </w:rPr>
            </w:pPr>
            <w:r>
              <w:rPr>
                <w:rFonts w:ascii="Arial" w:cs="Arial" w:eastAsia="Arial" w:hAnsi="Arial"/>
                <w:sz w:val="20"/>
                <w:szCs w:val="20"/>
                <w:color w:val="auto"/>
                <w:w w:val="97"/>
              </w:rPr>
              <w:t>officers in fiscal year 2024 vests over four years at a</w:t>
            </w:r>
          </w:p>
        </w:tc>
        <w:tc>
          <w:tcPr>
            <w:tcW w:w="0" w:type="dxa"/>
            <w:vAlign w:val="bottom"/>
          </w:tcPr>
          <w:p>
            <w:pPr>
              <w:spacing w:after="0"/>
              <w:rPr>
                <w:sz w:val="1"/>
                <w:szCs w:val="1"/>
                <w:color w:val="auto"/>
              </w:rPr>
            </w:pPr>
          </w:p>
        </w:tc>
      </w:tr>
      <w:tr>
        <w:trPr>
          <w:trHeight w:val="90"/>
        </w:trPr>
        <w:tc>
          <w:tcPr>
            <w:tcW w:w="1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420" w:type="dxa"/>
            <w:vAlign w:val="bottom"/>
            <w:gridSpan w:val="5"/>
            <w:vMerge w:val="restart"/>
          </w:tcPr>
          <w:p>
            <w:pPr>
              <w:spacing w:after="0"/>
              <w:rPr>
                <w:sz w:val="20"/>
                <w:szCs w:val="20"/>
                <w:color w:val="auto"/>
              </w:rPr>
            </w:pPr>
            <w:r>
              <w:rPr>
                <w:rFonts w:ascii="Arial" w:cs="Arial" w:eastAsia="Arial" w:hAnsi="Arial"/>
                <w:sz w:val="20"/>
                <w:szCs w:val="20"/>
                <w:b w:val="1"/>
                <w:bCs w:val="1"/>
                <w:color w:val="auto"/>
              </w:rPr>
              <w:t>Fiscal Year 2024 Stock-Based Compensation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rate of twenty-five percent (25%) per year</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44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commencing one year from the grant date and</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760" w:type="dxa"/>
            <w:vAlign w:val="bottom"/>
            <w:vMerge w:val="restart"/>
          </w:tcPr>
          <w:p>
            <w:pPr>
              <w:spacing w:after="0"/>
              <w:rPr>
                <w:sz w:val="20"/>
                <w:szCs w:val="20"/>
                <w:color w:val="auto"/>
              </w:rPr>
            </w:pPr>
            <w:r>
              <w:rPr>
                <w:rFonts w:ascii="Arial" w:cs="Arial" w:eastAsia="Arial" w:hAnsi="Arial"/>
                <w:sz w:val="20"/>
                <w:szCs w:val="20"/>
                <w:b w:val="1"/>
                <w:bCs w:val="1"/>
                <w:color w:val="auto"/>
              </w:rPr>
              <w:t>Awards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5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00" w:type="dxa"/>
            <w:vAlign w:val="bottom"/>
            <w:gridSpan w:val="6"/>
            <w:vMerge w:val="restart"/>
          </w:tcPr>
          <w:p>
            <w:pPr>
              <w:ind w:left="100"/>
              <w:spacing w:after="0"/>
              <w:rPr>
                <w:sz w:val="20"/>
                <w:szCs w:val="20"/>
                <w:color w:val="auto"/>
              </w:rPr>
            </w:pPr>
            <w:r>
              <w:rPr>
                <w:rFonts w:ascii="Arial" w:cs="Arial" w:eastAsia="Arial" w:hAnsi="Arial"/>
                <w:sz w:val="20"/>
                <w:szCs w:val="20"/>
                <w:color w:val="auto"/>
              </w:rPr>
              <w:t>thereafter on each subsequent anniversary of the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420" w:type="dxa"/>
            <w:vAlign w:val="bottom"/>
            <w:gridSpan w:val="5"/>
            <w:vMerge w:val="restart"/>
          </w:tcPr>
          <w:p>
            <w:pPr>
              <w:spacing w:after="0"/>
              <w:rPr>
                <w:sz w:val="20"/>
                <w:szCs w:val="20"/>
                <w:color w:val="auto"/>
              </w:rPr>
            </w:pPr>
            <w:r>
              <w:rPr>
                <w:rFonts w:ascii="Arial" w:cs="Arial" w:eastAsia="Arial" w:hAnsi="Arial"/>
                <w:sz w:val="20"/>
                <w:szCs w:val="20"/>
                <w:color w:val="auto"/>
              </w:rPr>
              <w:t>In making annual stock-based compensation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0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2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20" w:type="dxa"/>
            <w:vAlign w:val="bottom"/>
            <w:gridSpan w:val="7"/>
          </w:tcPr>
          <w:p>
            <w:pPr>
              <w:ind w:left="100"/>
              <w:spacing w:after="0" w:line="216" w:lineRule="exact"/>
              <w:rPr>
                <w:sz w:val="20"/>
                <w:szCs w:val="20"/>
                <w:color w:val="auto"/>
              </w:rPr>
            </w:pPr>
            <w:r>
              <w:rPr>
                <w:rFonts w:ascii="Arial" w:cs="Arial" w:eastAsia="Arial" w:hAnsi="Arial"/>
                <w:sz w:val="20"/>
                <w:szCs w:val="20"/>
                <w:color w:val="auto"/>
                <w:w w:val="97"/>
              </w:rPr>
              <w:t>grant date for the following three years, provided the</w:t>
            </w:r>
          </w:p>
        </w:tc>
        <w:tc>
          <w:tcPr>
            <w:tcW w:w="0" w:type="dxa"/>
            <w:vAlign w:val="bottom"/>
          </w:tcPr>
          <w:p>
            <w:pPr>
              <w:spacing w:after="0"/>
              <w:rPr>
                <w:sz w:val="1"/>
                <w:szCs w:val="1"/>
                <w:color w:val="auto"/>
              </w:rPr>
            </w:pPr>
          </w:p>
        </w:tc>
      </w:tr>
      <w:tr>
        <w:trPr>
          <w:trHeight w:val="243"/>
        </w:trPr>
        <w:tc>
          <w:tcPr>
            <w:tcW w:w="4560" w:type="dxa"/>
            <w:vAlign w:val="bottom"/>
            <w:gridSpan w:val="7"/>
          </w:tcPr>
          <w:p>
            <w:pPr>
              <w:spacing w:after="0"/>
              <w:rPr>
                <w:sz w:val="20"/>
                <w:szCs w:val="20"/>
                <w:color w:val="auto"/>
              </w:rPr>
            </w:pPr>
            <w:r>
              <w:rPr>
                <w:rFonts w:ascii="Arial" w:cs="Arial" w:eastAsia="Arial" w:hAnsi="Arial"/>
                <w:sz w:val="20"/>
                <w:szCs w:val="20"/>
                <w:color w:val="auto"/>
                <w:w w:val="98"/>
              </w:rPr>
              <w:t>awards to executive officers for fiscal year 2024, the</w:t>
            </w: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executive officer remains employed by the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5"/>
          </w:tcPr>
          <w:p>
            <w:pPr>
              <w:spacing w:after="0"/>
              <w:rPr>
                <w:sz w:val="20"/>
                <w:szCs w:val="20"/>
                <w:color w:val="auto"/>
              </w:rPr>
            </w:pPr>
            <w:r>
              <w:rPr>
                <w:rFonts w:ascii="Arial" w:cs="Arial" w:eastAsia="Arial" w:hAnsi="Arial"/>
                <w:sz w:val="20"/>
                <w:szCs w:val="20"/>
                <w:color w:val="auto"/>
              </w:rPr>
              <w:t>Compensation Committee first reviewed the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6"/>
          </w:tcPr>
          <w:p>
            <w:pPr>
              <w:ind w:left="100"/>
              <w:spacing w:after="0"/>
              <w:rPr>
                <w:sz w:val="20"/>
                <w:szCs w:val="20"/>
                <w:color w:val="auto"/>
              </w:rPr>
            </w:pPr>
            <w:r>
              <w:rPr>
                <w:rFonts w:ascii="Arial" w:cs="Arial" w:eastAsia="Arial" w:hAnsi="Arial"/>
                <w:sz w:val="20"/>
                <w:szCs w:val="20"/>
                <w:color w:val="auto"/>
              </w:rPr>
              <w:t>Company through each such vesting date.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420" w:type="dxa"/>
            <w:vAlign w:val="bottom"/>
            <w:gridSpan w:val="5"/>
          </w:tcPr>
          <w:p>
            <w:pPr>
              <w:spacing w:after="0"/>
              <w:rPr>
                <w:sz w:val="20"/>
                <w:szCs w:val="20"/>
                <w:color w:val="auto"/>
              </w:rPr>
            </w:pPr>
            <w:r>
              <w:rPr>
                <w:rFonts w:ascii="Arial" w:cs="Arial" w:eastAsia="Arial" w:hAnsi="Arial"/>
                <w:sz w:val="20"/>
                <w:szCs w:val="20"/>
                <w:color w:val="auto"/>
              </w:rPr>
              <w:t>Comparator Group grant data by executive</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FFFFFF"/>
                <w:w w:val="98"/>
              </w:rPr>
              <w:t>Number of Shares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​Name</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ind w:left="280"/>
              <w:spacing w:after="0" w:line="189" w:lineRule="exact"/>
              <w:rPr>
                <w:sz w:val="20"/>
                <w:szCs w:val="20"/>
                <w:color w:val="auto"/>
              </w:rPr>
            </w:pPr>
            <w:r>
              <w:rPr>
                <w:rFonts w:ascii="Arial" w:cs="Arial" w:eastAsia="Arial" w:hAnsi="Arial"/>
                <w:sz w:val="18"/>
                <w:szCs w:val="18"/>
                <w:b w:val="1"/>
                <w:bCs w:val="1"/>
                <w:color w:val="FFFFFF"/>
              </w:rPr>
              <w:t>Value of FY24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FFFFFF"/>
                <w:w w:val="98"/>
              </w:rPr>
              <w:t>Number of Shares Subject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96"/>
              <w:spacing w:after="0" w:line="189" w:lineRule="exact"/>
              <w:rPr>
                <w:sz w:val="20"/>
                <w:szCs w:val="20"/>
                <w:color w:val="auto"/>
              </w:rPr>
            </w:pPr>
            <w:r>
              <w:rPr>
                <w:rFonts w:ascii="Arial" w:cs="Arial" w:eastAsia="Arial" w:hAnsi="Arial"/>
                <w:sz w:val="18"/>
                <w:szCs w:val="18"/>
                <w:b w:val="1"/>
                <w:bCs w:val="1"/>
                <w:color w:val="FFFFFF"/>
              </w:rPr>
              <w:t>Subject to</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760" w:type="dxa"/>
            <w:vAlign w:val="bottom"/>
            <w:vMerge w:val="continue"/>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b w:val="1"/>
                <w:bCs w:val="1"/>
                <w:color w:val="FFFFFF"/>
              </w:rPr>
              <w:t>​</w:t>
            </w:r>
          </w:p>
        </w:tc>
        <w:tc>
          <w:tcPr>
            <w:tcW w:w="2140" w:type="dxa"/>
            <w:vAlign w:val="bottom"/>
            <w:gridSpan w:val="5"/>
          </w:tcPr>
          <w:p>
            <w:pPr>
              <w:jc w:val="right"/>
              <w:spacing w:after="0"/>
              <w:rPr>
                <w:sz w:val="20"/>
                <w:szCs w:val="20"/>
                <w:color w:val="auto"/>
              </w:rPr>
            </w:pPr>
            <w:r>
              <w:rPr>
                <w:rFonts w:ascii="Arial" w:cs="Arial" w:eastAsia="Arial" w:hAnsi="Arial"/>
                <w:sz w:val="18"/>
                <w:szCs w:val="18"/>
                <w:b w:val="1"/>
                <w:bCs w:val="1"/>
                <w:color w:val="FFFFFF"/>
              </w:rPr>
              <w:t>​ Stock-Based Award(1)</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FFFFFF"/>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FFFFFF"/>
              </w:rPr>
              <w:t>​</w:t>
            </w:r>
          </w:p>
        </w:tc>
        <w:tc>
          <w:tcPr>
            <w:tcW w:w="2100" w:type="dxa"/>
            <w:vAlign w:val="bottom"/>
          </w:tcPr>
          <w:p>
            <w:pPr>
              <w:jc w:val="right"/>
              <w:ind w:right="198"/>
              <w:spacing w:after="0"/>
              <w:rPr>
                <w:sz w:val="20"/>
                <w:szCs w:val="20"/>
                <w:color w:val="auto"/>
              </w:rPr>
            </w:pPr>
            <w:r>
              <w:rPr>
                <w:rFonts w:ascii="Arial" w:cs="Arial" w:eastAsia="Arial" w:hAnsi="Arial"/>
                <w:sz w:val="18"/>
                <w:szCs w:val="18"/>
                <w:b w:val="1"/>
                <w:bCs w:val="1"/>
                <w:color w:val="FFFFFF"/>
              </w:rPr>
              <w:t>to PSAs, at Target(2)</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FFFFFF"/>
              </w:rPr>
              <w:t>​</w:t>
            </w:r>
          </w:p>
        </w:tc>
        <w:tc>
          <w:tcPr>
            <w:tcW w:w="220" w:type="dxa"/>
            <w:vAlign w:val="bottom"/>
          </w:tcPr>
          <w:p>
            <w:pPr>
              <w:spacing w:after="0"/>
              <w:rPr>
                <w:sz w:val="22"/>
                <w:szCs w:val="22"/>
                <w:color w:val="auto"/>
              </w:rPr>
            </w:pPr>
          </w:p>
        </w:tc>
        <w:tc>
          <w:tcPr>
            <w:tcW w:w="1360" w:type="dxa"/>
            <w:vAlign w:val="bottom"/>
          </w:tcPr>
          <w:p>
            <w:pPr>
              <w:jc w:val="right"/>
              <w:ind w:right="356"/>
              <w:spacing w:after="0"/>
              <w:rPr>
                <w:sz w:val="20"/>
                <w:szCs w:val="20"/>
                <w:color w:val="auto"/>
              </w:rPr>
            </w:pPr>
            <w:r>
              <w:rPr>
                <w:rFonts w:ascii="Arial" w:cs="Arial" w:eastAsia="Arial" w:hAnsi="Arial"/>
                <w:sz w:val="18"/>
                <w:szCs w:val="18"/>
                <w:b w:val="1"/>
                <w:bCs w:val="1"/>
                <w:color w:val="FFFFFF"/>
              </w:rPr>
              <w:t>RSUs(2)</w:t>
            </w:r>
          </w:p>
        </w:tc>
        <w:tc>
          <w:tcPr>
            <w:tcW w:w="120" w:type="dxa"/>
            <w:vAlign w:val="bottom"/>
          </w:tcPr>
          <w:p>
            <w:pPr>
              <w:ind w:left="6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400"/>
              <w:spacing w:after="0"/>
              <w:rPr>
                <w:sz w:val="20"/>
                <w:szCs w:val="20"/>
                <w:color w:val="auto"/>
              </w:rPr>
            </w:pPr>
            <w:r>
              <w:rPr>
                <w:rFonts w:ascii="Arial" w:cs="Arial" w:eastAsia="Arial" w:hAnsi="Arial"/>
                <w:sz w:val="16"/>
                <w:szCs w:val="16"/>
                <w:color w:val="auto"/>
              </w:rPr>
              <w:t>$ 14,000,000</w:t>
            </w: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818"/>
              <w:spacing w:after="0"/>
              <w:rPr>
                <w:sz w:val="20"/>
                <w:szCs w:val="20"/>
                <w:color w:val="auto"/>
              </w:rPr>
            </w:pPr>
            <w:r>
              <w:rPr>
                <w:rFonts w:ascii="Arial" w:cs="Arial" w:eastAsia="Arial" w:hAnsi="Arial"/>
                <w:sz w:val="16"/>
                <w:szCs w:val="16"/>
                <w:color w:val="auto"/>
              </w:rPr>
              <w:t>94,002</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6"/>
              <w:spacing w:after="0"/>
              <w:rPr>
                <w:sz w:val="20"/>
                <w:szCs w:val="20"/>
                <w:color w:val="auto"/>
              </w:rPr>
            </w:pPr>
            <w:r>
              <w:rPr>
                <w:rFonts w:ascii="Arial" w:cs="Arial" w:eastAsia="Arial" w:hAnsi="Arial"/>
                <w:sz w:val="16"/>
                <w:szCs w:val="16"/>
                <w:color w:val="auto"/>
              </w:rPr>
              <w:t>62,667</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00" w:type="dxa"/>
            <w:vAlign w:val="bottom"/>
          </w:tcPr>
          <w:p>
            <w:pPr>
              <w:ind w:left="40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10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jc w:val="right"/>
              <w:ind w:right="916"/>
              <w:spacing w:after="0" w:line="54" w:lineRule="exact"/>
              <w:rPr>
                <w:sz w:val="20"/>
                <w:szCs w:val="20"/>
                <w:color w:val="auto"/>
              </w:rPr>
            </w:pPr>
            <w:r>
              <w:rPr>
                <w:rFonts w:ascii="Arial" w:cs="Arial" w:eastAsia="Arial" w:hAnsi="Arial"/>
                <w:sz w:val="6"/>
                <w:szCs w:val="6"/>
                <w:color w:val="auto"/>
              </w:rPr>
              <w:t>​</w:t>
            </w: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20"/>
              <w:spacing w:after="0"/>
              <w:rPr>
                <w:sz w:val="20"/>
                <w:szCs w:val="20"/>
                <w:color w:val="auto"/>
              </w:rPr>
            </w:pPr>
            <w:r>
              <w:rPr>
                <w:rFonts w:ascii="Arial" w:cs="Arial" w:eastAsia="Arial" w:hAnsi="Arial"/>
                <w:sz w:val="16"/>
                <w:szCs w:val="16"/>
                <w:color w:val="auto"/>
              </w:rPr>
              <w:t>3,800,000</w:t>
            </w: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818"/>
              <w:spacing w:after="0"/>
              <w:rPr>
                <w:sz w:val="20"/>
                <w:szCs w:val="20"/>
                <w:color w:val="auto"/>
              </w:rPr>
            </w:pPr>
            <w:r>
              <w:rPr>
                <w:rFonts w:ascii="Arial" w:cs="Arial" w:eastAsia="Arial" w:hAnsi="Arial"/>
                <w:sz w:val="16"/>
                <w:szCs w:val="16"/>
                <w:color w:val="auto"/>
              </w:rPr>
              <w:t>25,515</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6"/>
              <w:spacing w:after="0"/>
              <w:rPr>
                <w:sz w:val="20"/>
                <w:szCs w:val="20"/>
                <w:color w:val="auto"/>
              </w:rPr>
            </w:pPr>
            <w:r>
              <w:rPr>
                <w:rFonts w:ascii="Arial" w:cs="Arial" w:eastAsia="Arial" w:hAnsi="Arial"/>
                <w:sz w:val="16"/>
                <w:szCs w:val="16"/>
                <w:color w:val="auto"/>
              </w:rPr>
              <w:t>17,009</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00" w:type="dxa"/>
            <w:vAlign w:val="bottom"/>
          </w:tcPr>
          <w:p>
            <w:pPr>
              <w:ind w:left="40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10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jc w:val="right"/>
              <w:ind w:right="916"/>
              <w:spacing w:after="0" w:line="54" w:lineRule="exact"/>
              <w:rPr>
                <w:sz w:val="20"/>
                <w:szCs w:val="20"/>
                <w:color w:val="auto"/>
              </w:rPr>
            </w:pPr>
            <w:r>
              <w:rPr>
                <w:rFonts w:ascii="Arial" w:cs="Arial" w:eastAsia="Arial" w:hAnsi="Arial"/>
                <w:sz w:val="6"/>
                <w:szCs w:val="6"/>
                <w:color w:val="auto"/>
              </w:rPr>
              <w:t>​</w:t>
            </w: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6"/>
                <w:szCs w:val="16"/>
                <w:color w:val="auto"/>
              </w:rPr>
              <w:t>Reza Kasnavi</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20"/>
              <w:spacing w:after="0"/>
              <w:rPr>
                <w:sz w:val="20"/>
                <w:szCs w:val="20"/>
                <w:color w:val="auto"/>
              </w:rPr>
            </w:pPr>
            <w:r>
              <w:rPr>
                <w:rFonts w:ascii="Arial" w:cs="Arial" w:eastAsia="Arial" w:hAnsi="Arial"/>
                <w:sz w:val="16"/>
                <w:szCs w:val="16"/>
                <w:color w:val="auto"/>
              </w:rPr>
              <w:t>4,000,000</w:t>
            </w: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818"/>
              <w:spacing w:after="0"/>
              <w:rPr>
                <w:sz w:val="20"/>
                <w:szCs w:val="20"/>
                <w:color w:val="auto"/>
              </w:rPr>
            </w:pPr>
            <w:r>
              <w:rPr>
                <w:rFonts w:ascii="Arial" w:cs="Arial" w:eastAsia="Arial" w:hAnsi="Arial"/>
                <w:sz w:val="16"/>
                <w:szCs w:val="16"/>
                <w:color w:val="auto"/>
              </w:rPr>
              <w:t>26,857</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6"/>
              <w:spacing w:after="0"/>
              <w:rPr>
                <w:sz w:val="20"/>
                <w:szCs w:val="20"/>
                <w:color w:val="auto"/>
              </w:rPr>
            </w:pPr>
            <w:r>
              <w:rPr>
                <w:rFonts w:ascii="Arial" w:cs="Arial" w:eastAsia="Arial" w:hAnsi="Arial"/>
                <w:sz w:val="16"/>
                <w:szCs w:val="16"/>
                <w:color w:val="auto"/>
              </w:rPr>
              <w:t>17,905</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00" w:type="dxa"/>
            <w:vAlign w:val="bottom"/>
          </w:tcPr>
          <w:p>
            <w:pPr>
              <w:ind w:left="40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10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jc w:val="right"/>
              <w:ind w:right="916"/>
              <w:spacing w:after="0" w:line="54" w:lineRule="exact"/>
              <w:rPr>
                <w:sz w:val="20"/>
                <w:szCs w:val="20"/>
                <w:color w:val="auto"/>
              </w:rPr>
            </w:pPr>
            <w:r>
              <w:rPr>
                <w:rFonts w:ascii="Arial" w:cs="Arial" w:eastAsia="Arial" w:hAnsi="Arial"/>
                <w:sz w:val="6"/>
                <w:szCs w:val="6"/>
                <w:color w:val="auto"/>
              </w:rPr>
              <w:t>​</w:t>
            </w: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6"/>
                <w:szCs w:val="16"/>
                <w:color w:val="auto"/>
              </w:rPr>
              <w:t>Carlos S. Bori</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20"/>
              <w:spacing w:after="0"/>
              <w:rPr>
                <w:sz w:val="20"/>
                <w:szCs w:val="20"/>
                <w:color w:val="auto"/>
              </w:rPr>
            </w:pPr>
            <w:r>
              <w:rPr>
                <w:rFonts w:ascii="Arial" w:cs="Arial" w:eastAsia="Arial" w:hAnsi="Arial"/>
                <w:sz w:val="16"/>
                <w:szCs w:val="16"/>
                <w:color w:val="auto"/>
              </w:rPr>
              <w:t>4,000,000</w:t>
            </w: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818"/>
              <w:spacing w:after="0"/>
              <w:rPr>
                <w:sz w:val="20"/>
                <w:szCs w:val="20"/>
                <w:color w:val="auto"/>
              </w:rPr>
            </w:pPr>
            <w:r>
              <w:rPr>
                <w:rFonts w:ascii="Arial" w:cs="Arial" w:eastAsia="Arial" w:hAnsi="Arial"/>
                <w:sz w:val="16"/>
                <w:szCs w:val="16"/>
                <w:color w:val="auto"/>
              </w:rPr>
              <w:t>26,857</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6"/>
              <w:spacing w:after="0"/>
              <w:rPr>
                <w:sz w:val="20"/>
                <w:szCs w:val="20"/>
                <w:color w:val="auto"/>
              </w:rPr>
            </w:pPr>
            <w:r>
              <w:rPr>
                <w:rFonts w:ascii="Arial" w:cs="Arial" w:eastAsia="Arial" w:hAnsi="Arial"/>
                <w:sz w:val="16"/>
                <w:szCs w:val="16"/>
                <w:color w:val="auto"/>
              </w:rPr>
              <w:t>17,905</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00" w:type="dxa"/>
            <w:vAlign w:val="bottom"/>
          </w:tcPr>
          <w:p>
            <w:pPr>
              <w:ind w:left="40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10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jc w:val="right"/>
              <w:ind w:right="916"/>
              <w:spacing w:after="0" w:line="54" w:lineRule="exact"/>
              <w:rPr>
                <w:sz w:val="20"/>
                <w:szCs w:val="20"/>
                <w:color w:val="auto"/>
              </w:rPr>
            </w:pPr>
            <w:r>
              <w:rPr>
                <w:rFonts w:ascii="Arial" w:cs="Arial" w:eastAsia="Arial" w:hAnsi="Arial"/>
                <w:sz w:val="6"/>
                <w:szCs w:val="6"/>
                <w:color w:val="auto"/>
              </w:rPr>
              <w:t>​</w:t>
            </w: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660" w:type="dxa"/>
            <w:vAlign w:val="bottom"/>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20"/>
              <w:spacing w:after="0"/>
              <w:rPr>
                <w:sz w:val="20"/>
                <w:szCs w:val="20"/>
                <w:color w:val="auto"/>
              </w:rPr>
            </w:pPr>
            <w:r>
              <w:rPr>
                <w:rFonts w:ascii="Arial" w:cs="Arial" w:eastAsia="Arial" w:hAnsi="Arial"/>
                <w:sz w:val="16"/>
                <w:szCs w:val="16"/>
                <w:color w:val="auto"/>
              </w:rPr>
              <w:t>3,300,000</w:t>
            </w:r>
          </w:p>
        </w:tc>
        <w:tc>
          <w:tcPr>
            <w:tcW w:w="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818"/>
              <w:spacing w:after="0"/>
              <w:rPr>
                <w:sz w:val="20"/>
                <w:szCs w:val="20"/>
                <w:color w:val="auto"/>
              </w:rPr>
            </w:pPr>
            <w:r>
              <w:rPr>
                <w:rFonts w:ascii="Arial" w:cs="Arial" w:eastAsia="Arial" w:hAnsi="Arial"/>
                <w:sz w:val="16"/>
                <w:szCs w:val="16"/>
                <w:color w:val="auto"/>
              </w:rPr>
              <w:t>​22,158</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6"/>
              <w:spacing w:after="0"/>
              <w:rPr>
                <w:sz w:val="20"/>
                <w:szCs w:val="20"/>
                <w:color w:val="auto"/>
              </w:rPr>
            </w:pPr>
            <w:r>
              <w:rPr>
                <w:rFonts w:ascii="Arial" w:cs="Arial" w:eastAsia="Arial" w:hAnsi="Arial"/>
                <w:sz w:val="16"/>
                <w:szCs w:val="16"/>
                <w:color w:val="auto"/>
              </w:rPr>
              <w:t>​14,771</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-1268095</wp:posOffset>
            </wp:positionV>
            <wp:extent cx="5974715" cy="5918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74715" cy="59182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-505460</wp:posOffset>
            </wp:positionV>
            <wp:extent cx="597471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-6188710</wp:posOffset>
            </wp:positionV>
            <wp:extent cx="2846070" cy="4546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46070" cy="4546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-5571490</wp:posOffset>
            </wp:positionV>
            <wp:extent cx="284607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103" w:lineRule="exact"/>
        <w:rPr>
          <w:sz w:val="20"/>
          <w:szCs w:val="20"/>
          <w:color w:val="auto"/>
        </w:rPr>
      </w:pPr>
    </w:p>
    <w:p>
      <w:pPr>
        <w:ind w:left="1080" w:right="80" w:hanging="354"/>
        <w:spacing w:after="0" w:line="267" w:lineRule="auto"/>
        <w:tabs>
          <w:tab w:leader="none" w:pos="108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total shareholder return (“TSR”) percentile ranking, in accordance with the provisions of Financial Accounting Standards Board (“FASB”) Accounting Standards Codification (“ASC”) Topic 718 — Compensation — Stock Compensation (“ASC 718”).</w:t>
      </w:r>
    </w:p>
    <w:p>
      <w:pPr>
        <w:spacing w:after="0" w:line="2" w:lineRule="exact"/>
        <w:rPr>
          <w:rFonts w:ascii="Arial" w:cs="Arial" w:eastAsia="Arial" w:hAnsi="Arial"/>
          <w:sz w:val="16"/>
          <w:szCs w:val="16"/>
          <w:i w:val="1"/>
          <w:iCs w:val="1"/>
          <w:color w:val="auto"/>
        </w:rPr>
      </w:pPr>
    </w:p>
    <w:p>
      <w:pPr>
        <w:ind w:left="1080" w:right="240" w:hanging="354"/>
        <w:spacing w:after="0" w:line="301" w:lineRule="auto"/>
        <w:tabs>
          <w:tab w:leader="none" w:pos="108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dollar value of the award, divided by $89.36 per share, which was the closing price of the Company’s common stock on the Nasdaq Global Select Market on November 7, 2023.</w:t>
      </w:r>
    </w:p>
    <w:p>
      <w:pPr>
        <w:spacing w:after="0" w:line="28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FY24 PSAs</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auto"/>
        </w:rPr>
        <w:t>The PSAs granted on November 7, 2023 (the “FY24 PSAs”) have both “performance” and “continued employment” conditions that must be met in order for the executive to receive shares underlying the award.</w:t>
      </w:r>
    </w:p>
    <w:p>
      <w:pPr>
        <w:spacing w:after="0" w:line="187"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color w:val="auto"/>
        </w:rPr>
        <w:t>The “performance” condition of the FY24 PSAs compares the Company’s performance under three distinct metrics during the applicable performance period against a range of pre-established targets,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149860</wp:posOffset>
            </wp:positionV>
            <wp:extent cx="5974715" cy="557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74715"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Percentage of</w:t>
      </w:r>
    </w:p>
    <w:p>
      <w:pPr>
        <w:jc w:val="center"/>
        <w:ind w:right="-39"/>
        <w:spacing w:after="0" w:line="234" w:lineRule="auto"/>
        <w:rPr>
          <w:sz w:val="20"/>
          <w:szCs w:val="20"/>
          <w:color w:val="auto"/>
        </w:rPr>
      </w:pPr>
      <w:r>
        <w:rPr>
          <w:rFonts w:ascii="Arial" w:cs="Arial" w:eastAsia="Arial" w:hAnsi="Arial"/>
          <w:sz w:val="18"/>
          <w:szCs w:val="18"/>
          <w:b w:val="1"/>
          <w:bCs w:val="1"/>
          <w:color w:val="FFFFFF"/>
        </w:rPr>
        <w:t>Aggregate</w:t>
      </w:r>
    </w:p>
    <w:tbl>
      <w:tblPr>
        <w:tblLayout w:type="fixed"/>
        <w:tblInd w:w="66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ind w:left="20"/>
              <w:spacing w:after="0" w:line="185" w:lineRule="exact"/>
              <w:rPr>
                <w:sz w:val="20"/>
                <w:szCs w:val="20"/>
                <w:color w:val="auto"/>
              </w:rPr>
            </w:pPr>
            <w:r>
              <w:rPr>
                <w:rFonts w:ascii="Arial" w:cs="Arial" w:eastAsia="Arial" w:hAnsi="Arial"/>
                <w:sz w:val="18"/>
                <w:szCs w:val="18"/>
                <w:b w:val="1"/>
                <w:bCs w:val="1"/>
                <w:color w:val="FFFFFF"/>
                <w:w w:val="99"/>
              </w:rPr>
              <w:t>Target Level</w:t>
            </w:r>
          </w:p>
        </w:tc>
        <w:tc>
          <w:tcPr>
            <w:tcW w:w="420" w:type="dxa"/>
            <w:vAlign w:val="bottom"/>
          </w:tcPr>
          <w:p>
            <w:pPr>
              <w:spacing w:after="0"/>
              <w:rPr>
                <w:sz w:val="16"/>
                <w:szCs w:val="16"/>
                <w:color w:val="auto"/>
              </w:rPr>
            </w:pPr>
          </w:p>
        </w:tc>
        <w:tc>
          <w:tcPr>
            <w:tcW w:w="1560" w:type="dxa"/>
            <w:vAlign w:val="bottom"/>
          </w:tcPr>
          <w:p>
            <w:pPr>
              <w:jc w:val="center"/>
              <w:ind w:right="113"/>
              <w:spacing w:after="0" w:line="185" w:lineRule="exact"/>
              <w:rPr>
                <w:sz w:val="20"/>
                <w:szCs w:val="20"/>
                <w:color w:val="auto"/>
              </w:rPr>
            </w:pPr>
            <w:r>
              <w:rPr>
                <w:rFonts w:ascii="Arial" w:cs="Arial" w:eastAsia="Arial" w:hAnsi="Arial"/>
                <w:sz w:val="18"/>
                <w:szCs w:val="18"/>
                <w:b w:val="1"/>
                <w:bCs w:val="1"/>
                <w:color w:val="FFFFFF"/>
                <w:w w:val="98"/>
              </w:rPr>
              <w:t>Performance</w:t>
            </w: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2"/>
        </w:trPr>
        <w:tc>
          <w:tcPr>
            <w:tcW w:w="78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2700" w:type="dxa"/>
            <w:vAlign w:val="bottom"/>
          </w:tcPr>
          <w:p>
            <w:pPr>
              <w:spacing w:after="0"/>
              <w:rPr>
                <w:sz w:val="22"/>
                <w:szCs w:val="22"/>
                <w:color w:val="auto"/>
              </w:rPr>
            </w:pPr>
          </w:p>
        </w:tc>
        <w:tc>
          <w:tcPr>
            <w:tcW w:w="400" w:type="dxa"/>
            <w:vAlign w:val="bottom"/>
          </w:tcPr>
          <w:p>
            <w:pPr>
              <w:ind w:left="180"/>
              <w:spacing w:after="0"/>
              <w:rPr>
                <w:sz w:val="20"/>
                <w:szCs w:val="20"/>
                <w:color w:val="auto"/>
              </w:rPr>
            </w:pPr>
            <w:r>
              <w:rPr>
                <w:rFonts w:ascii="Arial" w:cs="Arial" w:eastAsia="Arial" w:hAnsi="Arial"/>
                <w:sz w:val="18"/>
                <w:szCs w:val="18"/>
                <w:b w:val="1"/>
                <w:bCs w:val="1"/>
                <w:color w:val="FFFFFF"/>
              </w:rPr>
              <w:t>​ ​</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FFFFFF"/>
              </w:rPr>
              <w:t>Shares</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FFFFFF"/>
              </w:rPr>
              <w:t>​ ​</w:t>
            </w:r>
          </w:p>
        </w:tc>
        <w:tc>
          <w:tcPr>
            <w:tcW w:w="1560" w:type="dxa"/>
            <w:vAlign w:val="bottom"/>
          </w:tcPr>
          <w:p>
            <w:pPr>
              <w:jc w:val="center"/>
              <w:ind w:right="73"/>
              <w:spacing w:after="0"/>
              <w:rPr>
                <w:sz w:val="20"/>
                <w:szCs w:val="20"/>
                <w:color w:val="auto"/>
              </w:rPr>
            </w:pPr>
            <w:r>
              <w:rPr>
                <w:rFonts w:ascii="Arial" w:cs="Arial" w:eastAsia="Arial" w:hAnsi="Arial"/>
                <w:sz w:val="18"/>
                <w:szCs w:val="18"/>
                <w:b w:val="1"/>
                <w:bCs w:val="1"/>
                <w:color w:val="FFFFFF"/>
                <w:w w:val="99"/>
              </w:rPr>
              <w:t>Period</w:t>
            </w:r>
          </w:p>
        </w:tc>
        <w:tc>
          <w:tcPr>
            <w:tcW w:w="580" w:type="dxa"/>
            <w:vAlign w:val="bottom"/>
          </w:tcPr>
          <w:p>
            <w:pPr>
              <w:ind w:left="20"/>
              <w:spacing w:after="0"/>
              <w:rPr>
                <w:sz w:val="20"/>
                <w:szCs w:val="20"/>
                <w:color w:val="auto"/>
              </w:rPr>
            </w:pPr>
            <w:r>
              <w:rPr>
                <w:rFonts w:ascii="Arial" w:cs="Arial" w:eastAsia="Arial" w:hAnsi="Arial"/>
                <w:sz w:val="18"/>
                <w:szCs w:val="18"/>
                <w:b w:val="1"/>
                <w:bCs w:val="1"/>
                <w:color w:val="FFFFFF"/>
              </w:rPr>
              <w:t>​ ​</w:t>
            </w:r>
          </w:p>
        </w:tc>
        <w:tc>
          <w:tcPr>
            <w:tcW w:w="1780" w:type="dxa"/>
            <w:vAlign w:val="bottom"/>
          </w:tcPr>
          <w:p>
            <w:pPr>
              <w:ind w:left="400"/>
              <w:spacing w:after="0"/>
              <w:rPr>
                <w:sz w:val="20"/>
                <w:szCs w:val="20"/>
                <w:color w:val="auto"/>
              </w:rPr>
            </w:pPr>
            <w:r>
              <w:rPr>
                <w:rFonts w:ascii="Arial" w:cs="Arial" w:eastAsia="Arial" w:hAnsi="Arial"/>
                <w:sz w:val="18"/>
                <w:szCs w:val="18"/>
                <w:b w:val="1"/>
                <w:bCs w:val="1"/>
                <w:color w:val="FFFFFF"/>
              </w:rPr>
              <w:t>Vesting</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r>
      <w:tr>
        <w:trPr>
          <w:trHeight w:val="229"/>
        </w:trPr>
        <w:tc>
          <w:tcPr>
            <w:tcW w:w="348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Emerging</w:t>
            </w:r>
          </w:p>
        </w:tc>
        <w:tc>
          <w:tcPr>
            <w:tcW w:w="40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5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7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48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​Revenue Growth Metric</w:t>
            </w:r>
            <w:r>
              <w:rPr>
                <w:rFonts w:ascii="Arial" w:cs="Arial" w:eastAsia="Arial" w:hAnsi="Arial"/>
                <w:sz w:val="16"/>
                <w:szCs w:val="16"/>
                <w:color w:val="0075A8"/>
              </w:rPr>
              <w:t>(1)</w:t>
            </w:r>
          </w:p>
        </w:tc>
        <w:tc>
          <w:tcPr>
            <w:tcW w:w="4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E5E5E5"/>
          </w:tcPr>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 ​</w:t>
            </w:r>
          </w:p>
        </w:tc>
        <w:tc>
          <w:tcPr>
            <w:tcW w:w="1560" w:type="dxa"/>
            <w:vAlign w:val="bottom"/>
            <w:shd w:val="clear" w:color="auto" w:fill="E5E5E5"/>
          </w:tcPr>
          <w:p>
            <w:pPr>
              <w:jc w:val="center"/>
              <w:ind w:right="93"/>
              <w:spacing w:after="0"/>
              <w:rPr>
                <w:sz w:val="20"/>
                <w:szCs w:val="20"/>
                <w:color w:val="auto"/>
              </w:rPr>
            </w:pPr>
            <w:r>
              <w:rPr>
                <w:rFonts w:ascii="Arial" w:cs="Arial" w:eastAsia="Arial" w:hAnsi="Arial"/>
                <w:sz w:val="16"/>
                <w:szCs w:val="16"/>
                <w:color w:val="auto"/>
                <w:w w:val="98"/>
              </w:rPr>
              <w:t>Fiscal Year 2024</w:t>
            </w:r>
          </w:p>
        </w:tc>
        <w:tc>
          <w:tcPr>
            <w:tcW w:w="236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 ​ 100% at the End of Year Two</w:t>
            </w:r>
          </w:p>
        </w:tc>
        <w:tc>
          <w:tcPr>
            <w:tcW w:w="80" w:type="dxa"/>
            <w:vAlign w:val="bottom"/>
            <w:shd w:val="clear" w:color="auto" w:fill="E5E5E5"/>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Target Level Shares with Respect to EBITDA</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​Margin Percentile Ranking Metric</w:t>
            </w:r>
            <w:r>
              <w:rPr>
                <w:rFonts w:ascii="Arial" w:cs="Arial" w:eastAsia="Arial" w:hAnsi="Arial"/>
                <w:sz w:val="16"/>
                <w:szCs w:val="16"/>
                <w:color w:val="0075A8"/>
              </w:rPr>
              <w:t>(2)</w:t>
            </w:r>
          </w:p>
        </w:tc>
        <w:tc>
          <w:tcPr>
            <w:tcW w:w="400" w:type="dxa"/>
            <w:vAlign w:val="bottom"/>
          </w:tcPr>
          <w:p>
            <w:pPr>
              <w:ind w:left="240"/>
              <w:spacing w:after="0"/>
              <w:rPr>
                <w:sz w:val="20"/>
                <w:szCs w:val="20"/>
                <w:color w:val="auto"/>
              </w:rPr>
            </w:pPr>
            <w:r>
              <w:rPr>
                <w:rFonts w:ascii="Arial" w:cs="Arial" w:eastAsia="Arial" w:hAnsi="Arial"/>
                <w:sz w:val="16"/>
                <w:szCs w:val="16"/>
                <w:color w:val="auto"/>
              </w:rPr>
              <w:t>​ ​</w:t>
            </w:r>
          </w:p>
        </w:tc>
        <w:tc>
          <w:tcPr>
            <w:tcW w:w="1100" w:type="dxa"/>
            <w:vAlign w:val="bottom"/>
          </w:tcPr>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1980" w:type="dxa"/>
            <w:vAlign w:val="bottom"/>
            <w:gridSpan w:val="2"/>
          </w:tcPr>
          <w:p>
            <w:pPr>
              <w:ind w:left="60"/>
              <w:spacing w:after="0"/>
              <w:rPr>
                <w:sz w:val="20"/>
                <w:szCs w:val="20"/>
                <w:color w:val="auto"/>
              </w:rPr>
            </w:pPr>
            <w:r>
              <w:rPr>
                <w:rFonts w:ascii="Arial" w:cs="Arial" w:eastAsia="Arial" w:hAnsi="Arial"/>
                <w:sz w:val="16"/>
                <w:szCs w:val="16"/>
                <w:color w:val="auto"/>
              </w:rPr>
              <w:t>​ ​ ​Fiscal Years 2024-2025</w:t>
            </w: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 ​ 100% at the End of Year Two</w:t>
            </w:r>
          </w:p>
        </w:tc>
        <w:tc>
          <w:tcPr>
            <w:tcW w:w="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48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TSR</w:t>
            </w:r>
          </w:p>
        </w:tc>
        <w:tc>
          <w:tcPr>
            <w:tcW w:w="40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5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7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0" w:type="dxa"/>
            <w:vAlign w:val="bottom"/>
          </w:tcPr>
          <w:p>
            <w:pPr>
              <w:spacing w:after="0"/>
              <w:rPr>
                <w:sz w:val="19"/>
                <w:szCs w:val="19"/>
                <w:color w:val="auto"/>
              </w:rPr>
            </w:pPr>
          </w:p>
        </w:tc>
      </w:tr>
      <w:tr>
        <w:trPr>
          <w:trHeight w:val="217"/>
        </w:trPr>
        <w:tc>
          <w:tcPr>
            <w:tcW w:w="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Percentile​</w:t>
            </w:r>
          </w:p>
        </w:tc>
        <w:tc>
          <w:tcPr>
            <w:tcW w:w="2700" w:type="dxa"/>
            <w:vAlign w:val="bottom"/>
            <w:shd w:val="clear" w:color="auto" w:fill="E5E5E5"/>
          </w:tcPr>
          <w:p>
            <w:pPr>
              <w:ind w:left="20"/>
              <w:spacing w:after="0"/>
              <w:rPr>
                <w:sz w:val="20"/>
                <w:szCs w:val="20"/>
                <w:color w:val="auto"/>
              </w:rPr>
            </w:pPr>
            <w:r>
              <w:rPr>
                <w:rFonts w:ascii="Arial" w:cs="Arial" w:eastAsia="Arial" w:hAnsi="Arial"/>
                <w:sz w:val="16"/>
                <w:szCs w:val="16"/>
                <w:color w:val="auto"/>
              </w:rPr>
              <w:t>Ranking Metric</w:t>
            </w:r>
            <w:r>
              <w:rPr>
                <w:rFonts w:ascii="Arial" w:cs="Arial" w:eastAsia="Arial" w:hAnsi="Arial"/>
                <w:sz w:val="16"/>
                <w:szCs w:val="16"/>
                <w:color w:val="0075A8"/>
              </w:rPr>
              <w:t>(3)</w:t>
            </w:r>
          </w:p>
        </w:tc>
        <w:tc>
          <w:tcPr>
            <w:tcW w:w="4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​50​%</w:t>
            </w:r>
          </w:p>
        </w:tc>
        <w:tc>
          <w:tcPr>
            <w:tcW w:w="19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auto"/>
              </w:rPr>
              <w:t>​ ​ ​Fiscal Years 2024-2026</w:t>
            </w:r>
          </w:p>
        </w:tc>
        <w:tc>
          <w:tcPr>
            <w:tcW w:w="2440" w:type="dxa"/>
            <w:vAlign w:val="bottom"/>
            <w:gridSpan w:val="3"/>
            <w:shd w:val="clear" w:color="auto" w:fill="E5E5E5"/>
          </w:tcPr>
          <w:p>
            <w:pPr>
              <w:ind w:left="80"/>
              <w:spacing w:after="0"/>
              <w:rPr>
                <w:sz w:val="20"/>
                <w:szCs w:val="20"/>
                <w:color w:val="auto"/>
              </w:rPr>
            </w:pPr>
            <w:r>
              <w:rPr>
                <w:rFonts w:ascii="Arial" w:cs="Arial" w:eastAsia="Arial" w:hAnsi="Arial"/>
                <w:sz w:val="16"/>
                <w:szCs w:val="16"/>
                <w:color w:val="auto"/>
              </w:rPr>
              <w:t>​ ​100% at the End of Year Three</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09" w:lineRule="exact"/>
        <w:rPr>
          <w:sz w:val="20"/>
          <w:szCs w:val="20"/>
          <w:color w:val="auto"/>
        </w:rPr>
      </w:pPr>
    </w:p>
    <w:p>
      <w:pPr>
        <w:ind w:left="1080" w:right="640" w:hanging="354"/>
        <w:spacing w:after="0" w:line="272" w:lineRule="auto"/>
        <w:tabs>
          <w:tab w:leader="none" w:pos="10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The emerging revenue growth metric measures the Company’s year-over-year revenue growth in certain key product categories, each of which represents an identified longer-term growth market for the Company.</w:t>
      </w:r>
    </w:p>
    <w:p>
      <w:pPr>
        <w:spacing w:after="0" w:line="1" w:lineRule="exact"/>
        <w:rPr>
          <w:rFonts w:ascii="Arial" w:cs="Arial" w:eastAsia="Arial" w:hAnsi="Arial"/>
          <w:sz w:val="16"/>
          <w:szCs w:val="16"/>
          <w:i w:val="1"/>
          <w:iCs w:val="1"/>
          <w:color w:val="auto"/>
        </w:rPr>
      </w:pPr>
    </w:p>
    <w:p>
      <w:pPr>
        <w:ind w:left="1080" w:right="60" w:hanging="354"/>
        <w:spacing w:after="0" w:line="246" w:lineRule="auto"/>
        <w:tabs>
          <w:tab w:leader="none" w:pos="10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The EBITDA margin percentile ranking metric measures the Company’s EBITDA margin achieved relative to the companies in our FY24 Peer Group during a two-year performance period comprising the Company’s fiscal years 2024 and 2025. For purposes of the EBITDA margin percentile ranking metric, EBITDA margin is calculated by dividing EBITDA by revenue for the applicable period, where EBITDA is defined as non-GAAP operating income, plus depreciation and amortization, for the applicable period. With respect to the Company and each FY24 Peer Group company, EBITDA and revenue are calculated based on publicly reported financial information for the applicable period (which for the FY24 Peer Group companies consists of the eight-quarter period that ends closest to, but not later than, October 3, 2025).</w:t>
      </w:r>
      <w:r>
        <w:rPr>
          <w:rFonts w:ascii="Arial" w:cs="Arial" w:eastAsia="Arial" w:hAnsi="Arial"/>
          <w:sz w:val="25"/>
          <w:szCs w:val="25"/>
          <w:i w:val="1"/>
          <w:iCs w:val="1"/>
          <w:color w:val="auto"/>
          <w:vertAlign w:val="superscript"/>
        </w:rPr>
        <w:t>(4)</w:t>
      </w:r>
      <w:r>
        <w:rPr>
          <w:rFonts w:ascii="Arial" w:cs="Arial" w:eastAsia="Arial" w:hAnsi="Arial"/>
          <w:sz w:val="16"/>
          <w:szCs w:val="16"/>
          <w:i w:val="1"/>
          <w:iCs w:val="1"/>
          <w:color w:val="auto"/>
        </w:rPr>
        <w:t xml:space="preserve"> When calculating the Company’s EBITDA margin, the impact of any acquisition or disposition occurring within the performance period is excluded if the revenue attributable to such acquisition or disposition exceeds $50 million during such period.</w:t>
      </w:r>
    </w:p>
    <w:p>
      <w:pPr>
        <w:spacing w:after="0" w:line="5" w:lineRule="exact"/>
        <w:rPr>
          <w:rFonts w:ascii="Arial" w:cs="Arial" w:eastAsia="Arial" w:hAnsi="Arial"/>
          <w:sz w:val="16"/>
          <w:szCs w:val="16"/>
          <w:i w:val="1"/>
          <w:iCs w:val="1"/>
          <w:color w:val="auto"/>
        </w:rPr>
      </w:pPr>
    </w:p>
    <w:p>
      <w:pPr>
        <w:ind w:left="1080" w:right="160" w:hanging="354"/>
        <w:spacing w:after="0" w:line="264" w:lineRule="auto"/>
        <w:tabs>
          <w:tab w:leader="none" w:pos="10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The TSR percentile ranking metric measures the Company’s percentile ranking achieved with respect to its peer group. The peer group for purposes of the TSR percentile ranking metric includes each of the companies in the S&amp;P 500 Index during the performance period but excludes any such company that during the three-year performance period is acquired by or merged with (or enters into an agreement to be acquired by or merged with) another 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 the last trading day before the measurement period begins and the last trading day of the measurement period, respectively, assuming dividend reinvestment and adjusting for stock splits, as applicable.</w:t>
      </w:r>
    </w:p>
    <w:p>
      <w:pPr>
        <w:sectPr>
          <w:pgSz w:w="11900" w:h="16838" w:orient="portrait"/>
          <w:cols w:equalWidth="0" w:num="1">
            <w:col w:w="10100"/>
          </w:cols>
          <w:pgMar w:left="580" w:top="97" w:right="1219" w:bottom="1440" w:gutter="0" w:footer="0" w:header="0"/>
          <w:type w:val="continuous"/>
        </w:sectPr>
      </w:pPr>
    </w:p>
    <w:p>
      <w:pPr>
        <w:spacing w:after="0" w:line="59" w:lineRule="exact"/>
        <w:rPr>
          <w:sz w:val="20"/>
          <w:szCs w:val="20"/>
          <w:color w:val="auto"/>
        </w:rPr>
      </w:pPr>
    </w:p>
    <w:p>
      <w:pPr>
        <w:ind w:left="660"/>
        <w:spacing w:after="0" w:line="288" w:lineRule="auto"/>
        <w:rPr>
          <w:sz w:val="20"/>
          <w:szCs w:val="20"/>
          <w:color w:val="auto"/>
        </w:rPr>
      </w:pPr>
      <w:r>
        <w:rPr>
          <w:rFonts w:ascii="Arial" w:cs="Arial" w:eastAsia="Arial" w:hAnsi="Arial"/>
          <w:sz w:val="19"/>
          <w:szCs w:val="19"/>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163830</wp:posOffset>
            </wp:positionV>
            <wp:extent cx="12344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refreshes in some cases. Recognizing that a significant driver of long-term growth is our ability to identify and execute on emerging revenue growth opportunities, the Compensation Committee believes that retaining emerging revenue growth as a key metric with a one-year</w:t>
      </w:r>
    </w:p>
    <w:p>
      <w:pPr>
        <w:spacing w:after="0" w:line="215" w:lineRule="exact"/>
        <w:rPr>
          <w:sz w:val="20"/>
          <w:szCs w:val="20"/>
          <w:color w:val="auto"/>
        </w:rPr>
      </w:pPr>
    </w:p>
    <w:p>
      <w:pPr>
        <w:sectPr>
          <w:pgSz w:w="11900" w:h="16838" w:orient="portrait"/>
          <w:cols w:equalWidth="0" w:num="2">
            <w:col w:w="4900" w:space="680"/>
            <w:col w:w="4520"/>
          </w:cols>
          <w:pgMar w:left="580" w:top="97" w:right="1219" w:bottom="1440" w:gutter="0" w:footer="0" w:header="0"/>
          <w:type w:val="continuous"/>
        </w:sectPr>
      </w:pPr>
    </w:p>
    <w:p>
      <w:pPr>
        <w:spacing w:after="0" w:line="153" w:lineRule="exact"/>
        <w:rPr>
          <w:sz w:val="20"/>
          <w:szCs w:val="20"/>
          <w:color w:val="auto"/>
        </w:rPr>
      </w:pPr>
    </w:p>
    <w:p>
      <w:pPr>
        <w:ind w:left="1080" w:right="260" w:hanging="354"/>
        <w:spacing w:after="0" w:line="274" w:lineRule="auto"/>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When calculating the EBITDA margin percentile ranking, the performance of a company in the FY24 Peer Group will be included if during the performance period such company in the FY24 Peer Group publicly reports quarterly financial results for at least six consecutive quarters out of the eight applicable quarters.</w:t>
      </w:r>
    </w:p>
    <w:p>
      <w:pPr>
        <w:spacing w:after="0" w:line="30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660"/>
        <w:spacing w:after="0" w:line="259" w:lineRule="auto"/>
        <w:rPr>
          <w:sz w:val="20"/>
          <w:szCs w:val="20"/>
          <w:color w:val="auto"/>
        </w:rPr>
      </w:pPr>
      <w:r>
        <w:rPr>
          <w:rFonts w:ascii="Arial" w:cs="Arial" w:eastAsia="Arial" w:hAnsi="Arial"/>
          <w:sz w:val="19"/>
          <w:szCs w:val="19"/>
          <w:color w:val="auto"/>
        </w:rPr>
        <w:t>performance period is appropriate. Moreover, utilizing only performance periods longer than one year (e.g. multi-year periods) could limit the Committee’s ability to focus management on the most compelling growth opportunities each year. Accordingly, for the FY24 PSAs, the Compensation Committee retained emerging revenue growth as a one-year metric (representing 25% of the target value of the PSAs) to incentivize our management team on specific emerging product lines that have higher growth potential and are intended to drive long-term value creation. In light of stockholder feedback following the 2021 Annual Meeting of Stockholders (the “2021 Annual Meeting”), the Compensation Committee determined that shares earned pursuant to the emerging revenue growth metric would not vest until the two-year anniversary of the grant date.</w:t>
      </w:r>
    </w:p>
    <w:p>
      <w:pPr>
        <w:spacing w:after="0" w:line="184" w:lineRule="exact"/>
        <w:rPr>
          <w:sz w:val="20"/>
          <w:szCs w:val="20"/>
          <w:color w:val="auto"/>
        </w:rPr>
      </w:pPr>
    </w:p>
    <w:p>
      <w:pPr>
        <w:jc w:val="both"/>
        <w:ind w:left="660" w:right="80"/>
        <w:spacing w:after="0" w:line="275" w:lineRule="auto"/>
        <w:rPr>
          <w:sz w:val="20"/>
          <w:szCs w:val="20"/>
          <w:color w:val="auto"/>
        </w:rPr>
      </w:pPr>
      <w:r>
        <w:rPr>
          <w:rFonts w:ascii="Arial" w:cs="Arial" w:eastAsia="Arial" w:hAnsi="Arial"/>
          <w:sz w:val="19"/>
          <w:szCs w:val="19"/>
          <w:color w:val="auto"/>
        </w:rPr>
        <w:t>For 25% of the target value under the FY24 PSAs, the Compensation Committee retained a two-year EBITDA margin percentile ranking metric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both"/>
        <w:ind w:right="240"/>
        <w:spacing w:after="0" w:line="278" w:lineRule="auto"/>
        <w:rPr>
          <w:sz w:val="20"/>
          <w:szCs w:val="20"/>
          <w:color w:val="auto"/>
        </w:rPr>
      </w:pPr>
      <w:r>
        <w:rPr>
          <w:rFonts w:ascii="Arial" w:cs="Arial" w:eastAsia="Arial" w:hAnsi="Arial"/>
          <w:sz w:val="19"/>
          <w:szCs w:val="19"/>
          <w:color w:val="auto"/>
        </w:rPr>
        <w:t>measures performance relative to the FY24 Peer Group. To incentivize above-median performance, the Compensation Committee set the</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target percentile for the EBITDA margin percentile ranking metric at the 55</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percentile of our FY24 Peer Group. Following stockholder feedback received after the 2024 Annual Meeting, the Compensation Committee determined that shares earned pursuant to the EBITDA margin percentile ranking metric for awards granted to Named Executive Officers for fiscal year 2025 would be subject to a three-year performance period and would not vest until the three-year anniversary of the grant date. As in prior years, the remaining half of the target value under the FY24 PSAs was based on a three-year TSR percentile ranking.</w:t>
      </w:r>
    </w:p>
    <w:p>
      <w:pPr>
        <w:spacing w:after="0" w:line="1306" w:lineRule="exact"/>
        <w:rPr>
          <w:sz w:val="20"/>
          <w:szCs w:val="20"/>
          <w:color w:val="auto"/>
        </w:rPr>
      </w:pPr>
    </w:p>
    <w:p>
      <w:pPr>
        <w:sectPr>
          <w:pgSz w:w="11900" w:h="16838" w:orient="portrait"/>
          <w:cols w:equalWidth="0" w:num="2">
            <w:col w:w="5060" w:space="520"/>
            <w:col w:w="4520"/>
          </w:cols>
          <w:pgMar w:left="580" w:top="97" w:right="121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specific pre-established performance goals for the FY24 PSAs under the emerging revenue growth,</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EBITDA margin percentile ranking and TSR percentile ranking metrics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173355</wp:posOffset>
            </wp:positionV>
            <wp:extent cx="5974715"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760" w:type="dxa"/>
            <w:vAlign w:val="bottom"/>
          </w:tcPr>
          <w:p>
            <w:pPr>
              <w:ind w:left="20"/>
              <w:spacing w:after="0"/>
              <w:rPr>
                <w:sz w:val="20"/>
                <w:szCs w:val="20"/>
                <w:color w:val="auto"/>
              </w:rPr>
            </w:pPr>
            <w:r>
              <w:rPr>
                <w:rFonts w:ascii="Arial" w:cs="Arial" w:eastAsia="Arial" w:hAnsi="Arial"/>
                <w:sz w:val="18"/>
                <w:szCs w:val="18"/>
                <w:b w:val="1"/>
                <w:bCs w:val="1"/>
                <w:color w:val="FFFFFF"/>
              </w:rPr>
              <w:t>​Company Metric</w:t>
            </w:r>
          </w:p>
        </w:tc>
        <w:tc>
          <w:tcPr>
            <w:tcW w:w="4680" w:type="dxa"/>
            <w:vAlign w:val="bottom"/>
            <w:gridSpan w:val="10"/>
          </w:tcPr>
          <w:p>
            <w:pPr>
              <w:ind w:left="1760"/>
              <w:spacing w:after="0"/>
              <w:rPr>
                <w:sz w:val="20"/>
                <w:szCs w:val="20"/>
                <w:color w:val="auto"/>
              </w:rPr>
            </w:pPr>
            <w:r>
              <w:rPr>
                <w:rFonts w:ascii="Arial" w:cs="Arial" w:eastAsia="Arial" w:hAnsi="Arial"/>
                <w:sz w:val="18"/>
                <w:szCs w:val="18"/>
                <w:b w:val="1"/>
                <w:bCs w:val="1"/>
                <w:color w:val="FFFFFF"/>
              </w:rPr>
              <w:t>​ ​Threshold ​ ​Target ​ ​Maximum ​</w:t>
            </w:r>
          </w:p>
        </w:tc>
        <w:tc>
          <w:tcPr>
            <w:tcW w:w="0" w:type="dxa"/>
            <w:vAlign w:val="bottom"/>
          </w:tcPr>
          <w:p>
            <w:pPr>
              <w:spacing w:after="0"/>
              <w:rPr>
                <w:sz w:val="1"/>
                <w:szCs w:val="1"/>
                <w:color w:val="auto"/>
              </w:rPr>
            </w:pPr>
          </w:p>
        </w:tc>
      </w:tr>
      <w:tr>
        <w:trPr>
          <w:trHeight w:val="203"/>
        </w:trPr>
        <w:tc>
          <w:tcPr>
            <w:tcW w:w="4760" w:type="dxa"/>
            <w:vAlign w:val="bottom"/>
          </w:tcPr>
          <w:p>
            <w:pPr>
              <w:ind w:left="40"/>
              <w:spacing w:after="0"/>
              <w:rPr>
                <w:sz w:val="20"/>
                <w:szCs w:val="20"/>
                <w:color w:val="auto"/>
              </w:rPr>
            </w:pPr>
            <w:r>
              <w:rPr>
                <w:rFonts w:ascii="Arial" w:cs="Arial" w:eastAsia="Arial" w:hAnsi="Arial"/>
                <w:sz w:val="16"/>
                <w:szCs w:val="16"/>
                <w:color w:val="auto"/>
              </w:rPr>
              <w:t>1​-year Emerging Revenue Growth (%)</w:t>
            </w:r>
          </w:p>
        </w:tc>
        <w:tc>
          <w:tcPr>
            <w:tcW w:w="2100" w:type="dxa"/>
            <w:vAlign w:val="bottom"/>
          </w:tcPr>
          <w:p>
            <w:pPr>
              <w:ind w:left="1800"/>
              <w:spacing w:after="0"/>
              <w:rPr>
                <w:sz w:val="20"/>
                <w:szCs w:val="20"/>
                <w:color w:val="auto"/>
              </w:rPr>
            </w:pPr>
            <w:r>
              <w:rPr>
                <w:rFonts w:ascii="Arial" w:cs="Arial" w:eastAsia="Arial" w:hAnsi="Arial"/>
                <w:sz w:val="16"/>
                <w:szCs w:val="16"/>
                <w:color w:val="auto"/>
              </w:rPr>
              <w:t>​ ​</w:t>
            </w:r>
          </w:p>
        </w:tc>
        <w:tc>
          <w:tcPr>
            <w:tcW w:w="600" w:type="dxa"/>
            <w:vAlign w:val="bottom"/>
          </w:tcPr>
          <w:p>
            <w:pPr>
              <w:ind w:left="120"/>
              <w:spacing w:after="0"/>
              <w:rPr>
                <w:sz w:val="20"/>
                <w:szCs w:val="20"/>
                <w:color w:val="auto"/>
              </w:rPr>
            </w:pPr>
            <w:r>
              <w:rPr>
                <w:rFonts w:ascii="Arial" w:cs="Arial" w:eastAsia="Arial" w:hAnsi="Arial"/>
                <w:sz w:val="16"/>
                <w:szCs w:val="16"/>
                <w:color w:val="auto"/>
              </w:rPr>
              <w:t>​5.0​%</w:t>
            </w:r>
          </w:p>
        </w:tc>
        <w:tc>
          <w:tcPr>
            <w:tcW w:w="1200" w:type="dxa"/>
            <w:vAlign w:val="bottom"/>
            <w:gridSpan w:val="4"/>
          </w:tcPr>
          <w:p>
            <w:pPr>
              <w:jc w:val="right"/>
              <w:ind w:right="24"/>
              <w:spacing w:after="0"/>
              <w:rPr>
                <w:sz w:val="20"/>
                <w:szCs w:val="20"/>
                <w:color w:val="auto"/>
              </w:rPr>
            </w:pPr>
            <w:r>
              <w:rPr>
                <w:rFonts w:ascii="Arial" w:cs="Arial" w:eastAsia="Arial" w:hAnsi="Arial"/>
                <w:sz w:val="16"/>
                <w:szCs w:val="16"/>
                <w:color w:val="auto"/>
              </w:rPr>
              <w:t>​ ​ ​ ​10.0​%​ ​ ​</w:t>
            </w:r>
          </w:p>
        </w:tc>
        <w:tc>
          <w:tcPr>
            <w:tcW w:w="640" w:type="dxa"/>
            <w:vAlign w:val="bottom"/>
            <w:gridSpan w:val="2"/>
          </w:tcPr>
          <w:p>
            <w:pPr>
              <w:ind w:left="100"/>
              <w:spacing w:after="0"/>
              <w:rPr>
                <w:sz w:val="20"/>
                <w:szCs w:val="20"/>
                <w:color w:val="auto"/>
              </w:rPr>
            </w:pPr>
            <w:r>
              <w:rPr>
                <w:rFonts w:ascii="Arial" w:cs="Arial" w:eastAsia="Arial" w:hAnsi="Arial"/>
                <w:sz w:val="16"/>
                <w:szCs w:val="16"/>
                <w:color w:val="auto"/>
              </w:rPr>
              <w:t>​15.0​%</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760" w:type="dxa"/>
            <w:vAlign w:val="bottom"/>
            <w:vMerge w:val="restart"/>
          </w:tcPr>
          <w:p>
            <w:pPr>
              <w:ind w:left="40"/>
              <w:spacing w:after="0"/>
              <w:rPr>
                <w:sz w:val="20"/>
                <w:szCs w:val="20"/>
                <w:color w:val="auto"/>
              </w:rPr>
            </w:pPr>
            <w:r>
              <w:rPr>
                <w:rFonts w:ascii="Arial" w:cs="Arial" w:eastAsia="Arial" w:hAnsi="Arial"/>
                <w:sz w:val="16"/>
                <w:szCs w:val="16"/>
                <w:color w:val="auto"/>
              </w:rPr>
              <w:t>2​-year EBITDA Margin Percentile Ranking</w:t>
            </w:r>
          </w:p>
        </w:tc>
        <w:tc>
          <w:tcPr>
            <w:tcW w:w="2100" w:type="dxa"/>
            <w:vAlign w:val="bottom"/>
            <w:vMerge w:val="restart"/>
          </w:tcPr>
          <w:p>
            <w:pPr>
              <w:ind w:left="1800"/>
              <w:spacing w:after="0"/>
              <w:rPr>
                <w:sz w:val="20"/>
                <w:szCs w:val="20"/>
                <w:color w:val="auto"/>
              </w:rPr>
            </w:pPr>
            <w:r>
              <w:rPr>
                <w:rFonts w:ascii="Arial" w:cs="Arial" w:eastAsia="Arial" w:hAnsi="Arial"/>
                <w:sz w:val="16"/>
                <w:szCs w:val="16"/>
                <w:color w:val="auto"/>
              </w:rPr>
              <w:t>​ ​</w:t>
            </w:r>
          </w:p>
        </w:tc>
        <w:tc>
          <w:tcPr>
            <w:tcW w:w="600" w:type="dxa"/>
            <w:vAlign w:val="bottom"/>
          </w:tcPr>
          <w:p>
            <w:pPr>
              <w:ind w:left="360"/>
              <w:spacing w:after="0" w:line="108" w:lineRule="exact"/>
              <w:rPr>
                <w:sz w:val="20"/>
                <w:szCs w:val="20"/>
                <w:color w:val="auto"/>
              </w:rPr>
            </w:pPr>
            <w:r>
              <w:rPr>
                <w:rFonts w:ascii="Arial" w:cs="Arial" w:eastAsia="Arial" w:hAnsi="Arial"/>
                <w:sz w:val="10"/>
                <w:szCs w:val="10"/>
                <w:color w:val="auto"/>
              </w:rPr>
              <w:t>th</w:t>
            </w:r>
          </w:p>
        </w:tc>
        <w:tc>
          <w:tcPr>
            <w:tcW w:w="500" w:type="dxa"/>
            <w:vAlign w:val="bottom"/>
            <w:gridSpan w:val="2"/>
            <w:vMerge w:val="restart"/>
          </w:tcPr>
          <w:p>
            <w:pPr>
              <w:jc w:val="right"/>
              <w:spacing w:after="0"/>
              <w:rPr>
                <w:sz w:val="20"/>
                <w:szCs w:val="20"/>
                <w:color w:val="auto"/>
              </w:rPr>
            </w:pPr>
            <w:r>
              <w:rPr>
                <w:rFonts w:ascii="Arial" w:cs="Arial" w:eastAsia="Arial" w:hAnsi="Arial"/>
                <w:sz w:val="16"/>
                <w:szCs w:val="16"/>
                <w:color w:val="auto"/>
              </w:rPr>
              <w:t>​ ​ ​ ​</w:t>
            </w:r>
          </w:p>
        </w:tc>
        <w:tc>
          <w:tcPr>
            <w:tcW w:w="320" w:type="dxa"/>
            <w:vAlign w:val="bottom"/>
          </w:tcPr>
          <w:p>
            <w:pPr>
              <w:ind w:left="220"/>
              <w:spacing w:after="0" w:line="108" w:lineRule="exact"/>
              <w:rPr>
                <w:sz w:val="20"/>
                <w:szCs w:val="20"/>
                <w:color w:val="auto"/>
              </w:rPr>
            </w:pPr>
            <w:r>
              <w:rPr>
                <w:rFonts w:ascii="Arial" w:cs="Arial" w:eastAsia="Arial" w:hAnsi="Arial"/>
                <w:sz w:val="10"/>
                <w:szCs w:val="10"/>
                <w:color w:val="auto"/>
                <w:w w:val="95"/>
              </w:rPr>
              <w:t>th</w:t>
            </w:r>
          </w:p>
        </w:tc>
        <w:tc>
          <w:tcPr>
            <w:tcW w:w="380" w:type="dxa"/>
            <w:vAlign w:val="bottom"/>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ind w:left="240"/>
              <w:spacing w:after="0" w:line="108" w:lineRule="exact"/>
              <w:rPr>
                <w:sz w:val="20"/>
                <w:szCs w:val="20"/>
                <w:color w:val="auto"/>
              </w:rPr>
            </w:pPr>
            <w:r>
              <w:rPr>
                <w:rFonts w:ascii="Arial" w:cs="Arial" w:eastAsia="Arial" w:hAnsi="Arial"/>
                <w:sz w:val="10"/>
                <w:szCs w:val="10"/>
                <w:color w:val="auto"/>
              </w:rPr>
              <w:t>th</w:t>
            </w:r>
          </w:p>
        </w:tc>
        <w:tc>
          <w:tcPr>
            <w:tcW w:w="14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76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600" w:type="dxa"/>
            <w:vAlign w:val="bottom"/>
          </w:tcPr>
          <w:p>
            <w:pPr>
              <w:ind w:left="120"/>
              <w:spacing w:after="0" w:line="108" w:lineRule="exact"/>
              <w:rPr>
                <w:sz w:val="20"/>
                <w:szCs w:val="20"/>
                <w:color w:val="auto"/>
              </w:rPr>
            </w:pPr>
            <w:r>
              <w:rPr>
                <w:rFonts w:ascii="Arial" w:cs="Arial" w:eastAsia="Arial" w:hAnsi="Arial"/>
                <w:sz w:val="12"/>
                <w:szCs w:val="12"/>
                <w:color w:val="auto"/>
              </w:rPr>
              <w:t>​25​</w:t>
            </w:r>
          </w:p>
        </w:tc>
        <w:tc>
          <w:tcPr>
            <w:tcW w:w="500" w:type="dxa"/>
            <w:vAlign w:val="bottom"/>
            <w:gridSpan w:val="2"/>
            <w:vMerge w:val="continue"/>
          </w:tcPr>
          <w:p>
            <w:pPr>
              <w:spacing w:after="0"/>
              <w:rPr>
                <w:sz w:val="9"/>
                <w:szCs w:val="9"/>
                <w:color w:val="auto"/>
              </w:rPr>
            </w:pPr>
          </w:p>
        </w:tc>
        <w:tc>
          <w:tcPr>
            <w:tcW w:w="700" w:type="dxa"/>
            <w:vAlign w:val="bottom"/>
            <w:gridSpan w:val="2"/>
          </w:tcPr>
          <w:p>
            <w:pPr>
              <w:jc w:val="right"/>
              <w:ind w:right="24"/>
              <w:spacing w:after="0" w:line="108" w:lineRule="exact"/>
              <w:rPr>
                <w:sz w:val="20"/>
                <w:szCs w:val="20"/>
                <w:color w:val="auto"/>
              </w:rPr>
            </w:pPr>
            <w:r>
              <w:rPr>
                <w:rFonts w:ascii="Arial" w:cs="Arial" w:eastAsia="Arial" w:hAnsi="Arial"/>
                <w:sz w:val="12"/>
                <w:szCs w:val="12"/>
                <w:color w:val="auto"/>
              </w:rPr>
              <w:t>55​ ​ ​ ​</w:t>
            </w:r>
          </w:p>
        </w:tc>
        <w:tc>
          <w:tcPr>
            <w:tcW w:w="200" w:type="dxa"/>
            <w:vAlign w:val="bottom"/>
            <w:vMerge w:val="continue"/>
          </w:tcPr>
          <w:p>
            <w:pPr>
              <w:spacing w:after="0"/>
              <w:rPr>
                <w:sz w:val="9"/>
                <w:szCs w:val="9"/>
                <w:color w:val="auto"/>
              </w:rPr>
            </w:pPr>
          </w:p>
        </w:tc>
        <w:tc>
          <w:tcPr>
            <w:tcW w:w="440" w:type="dxa"/>
            <w:vAlign w:val="bottom"/>
          </w:tcPr>
          <w:p>
            <w:pPr>
              <w:ind w:left="60"/>
              <w:spacing w:after="0" w:line="108" w:lineRule="exact"/>
              <w:rPr>
                <w:sz w:val="20"/>
                <w:szCs w:val="20"/>
                <w:color w:val="auto"/>
              </w:rPr>
            </w:pPr>
            <w:r>
              <w:rPr>
                <w:rFonts w:ascii="Arial" w:cs="Arial" w:eastAsia="Arial" w:hAnsi="Arial"/>
                <w:sz w:val="12"/>
                <w:szCs w:val="12"/>
                <w:color w:val="auto"/>
              </w:rPr>
              <w:t>75​</w:t>
            </w:r>
          </w:p>
        </w:tc>
        <w:tc>
          <w:tcPr>
            <w:tcW w:w="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60" w:type="dxa"/>
            <w:vAlign w:val="bottom"/>
            <w:vMerge w:val="restart"/>
          </w:tcPr>
          <w:p>
            <w:pPr>
              <w:ind w:left="40"/>
              <w:spacing w:after="0"/>
              <w:rPr>
                <w:sz w:val="20"/>
                <w:szCs w:val="20"/>
                <w:color w:val="auto"/>
              </w:rPr>
            </w:pPr>
            <w:r>
              <w:rPr>
                <w:rFonts w:ascii="Arial" w:cs="Arial" w:eastAsia="Arial" w:hAnsi="Arial"/>
                <w:sz w:val="16"/>
                <w:szCs w:val="16"/>
                <w:color w:val="auto"/>
              </w:rPr>
              <w:t>3-year TSR Percentile Ranking</w:t>
            </w:r>
          </w:p>
        </w:tc>
        <w:tc>
          <w:tcPr>
            <w:tcW w:w="2100" w:type="dxa"/>
            <w:vAlign w:val="bottom"/>
          </w:tcPr>
          <w:p>
            <w:pPr>
              <w:spacing w:after="0"/>
              <w:rPr>
                <w:sz w:val="9"/>
                <w:szCs w:val="9"/>
                <w:color w:val="auto"/>
              </w:rPr>
            </w:pPr>
          </w:p>
        </w:tc>
        <w:tc>
          <w:tcPr>
            <w:tcW w:w="600" w:type="dxa"/>
            <w:vAlign w:val="bottom"/>
          </w:tcPr>
          <w:p>
            <w:pPr>
              <w:ind w:left="360"/>
              <w:spacing w:after="0" w:line="108" w:lineRule="exact"/>
              <w:rPr>
                <w:sz w:val="20"/>
                <w:szCs w:val="20"/>
                <w:color w:val="auto"/>
              </w:rPr>
            </w:pPr>
            <w:r>
              <w:rPr>
                <w:rFonts w:ascii="Arial" w:cs="Arial" w:eastAsia="Arial" w:hAnsi="Arial"/>
                <w:sz w:val="10"/>
                <w:szCs w:val="10"/>
                <w:color w:val="auto"/>
              </w:rPr>
              <w:t>th</w:t>
            </w:r>
          </w:p>
        </w:tc>
        <w:tc>
          <w:tcPr>
            <w:tcW w:w="3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ind w:left="220"/>
              <w:spacing w:after="0" w:line="108" w:lineRule="exact"/>
              <w:rPr>
                <w:sz w:val="20"/>
                <w:szCs w:val="20"/>
                <w:color w:val="auto"/>
              </w:rPr>
            </w:pPr>
            <w:r>
              <w:rPr>
                <w:rFonts w:ascii="Arial" w:cs="Arial" w:eastAsia="Arial" w:hAnsi="Arial"/>
                <w:sz w:val="10"/>
                <w:szCs w:val="10"/>
                <w:color w:val="auto"/>
                <w:w w:val="95"/>
              </w:rPr>
              <w:t>th</w:t>
            </w:r>
          </w:p>
        </w:tc>
        <w:tc>
          <w:tcPr>
            <w:tcW w:w="380" w:type="dxa"/>
            <w:vAlign w:val="bottom"/>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ind w:left="240"/>
              <w:spacing w:after="0" w:line="108" w:lineRule="exact"/>
              <w:rPr>
                <w:sz w:val="20"/>
                <w:szCs w:val="20"/>
                <w:color w:val="auto"/>
              </w:rPr>
            </w:pPr>
            <w:r>
              <w:rPr>
                <w:rFonts w:ascii="Arial" w:cs="Arial" w:eastAsia="Arial" w:hAnsi="Arial"/>
                <w:sz w:val="10"/>
                <w:szCs w:val="10"/>
                <w:color w:val="auto"/>
              </w:rPr>
              <w:t>th</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760" w:type="dxa"/>
            <w:vAlign w:val="bottom"/>
            <w:vMerge w:val="continue"/>
          </w:tcPr>
          <w:p>
            <w:pPr>
              <w:spacing w:after="0"/>
              <w:rPr>
                <w:sz w:val="7"/>
                <w:szCs w:val="7"/>
                <w:color w:val="auto"/>
              </w:rPr>
            </w:pPr>
          </w:p>
        </w:tc>
        <w:tc>
          <w:tcPr>
            <w:tcW w:w="2100" w:type="dxa"/>
            <w:vAlign w:val="bottom"/>
            <w:vMerge w:val="restart"/>
          </w:tcPr>
          <w:p>
            <w:pPr>
              <w:ind w:left="1800"/>
              <w:spacing w:after="0" w:line="135" w:lineRule="exact"/>
              <w:rPr>
                <w:sz w:val="20"/>
                <w:szCs w:val="20"/>
                <w:color w:val="auto"/>
              </w:rPr>
            </w:pPr>
            <w:r>
              <w:rPr>
                <w:rFonts w:ascii="Arial" w:cs="Arial" w:eastAsia="Arial" w:hAnsi="Arial"/>
                <w:sz w:val="15"/>
                <w:szCs w:val="15"/>
                <w:color w:val="auto"/>
              </w:rPr>
              <w:t>​ ​</w:t>
            </w:r>
          </w:p>
        </w:tc>
        <w:tc>
          <w:tcPr>
            <w:tcW w:w="600" w:type="dxa"/>
            <w:vAlign w:val="bottom"/>
          </w:tcPr>
          <w:p>
            <w:pPr>
              <w:ind w:left="120"/>
              <w:spacing w:after="0" w:line="81" w:lineRule="exact"/>
              <w:rPr>
                <w:sz w:val="20"/>
                <w:szCs w:val="20"/>
                <w:color w:val="auto"/>
              </w:rPr>
            </w:pPr>
            <w:r>
              <w:rPr>
                <w:rFonts w:ascii="Arial" w:cs="Arial" w:eastAsia="Arial" w:hAnsi="Arial"/>
                <w:sz w:val="9"/>
                <w:szCs w:val="9"/>
                <w:b w:val="1"/>
                <w:bCs w:val="1"/>
                <w:color w:val="auto"/>
              </w:rPr>
              <w:t>​</w:t>
            </w:r>
            <w:r>
              <w:rPr>
                <w:rFonts w:ascii="Arial" w:cs="Arial" w:eastAsia="Arial" w:hAnsi="Arial"/>
                <w:sz w:val="9"/>
                <w:szCs w:val="9"/>
                <w:color w:val="auto"/>
              </w:rPr>
              <w:t>25​</w:t>
            </w:r>
          </w:p>
        </w:tc>
        <w:tc>
          <w:tcPr>
            <w:tcW w:w="380" w:type="dxa"/>
            <w:vAlign w:val="bottom"/>
            <w:vMerge w:val="restart"/>
          </w:tcPr>
          <w:p>
            <w:pPr>
              <w:ind w:left="80"/>
              <w:spacing w:after="0" w:line="135" w:lineRule="exact"/>
              <w:rPr>
                <w:sz w:val="20"/>
                <w:szCs w:val="20"/>
                <w:color w:val="auto"/>
              </w:rPr>
            </w:pPr>
            <w:r>
              <w:rPr>
                <w:rFonts w:ascii="Arial" w:cs="Arial" w:eastAsia="Arial" w:hAnsi="Arial"/>
                <w:sz w:val="15"/>
                <w:szCs w:val="15"/>
                <w:color w:val="auto"/>
              </w:rPr>
              <w:t>​ ​ ​</w:t>
            </w:r>
          </w:p>
        </w:tc>
        <w:tc>
          <w:tcPr>
            <w:tcW w:w="120" w:type="dxa"/>
            <w:vAlign w:val="bottom"/>
            <w:vMerge w:val="continue"/>
          </w:tcPr>
          <w:p>
            <w:pPr>
              <w:spacing w:after="0"/>
              <w:rPr>
                <w:sz w:val="7"/>
                <w:szCs w:val="7"/>
                <w:color w:val="auto"/>
              </w:rPr>
            </w:pPr>
          </w:p>
        </w:tc>
        <w:tc>
          <w:tcPr>
            <w:tcW w:w="320" w:type="dxa"/>
            <w:vAlign w:val="bottom"/>
          </w:tcPr>
          <w:p>
            <w:pPr>
              <w:ind w:left="40"/>
              <w:spacing w:after="0" w:line="81" w:lineRule="exact"/>
              <w:rPr>
                <w:sz w:val="20"/>
                <w:szCs w:val="20"/>
                <w:color w:val="auto"/>
              </w:rPr>
            </w:pPr>
            <w:r>
              <w:rPr>
                <w:rFonts w:ascii="Arial" w:cs="Arial" w:eastAsia="Arial" w:hAnsi="Arial"/>
                <w:sz w:val="9"/>
                <w:szCs w:val="9"/>
                <w:color w:val="auto"/>
              </w:rPr>
              <w:t>55​</w:t>
            </w:r>
          </w:p>
        </w:tc>
        <w:tc>
          <w:tcPr>
            <w:tcW w:w="380" w:type="dxa"/>
            <w:vAlign w:val="bottom"/>
            <w:vMerge w:val="restart"/>
          </w:tcPr>
          <w:p>
            <w:pPr>
              <w:jc w:val="right"/>
              <w:ind w:right="24"/>
              <w:spacing w:after="0" w:line="135" w:lineRule="exact"/>
              <w:rPr>
                <w:sz w:val="20"/>
                <w:szCs w:val="20"/>
                <w:color w:val="auto"/>
              </w:rPr>
            </w:pPr>
            <w:r>
              <w:rPr>
                <w:rFonts w:ascii="Arial" w:cs="Arial" w:eastAsia="Arial" w:hAnsi="Arial"/>
                <w:sz w:val="15"/>
                <w:szCs w:val="15"/>
                <w:color w:val="auto"/>
              </w:rPr>
              <w:t>​ ​ ​</w:t>
            </w:r>
          </w:p>
        </w:tc>
        <w:tc>
          <w:tcPr>
            <w:tcW w:w="200" w:type="dxa"/>
            <w:vAlign w:val="bottom"/>
            <w:vMerge w:val="continue"/>
          </w:tcPr>
          <w:p>
            <w:pPr>
              <w:spacing w:after="0"/>
              <w:rPr>
                <w:sz w:val="7"/>
                <w:szCs w:val="7"/>
                <w:color w:val="auto"/>
              </w:rPr>
            </w:pPr>
          </w:p>
        </w:tc>
        <w:tc>
          <w:tcPr>
            <w:tcW w:w="440" w:type="dxa"/>
            <w:vAlign w:val="bottom"/>
          </w:tcPr>
          <w:p>
            <w:pPr>
              <w:ind w:left="60"/>
              <w:spacing w:after="0" w:line="81" w:lineRule="exact"/>
              <w:rPr>
                <w:sz w:val="20"/>
                <w:szCs w:val="20"/>
                <w:color w:val="auto"/>
              </w:rPr>
            </w:pPr>
            <w:r>
              <w:rPr>
                <w:rFonts w:ascii="Arial" w:cs="Arial" w:eastAsia="Arial" w:hAnsi="Arial"/>
                <w:sz w:val="9"/>
                <w:szCs w:val="9"/>
                <w:color w:val="auto"/>
              </w:rPr>
              <w:t>90​</w:t>
            </w:r>
          </w:p>
        </w:tc>
        <w:tc>
          <w:tcPr>
            <w:tcW w:w="140" w:type="dxa"/>
            <w:vAlign w:val="bottom"/>
            <w:gridSpan w:val="2"/>
            <w:vMerge w:val="restart"/>
          </w:tcPr>
          <w:p>
            <w:pPr>
              <w:ind w:left="40"/>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4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21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BFBFBF"/>
          </w:tcPr>
          <w:p>
            <w:pPr>
              <w:spacing w:after="0" w:line="20" w:lineRule="exact"/>
              <w:rPr>
                <w:sz w:val="1"/>
                <w:szCs w:val="1"/>
                <w:color w:val="auto"/>
              </w:rPr>
            </w:pPr>
          </w:p>
        </w:tc>
        <w:tc>
          <w:tcPr>
            <w:tcW w:w="2100" w:type="dxa"/>
            <w:vAlign w:val="bottom"/>
            <w:shd w:val="clear" w:color="auto" w:fill="BFBFBF"/>
          </w:tcPr>
          <w:p>
            <w:pPr>
              <w:spacing w:after="0" w:line="20" w:lineRule="exact"/>
              <w:rPr>
                <w:sz w:val="1"/>
                <w:szCs w:val="1"/>
                <w:color w:val="auto"/>
              </w:rPr>
            </w:pPr>
          </w:p>
        </w:tc>
        <w:tc>
          <w:tcPr>
            <w:tcW w:w="60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2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-427990</wp:posOffset>
            </wp:positionV>
            <wp:extent cx="597471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74715" cy="1289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wp:posOffset>
            </wp:positionV>
            <wp:extent cx="597471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88" w:lineRule="exact"/>
        <w:rPr>
          <w:sz w:val="20"/>
          <w:szCs w:val="20"/>
          <w:color w:val="auto"/>
        </w:rPr>
      </w:pPr>
    </w:p>
    <w:p>
      <w:pPr>
        <w:ind w:left="660" w:right="120"/>
        <w:spacing w:after="0" w:line="264" w:lineRule="auto"/>
        <w:rPr>
          <w:sz w:val="20"/>
          <w:szCs w:val="20"/>
          <w:color w:val="auto"/>
        </w:rPr>
      </w:pPr>
      <w:r>
        <w:rPr>
          <w:rFonts w:ascii="Arial" w:cs="Arial" w:eastAsia="Arial" w:hAnsi="Arial"/>
          <w:sz w:val="20"/>
          <w:szCs w:val="20"/>
          <w:color w:val="auto"/>
        </w:rPr>
        <w:t>As with the Incentive Plan, the pre-established targets under the FY24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163" w:lineRule="exact"/>
        <w:rPr>
          <w:sz w:val="20"/>
          <w:szCs w:val="20"/>
          <w:color w:val="auto"/>
        </w:rPr>
      </w:pPr>
    </w:p>
    <w:p>
      <w:pPr>
        <w:ind w:left="840" w:right="40" w:hanging="186"/>
        <w:spacing w:after="0" w:line="263" w:lineRule="auto"/>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Emerging Revenue Growth Metric: The target level was set at 10%, representing above-market annual growth, the maximum level was set at 15%, which the Compensation Committee believed represented outstanding performance that would be difficult to achieve, and the threshold level was set at 5% as a result of continued market uncertainties. The threshold, target and maximum levels vary year to year as a result of the composition of what, as part of the Company’s product portfolio, comprises emerging revenue. For fiscal year 2024, emerging revenue growth was based on driving growth in the following key product categories: next-generation connectivity products (i.e., WiFi 6/6E/7), strategic bulk acoustic wave (“BAW”) expansion (i.e. BAW-enabled products excluding products sold to our largest customer), Internet of Things (“IoT”) Cellular Engines (excluding products sold to our largest customer), and audio products, with BAW-enabled product revenue limited to the strategic BAW category.</w:t>
      </w:r>
    </w:p>
    <w:p>
      <w:pPr>
        <w:spacing w:after="0" w:line="8" w:lineRule="exact"/>
        <w:rPr>
          <w:rFonts w:ascii="Arial" w:cs="Arial" w:eastAsia="Arial" w:hAnsi="Arial"/>
          <w:sz w:val="20"/>
          <w:szCs w:val="20"/>
          <w:color w:val="auto"/>
        </w:rPr>
      </w:pPr>
    </w:p>
    <w:p>
      <w:pPr>
        <w:ind w:left="840" w:right="200" w:hanging="186"/>
        <w:spacing w:after="0" w:line="219" w:lineRule="auto"/>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EBITDA Margin Percentile Ranking Metric: The Compensation Committee set the target percentile at the 55</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percentile of the FY24 Peer Group in order to further incentivize above-median performance.</w:t>
      </w:r>
    </w:p>
    <w:p>
      <w:pPr>
        <w:spacing w:after="0" w:line="1" w:lineRule="exact"/>
        <w:rPr>
          <w:rFonts w:ascii="Arial" w:cs="Arial" w:eastAsia="Arial" w:hAnsi="Arial"/>
          <w:sz w:val="20"/>
          <w:szCs w:val="20"/>
          <w:color w:val="auto"/>
        </w:rPr>
      </w:pPr>
    </w:p>
    <w:p>
      <w:pPr>
        <w:ind w:left="840" w:right="120" w:hanging="186"/>
        <w:spacing w:after="0" w:line="267" w:lineRule="auto"/>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TSR Percentile Ranking Metric: Consistent with the prior year’s award, the Compensation Committee set the target percentile at the 55th percentile of the applicable peer group in order to further incentivize above-median performance.</w:t>
      </w:r>
    </w:p>
    <w:p>
      <w:pPr>
        <w:spacing w:after="0" w:line="323"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200"/>
        <w:spacing w:after="0" w:line="269" w:lineRule="auto"/>
        <w:rPr>
          <w:sz w:val="20"/>
          <w:szCs w:val="20"/>
          <w:color w:val="auto"/>
        </w:rPr>
      </w:pPr>
      <w:r>
        <w:rPr>
          <w:rFonts w:ascii="Arial" w:cs="Arial" w:eastAsia="Arial" w:hAnsi="Arial"/>
          <w:sz w:val="20"/>
          <w:szCs w:val="20"/>
          <w:color w:val="auto"/>
        </w:rPr>
        <w:t>The number of shares issuable under the FY24 PSAs corresponds to the level of achievement of the performance goals, as follows (subject to linear interpolation for amounts between “threshold” and “target” or “target”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139700</wp:posOffset>
            </wp:positionV>
            <wp:extent cx="34290" cy="308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308610"/>
                    </a:xfrm>
                    <a:prstGeom prst="rect">
                      <a:avLst/>
                    </a:prstGeom>
                    <a:noFill/>
                  </pic:spPr>
                </pic:pic>
              </a:graphicData>
            </a:graphic>
          </wp:anchor>
        </w:drawing>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6460" w:type="dxa"/>
            <w:vAlign w:val="bottom"/>
            <w:shd w:val="clear" w:color="auto" w:fill="0075A8"/>
          </w:tcPr>
          <w:p>
            <w:pPr>
              <w:jc w:val="right"/>
              <w:ind w:right="6270"/>
              <w:spacing w:after="0"/>
              <w:rPr>
                <w:sz w:val="20"/>
                <w:szCs w:val="20"/>
                <w:color w:val="auto"/>
              </w:rPr>
            </w:pPr>
            <w:r>
              <w:rPr>
                <w:rFonts w:ascii="Arial" w:cs="Arial" w:eastAsia="Arial" w:hAnsi="Arial"/>
                <w:sz w:val="18"/>
                <w:szCs w:val="18"/>
                <w:b w:val="1"/>
                <w:bCs w:val="1"/>
                <w:color w:val="FFFFFF"/>
              </w:rPr>
              <w:t>​​</w:t>
            </w:r>
          </w:p>
        </w:tc>
        <w:tc>
          <w:tcPr>
            <w:tcW w:w="380" w:type="dxa"/>
            <w:vAlign w:val="bottom"/>
            <w:gridSpan w:val="2"/>
            <w:shd w:val="clear" w:color="auto" w:fill="0075A8"/>
          </w:tcPr>
          <w:p>
            <w:pPr>
              <w:spacing w:after="0"/>
              <w:rPr>
                <w:sz w:val="20"/>
                <w:szCs w:val="20"/>
                <w:color w:val="auto"/>
              </w:rPr>
            </w:pPr>
            <w:r>
              <w:rPr>
                <w:rFonts w:ascii="Arial" w:cs="Arial" w:eastAsia="Arial" w:hAnsi="Arial"/>
                <w:sz w:val="18"/>
                <w:szCs w:val="18"/>
                <w:b w:val="1"/>
                <w:bCs w:val="1"/>
                <w:color w:val="FFFFFF"/>
              </w:rPr>
              <w:t>​ ​</w:t>
            </w:r>
          </w:p>
        </w:tc>
        <w:tc>
          <w:tcPr>
            <w:tcW w:w="2320" w:type="dxa"/>
            <w:vAlign w:val="bottom"/>
            <w:shd w:val="clear" w:color="auto" w:fill="0075A8"/>
          </w:tcPr>
          <w:p>
            <w:pPr>
              <w:ind w:left="220"/>
              <w:spacing w:after="0"/>
              <w:rPr>
                <w:sz w:val="20"/>
                <w:szCs w:val="20"/>
                <w:color w:val="auto"/>
              </w:rPr>
            </w:pPr>
            <w:r>
              <w:rPr>
                <w:rFonts w:ascii="Arial" w:cs="Arial" w:eastAsia="Arial" w:hAnsi="Arial"/>
                <w:sz w:val="18"/>
                <w:szCs w:val="18"/>
                <w:b w:val="1"/>
                <w:bCs w:val="1"/>
                <w:color w:val="FFFFFF"/>
              </w:rPr>
              <w:t>Performance Achieved</w:t>
            </w:r>
          </w:p>
        </w:tc>
        <w:tc>
          <w:tcPr>
            <w:tcW w:w="240" w:type="dxa"/>
            <w:vAlign w:val="bottom"/>
            <w:shd w:val="clear" w:color="auto" w:fill="0075A8"/>
          </w:tcPr>
          <w:p>
            <w:pPr>
              <w:ind w:left="180"/>
              <w:spacing w:after="0"/>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right"/>
              <w:ind w:right="6270"/>
              <w:spacing w:after="0"/>
              <w:rPr>
                <w:sz w:val="20"/>
                <w:szCs w:val="20"/>
                <w:color w:val="auto"/>
              </w:rPr>
            </w:pPr>
            <w:r>
              <w:rPr>
                <w:rFonts w:ascii="Arial" w:cs="Arial" w:eastAsia="Arial" w:hAnsi="Arial"/>
                <w:sz w:val="18"/>
                <w:szCs w:val="18"/>
                <w:b w:val="1"/>
                <w:bCs w:val="1"/>
                <w:color w:val="FFFFFF"/>
              </w:rPr>
              <w:t>​​</w:t>
            </w:r>
          </w:p>
        </w:tc>
        <w:tc>
          <w:tcPr>
            <w:tcW w:w="100" w:type="dxa"/>
            <w:vAlign w:val="bottom"/>
            <w:shd w:val="clear" w:color="auto" w:fill="0075A8"/>
          </w:tcPr>
          <w:p>
            <w:pPr>
              <w:spacing w:after="0" w:line="20" w:lineRule="exact"/>
              <w:rPr>
                <w:sz w:val="1"/>
                <w:szCs w:val="1"/>
                <w:color w:val="auto"/>
              </w:rPr>
            </w:pPr>
          </w:p>
        </w:tc>
        <w:tc>
          <w:tcPr>
            <w:tcW w:w="2840" w:type="dxa"/>
            <w:vAlign w:val="bottom"/>
            <w:gridSpan w:val="3"/>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2960" w:type="dxa"/>
            <w:vAlign w:val="bottom"/>
            <w:gridSpan w:val="5"/>
          </w:tcPr>
          <w:p>
            <w:pPr>
              <w:ind w:left="60"/>
              <w:spacing w:after="0"/>
              <w:rPr>
                <w:sz w:val="20"/>
                <w:szCs w:val="20"/>
                <w:color w:val="auto"/>
              </w:rPr>
            </w:pPr>
            <w:r>
              <w:rPr>
                <w:rFonts w:ascii="Arial" w:cs="Arial" w:eastAsia="Arial" w:hAnsi="Arial"/>
                <w:sz w:val="18"/>
                <w:szCs w:val="18"/>
                <w:b w:val="1"/>
                <w:bCs w:val="1"/>
                <w:color w:val="FFFFFF"/>
              </w:rPr>
              <w:t>​ ​Threshold ​ ​Target ​ ​Maximum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-145415</wp:posOffset>
            </wp:positionV>
            <wp:extent cx="5974715"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of Target Level Shares Earned with Respect to Emerging Revenue Growth Metric</w:t>
      </w:r>
    </w:p>
    <w:p>
      <w:pPr>
        <w:spacing w:after="0" w:line="31" w:lineRule="exact"/>
        <w:rPr>
          <w:sz w:val="20"/>
          <w:szCs w:val="20"/>
          <w:color w:val="auto"/>
        </w:rPr>
      </w:pPr>
    </w:p>
    <w:p>
      <w:pPr>
        <w:ind w:left="700" w:firstLine="8"/>
        <w:spacing w:after="0" w:line="273" w:lineRule="auto"/>
        <w:tabs>
          <w:tab w:leader="none" w:pos="8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 Target Level Shares Earned with Respect to EBITDA Margin Percentile Ranking ​Metric</w:t>
      </w:r>
    </w:p>
    <w:p>
      <w:pPr>
        <w:spacing w:after="0" w:line="1"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 of Target Level Shares Earned with Respect to TSR Percentile Ranking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-132715</wp:posOffset>
            </wp:positionV>
            <wp:extent cx="597471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color w:val="auto"/>
              </w:rPr>
              <w:t>​50​%</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 ​ ​</w:t>
            </w:r>
          </w:p>
        </w:tc>
        <w:tc>
          <w:tcPr>
            <w:tcW w:w="820" w:type="dxa"/>
            <w:vAlign w:val="bottom"/>
            <w:gridSpan w:val="3"/>
          </w:tcPr>
          <w:p>
            <w:pPr>
              <w:jc w:val="right"/>
              <w:ind w:right="39"/>
              <w:spacing w:after="0"/>
              <w:rPr>
                <w:sz w:val="20"/>
                <w:szCs w:val="20"/>
                <w:color w:val="auto"/>
              </w:rPr>
            </w:pPr>
            <w:r>
              <w:rPr>
                <w:rFonts w:ascii="Arial" w:cs="Arial" w:eastAsia="Arial" w:hAnsi="Arial"/>
                <w:sz w:val="16"/>
                <w:szCs w:val="16"/>
                <w:color w:val="auto"/>
              </w:rPr>
              <w:t>​100​%​ ​ ​</w:t>
            </w:r>
          </w:p>
        </w:tc>
        <w:tc>
          <w:tcPr>
            <w:tcW w:w="620" w:type="dxa"/>
            <w:vAlign w:val="bottom"/>
          </w:tcPr>
          <w:p>
            <w:pPr>
              <w:ind w:left="120"/>
              <w:spacing w:after="0"/>
              <w:rPr>
                <w:sz w:val="20"/>
                <w:szCs w:val="20"/>
                <w:color w:val="auto"/>
              </w:rPr>
            </w:pPr>
            <w:r>
              <w:rPr>
                <w:rFonts w:ascii="Arial" w:cs="Arial" w:eastAsia="Arial" w:hAnsi="Arial"/>
                <w:sz w:val="16"/>
                <w:szCs w:val="16"/>
                <w:color w:val="auto"/>
              </w:rPr>
              <w:t>​200​%</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92"/>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ind w:left="140"/>
              <w:spacing w:after="0"/>
              <w:rPr>
                <w:sz w:val="20"/>
                <w:szCs w:val="20"/>
                <w:color w:val="auto"/>
              </w:rPr>
            </w:pPr>
            <w:r>
              <w:rPr>
                <w:rFonts w:ascii="Arial" w:cs="Arial" w:eastAsia="Arial" w:hAnsi="Arial"/>
                <w:sz w:val="16"/>
                <w:szCs w:val="16"/>
                <w:color w:val="auto"/>
              </w:rPr>
              <w:t>​50​%</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ind w:left="120"/>
              <w:spacing w:after="0"/>
              <w:rPr>
                <w:sz w:val="20"/>
                <w:szCs w:val="20"/>
                <w:color w:val="auto"/>
              </w:rPr>
            </w:pPr>
            <w:r>
              <w:rPr>
                <w:rFonts w:ascii="Arial" w:cs="Arial" w:eastAsia="Arial" w:hAnsi="Arial"/>
                <w:sz w:val="16"/>
                <w:szCs w:val="16"/>
                <w:color w:val="auto"/>
              </w:rPr>
              <w:t>​200​%</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57"/>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300​%</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r>
    </w:tbl>
    <w:p>
      <w:pPr>
        <w:spacing w:after="0" w:line="183" w:lineRule="exact"/>
        <w:rPr>
          <w:sz w:val="20"/>
          <w:szCs w:val="20"/>
          <w:color w:val="auto"/>
        </w:rPr>
      </w:pPr>
    </w:p>
    <w:p>
      <w:pPr>
        <w:sectPr>
          <w:pgSz w:w="11900" w:h="16838" w:orient="portrait"/>
          <w:cols w:equalWidth="0" w:num="2">
            <w:col w:w="6680" w:space="540"/>
            <w:col w:w="2880"/>
          </w:cols>
          <w:pgMar w:left="580" w:top="97" w:right="1219" w:bottom="1440" w:gutter="0" w:footer="0" w:header="0"/>
          <w:type w:val="continuous"/>
        </w:sectPr>
      </w:pPr>
    </w:p>
    <w:p>
      <w:pPr>
        <w:ind w:left="660" w:right="240"/>
        <w:spacing w:after="0" w:line="269" w:lineRule="auto"/>
        <w:rPr>
          <w:sz w:val="20"/>
          <w:szCs w:val="20"/>
          <w:color w:val="auto"/>
        </w:rPr>
      </w:pPr>
      <w:r>
        <w:rPr>
          <w:rFonts w:ascii="Arial" w:cs="Arial" w:eastAsia="Arial" w:hAnsi="Arial"/>
          <w:sz w:val="20"/>
          <w:szCs w:val="20"/>
          <w:color w:val="auto"/>
        </w:rPr>
        <w:t>The “continued employment” condition of the FY24 PSAs provides that, to the extent that the performance goals are met, the shares earned under such metrics would vest as follows (provided, in each case, that the executive remains employed by the Company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148590</wp:posOffset>
            </wp:positionV>
            <wp:extent cx="34290" cy="3086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308610"/>
                    </a:xfrm>
                    <a:prstGeom prst="rect">
                      <a:avLst/>
                    </a:prstGeom>
                    <a:noFill/>
                  </pic:spPr>
                </pic:pic>
              </a:graphicData>
            </a:graphic>
          </wp:anchor>
        </w:drawing>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6720" w:type="dxa"/>
            <w:vAlign w:val="bottom"/>
            <w:shd w:val="clear" w:color="auto" w:fill="0075A8"/>
          </w:tcPr>
          <w:p>
            <w:pPr>
              <w:jc w:val="right"/>
              <w:ind w:right="6535"/>
              <w:spacing w:after="0"/>
              <w:rPr>
                <w:sz w:val="20"/>
                <w:szCs w:val="20"/>
                <w:color w:val="auto"/>
              </w:rPr>
            </w:pPr>
            <w:r>
              <w:rPr>
                <w:rFonts w:ascii="Arial" w:cs="Arial" w:eastAsia="Arial" w:hAnsi="Arial"/>
                <w:sz w:val="18"/>
                <w:szCs w:val="18"/>
                <w:b w:val="1"/>
                <w:bCs w:val="1"/>
                <w:color w:val="FFFFFF"/>
              </w:rPr>
              <w:t>​​</w:t>
            </w:r>
          </w:p>
        </w:tc>
        <w:tc>
          <w:tcPr>
            <w:tcW w:w="2680" w:type="dxa"/>
            <w:vAlign w:val="bottom"/>
            <w:gridSpan w:val="7"/>
            <w:shd w:val="clear" w:color="auto" w:fill="0075A8"/>
          </w:tcPr>
          <w:p>
            <w:pPr>
              <w:ind w:left="20"/>
              <w:spacing w:after="0"/>
              <w:rPr>
                <w:sz w:val="20"/>
                <w:szCs w:val="20"/>
                <w:color w:val="auto"/>
              </w:rPr>
            </w:pPr>
            <w:r>
              <w:rPr>
                <w:rFonts w:ascii="Arial" w:cs="Arial" w:eastAsia="Arial" w:hAnsi="Arial"/>
                <w:sz w:val="18"/>
                <w:szCs w:val="18"/>
                <w:b w:val="1"/>
                <w:bCs w:val="1"/>
                <w:color w:val="FFFFFF"/>
              </w:rPr>
              <w:t>​ ​ Anniversary of Grant Date(1)​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jc w:val="right"/>
              <w:ind w:right="6535"/>
              <w:spacing w:after="0"/>
              <w:rPr>
                <w:sz w:val="20"/>
                <w:szCs w:val="20"/>
                <w:color w:val="auto"/>
              </w:rPr>
            </w:pPr>
            <w:r>
              <w:rPr>
                <w:rFonts w:ascii="Arial" w:cs="Arial" w:eastAsia="Arial" w:hAnsi="Arial"/>
                <w:sz w:val="18"/>
                <w:szCs w:val="18"/>
                <w:b w:val="1"/>
                <w:bCs w:val="1"/>
                <w:color w:val="FFFFFF"/>
              </w:rPr>
              <w:t>​​</w:t>
            </w:r>
          </w:p>
        </w:tc>
        <w:tc>
          <w:tcPr>
            <w:tcW w:w="120" w:type="dxa"/>
            <w:vAlign w:val="bottom"/>
            <w:shd w:val="clear" w:color="auto" w:fill="0075A8"/>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860" w:type="dxa"/>
            <w:vAlign w:val="bottom"/>
            <w:shd w:val="clear" w:color="auto" w:fill="FEFEFE"/>
          </w:tcPr>
          <w:p>
            <w:pPr>
              <w:spacing w:after="0" w:line="20" w:lineRule="exact"/>
              <w:rPr>
                <w:sz w:val="1"/>
                <w:szCs w:val="1"/>
                <w:color w:val="auto"/>
              </w:rPr>
            </w:pPr>
          </w:p>
        </w:tc>
        <w:tc>
          <w:tcPr>
            <w:tcW w:w="360" w:type="dxa"/>
            <w:vAlign w:val="bottom"/>
            <w:shd w:val="clear" w:color="auto" w:fill="FEFEFE"/>
          </w:tcPr>
          <w:p>
            <w:pPr>
              <w:spacing w:after="0" w:line="20" w:lineRule="exact"/>
              <w:rPr>
                <w:sz w:val="1"/>
                <w:szCs w:val="1"/>
                <w:color w:val="auto"/>
              </w:rPr>
            </w:pPr>
          </w:p>
        </w:tc>
        <w:tc>
          <w:tcPr>
            <w:tcW w:w="1020" w:type="dxa"/>
            <w:vAlign w:val="bottom"/>
            <w:gridSpan w:val="2"/>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FFFFFF"/>
              </w:rPr>
              <w:t>​ ​</w:t>
            </w:r>
          </w:p>
        </w:tc>
        <w:tc>
          <w:tcPr>
            <w:tcW w:w="860" w:type="dxa"/>
            <w:vAlign w:val="bottom"/>
          </w:tcPr>
          <w:p>
            <w:pPr>
              <w:ind w:left="40"/>
              <w:spacing w:after="0"/>
              <w:rPr>
                <w:sz w:val="20"/>
                <w:szCs w:val="20"/>
                <w:color w:val="auto"/>
              </w:rPr>
            </w:pPr>
            <w:r>
              <w:rPr>
                <w:rFonts w:ascii="Arial" w:cs="Arial" w:eastAsia="Arial" w:hAnsi="Arial"/>
                <w:sz w:val="18"/>
                <w:szCs w:val="18"/>
                <w:b w:val="1"/>
                <w:bCs w:val="1"/>
                <w:color w:val="FFFFFF"/>
                <w:w w:val="99"/>
              </w:rPr>
              <w:t>Two Year</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FFFFFF"/>
              </w:rPr>
              <w:t>​ ​</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FFFFFF"/>
              </w:rPr>
              <w:t>Three Year</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03"/>
        </w:trPr>
        <w:tc>
          <w:tcPr>
            <w:tcW w:w="6720" w:type="dxa"/>
            <w:vAlign w:val="bottom"/>
          </w:tcPr>
          <w:p>
            <w:pPr>
              <w:ind w:left="40"/>
              <w:spacing w:after="0"/>
              <w:rPr>
                <w:sz w:val="20"/>
                <w:szCs w:val="20"/>
                <w:color w:val="auto"/>
              </w:rPr>
            </w:pPr>
            <w:r>
              <w:rPr>
                <w:rFonts w:ascii="Arial" w:cs="Arial" w:eastAsia="Arial" w:hAnsi="Arial"/>
                <w:sz w:val="16"/>
                <w:szCs w:val="16"/>
                <w:color w:val="auto"/>
              </w:rPr>
              <w:t>%​ of Shares Earned with Respect to Emerging Revenue Growth Metric</w:t>
            </w: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 ​</w:t>
            </w:r>
          </w:p>
        </w:tc>
        <w:tc>
          <w:tcPr>
            <w:tcW w:w="860" w:type="dxa"/>
            <w:vAlign w:val="bottom"/>
          </w:tcPr>
          <w:p>
            <w:pPr>
              <w:ind w:left="280"/>
              <w:spacing w:after="0"/>
              <w:rPr>
                <w:sz w:val="20"/>
                <w:szCs w:val="20"/>
                <w:color w:val="auto"/>
              </w:rPr>
            </w:pPr>
            <w:r>
              <w:rPr>
                <w:rFonts w:ascii="Arial" w:cs="Arial" w:eastAsia="Arial" w:hAnsi="Arial"/>
                <w:sz w:val="16"/>
                <w:szCs w:val="16"/>
                <w:color w:val="auto"/>
              </w:rPr>
              <w:t>​100​%</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20" w:type="dxa"/>
            <w:vAlign w:val="bottom"/>
          </w:tcPr>
          <w:p>
            <w:pPr>
              <w:ind w:left="40"/>
              <w:spacing w:after="0"/>
              <w:rPr>
                <w:sz w:val="20"/>
                <w:szCs w:val="20"/>
                <w:color w:val="auto"/>
              </w:rPr>
            </w:pPr>
            <w:r>
              <w:rPr>
                <w:rFonts w:ascii="Arial" w:cs="Arial" w:eastAsia="Arial" w:hAnsi="Arial"/>
                <w:sz w:val="16"/>
                <w:szCs w:val="16"/>
                <w:color w:val="auto"/>
              </w:rPr>
              <w:t>%​ of Shares Earned with Respect to EBITDA Margin Percentile Ranking Metric</w:t>
            </w: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 ​</w:t>
            </w:r>
          </w:p>
        </w:tc>
        <w:tc>
          <w:tcPr>
            <w:tcW w:w="860" w:type="dxa"/>
            <w:vAlign w:val="bottom"/>
          </w:tcPr>
          <w:p>
            <w:pPr>
              <w:ind w:left="280"/>
              <w:spacing w:after="0"/>
              <w:rPr>
                <w:sz w:val="20"/>
                <w:szCs w:val="20"/>
                <w:color w:val="auto"/>
              </w:rPr>
            </w:pPr>
            <w:r>
              <w:rPr>
                <w:rFonts w:ascii="Arial" w:cs="Arial" w:eastAsia="Arial" w:hAnsi="Arial"/>
                <w:sz w:val="16"/>
                <w:szCs w:val="16"/>
                <w:color w:val="auto"/>
              </w:rPr>
              <w:t>​100​%</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40"/>
              <w:spacing w:after="0"/>
              <w:rPr>
                <w:sz w:val="20"/>
                <w:szCs w:val="20"/>
                <w:color w:val="auto"/>
              </w:rPr>
            </w:pPr>
            <w:r>
              <w:rPr>
                <w:rFonts w:ascii="Arial" w:cs="Arial" w:eastAsia="Arial" w:hAnsi="Arial"/>
                <w:sz w:val="16"/>
                <w:szCs w:val="16"/>
                <w:color w:val="auto"/>
              </w:rPr>
              <w:t>​% of Shares Earned with Respect to TSR Percentile Ranking Metric</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 ​</w:t>
            </w:r>
          </w:p>
        </w:tc>
        <w:tc>
          <w:tcPr>
            <w:tcW w:w="860" w:type="dxa"/>
            <w:vAlign w:val="bottom"/>
          </w:tcPr>
          <w:p>
            <w:pPr>
              <w:ind w:left="280"/>
              <w:spacing w:after="0"/>
              <w:rPr>
                <w:sz w:val="20"/>
                <w:szCs w:val="20"/>
                <w:color w:val="auto"/>
              </w:rPr>
            </w:pPr>
            <w:r>
              <w:rPr>
                <w:rFonts w:ascii="Arial" w:cs="Arial" w:eastAsia="Arial" w:hAnsi="Arial"/>
                <w:sz w:val="16"/>
                <w:szCs w:val="16"/>
                <w:color w:val="auto"/>
              </w:rPr>
              <w:t>​   ​</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1020" w:type="dxa"/>
            <w:vAlign w:val="bottom"/>
            <w:gridSpan w:val="2"/>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-556895</wp:posOffset>
            </wp:positionV>
            <wp:extent cx="5974715" cy="274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74715" cy="27432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-145415</wp:posOffset>
            </wp:positionV>
            <wp:extent cx="597471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89" w:lineRule="exact"/>
        <w:rPr>
          <w:sz w:val="20"/>
          <w:szCs w:val="20"/>
          <w:color w:val="auto"/>
        </w:rPr>
      </w:pPr>
    </w:p>
    <w:p>
      <w:pPr>
        <w:ind w:left="1080" w:right="280" w:hanging="354"/>
        <w:spacing w:after="0" w:line="274"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In the event of termination by reason of death or permanent disability, the holder of an FY24 PSA (or the holder’s estate) would receive any earned but unissued shares that would have been issuable thereunder during the remaining term of the award.</w:t>
      </w:r>
    </w:p>
    <w:p>
      <w:pPr>
        <w:sectPr>
          <w:pgSz w:w="11900" w:h="16838" w:orient="portrait"/>
          <w:cols w:equalWidth="0" w:num="1">
            <w:col w:w="10100"/>
          </w:cols>
          <w:pgMar w:left="580" w:top="97" w:right="1219" w:bottom="1440" w:gutter="0" w:footer="0" w:header="0"/>
          <w:type w:val="continuous"/>
        </w:sectPr>
      </w:pPr>
    </w:p>
    <w:p>
      <w:pPr>
        <w:spacing w:after="0" w:line="62" w:lineRule="exact"/>
        <w:rPr>
          <w:sz w:val="20"/>
          <w:szCs w:val="20"/>
          <w:color w:val="auto"/>
        </w:rPr>
      </w:pPr>
    </w:p>
    <w:p>
      <w:pPr>
        <w:ind w:left="660"/>
        <w:spacing w:after="0" w:line="280" w:lineRule="auto"/>
        <w:rPr>
          <w:sz w:val="20"/>
          <w:szCs w:val="20"/>
          <w:color w:val="auto"/>
        </w:rPr>
      </w:pPr>
      <w:r>
        <w:rPr>
          <w:rFonts w:ascii="Arial" w:cs="Arial" w:eastAsia="Arial" w:hAnsi="Arial"/>
          <w:sz w:val="19"/>
          <w:szCs w:val="19"/>
          <w:color w:val="auto"/>
        </w:rPr>
        <w:t>During fiscal year 2023, the base period against which fiscal year 2024 emerging revenue performance was measured, the Company achieved revenue in the specified key product categories of $728 million. During fiscal year 2024, the Company achieved revenue in the specified key product categories of $772 million, representing emerging revenue growth of 6%, which was between the “minimum” and “target” level of performance. This level of achievement reflected the rigorous target that had been set by the Compensation Committee.This resulted in the Company achieving approximately 61% of the target level of shares for such metric. The shares earned under this metric will be issued in November 2025, provided that the Named Executive Officer meets the continued employment condition.</w:t>
      </w:r>
    </w:p>
    <w:p>
      <w:pPr>
        <w:spacing w:after="0" w:line="200" w:lineRule="exact"/>
        <w:rPr>
          <w:sz w:val="20"/>
          <w:szCs w:val="20"/>
          <w:color w:val="auto"/>
        </w:rPr>
      </w:pPr>
    </w:p>
    <w:p>
      <w:pPr>
        <w:spacing w:after="0" w:line="217" w:lineRule="exact"/>
        <w:rPr>
          <w:sz w:val="20"/>
          <w:szCs w:val="20"/>
          <w:color w:val="auto"/>
        </w:rPr>
      </w:pPr>
    </w:p>
    <w:p>
      <w:pPr>
        <w:ind w:left="660" w:right="40"/>
        <w:spacing w:after="0" w:line="263" w:lineRule="auto"/>
        <w:rPr>
          <w:sz w:val="20"/>
          <w:szCs w:val="20"/>
          <w:color w:val="auto"/>
        </w:rPr>
      </w:pPr>
      <w:r>
        <w:rPr>
          <w:rFonts w:ascii="Arial" w:cs="Arial" w:eastAsia="Arial" w:hAnsi="Arial"/>
          <w:sz w:val="19"/>
          <w:szCs w:val="19"/>
          <w:color w:val="auto"/>
        </w:rPr>
        <w:t>In the period comprising fiscal year 2023 and fiscal year 2024, the period over which the EBITDA margin percentile ranking metric was measured, the Company achieved a margin of 38%, resulting in its ranking in the 60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against the applicable peer group. This resulted in the Company achieving 125% of the target level of</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313" w:lineRule="auto"/>
        <w:rPr>
          <w:sz w:val="20"/>
          <w:szCs w:val="20"/>
          <w:color w:val="auto"/>
        </w:rPr>
      </w:pPr>
      <w:r>
        <w:rPr>
          <w:rFonts w:ascii="Arial" w:cs="Arial" w:eastAsia="Arial" w:hAnsi="Arial"/>
          <w:sz w:val="19"/>
          <w:szCs w:val="19"/>
          <w:color w:val="auto"/>
        </w:rPr>
        <w:t>shares for such metric. The shares earned under this metric were issued in November 2024.</w:t>
      </w:r>
    </w:p>
    <w:p>
      <w:pPr>
        <w:spacing w:after="0" w:line="117" w:lineRule="exact"/>
        <w:rPr>
          <w:sz w:val="20"/>
          <w:szCs w:val="20"/>
          <w:color w:val="auto"/>
        </w:rPr>
      </w:pPr>
    </w:p>
    <w:p>
      <w:pPr>
        <w:ind w:right="440"/>
        <w:spacing w:after="0" w:line="284" w:lineRule="auto"/>
        <w:rPr>
          <w:sz w:val="20"/>
          <w:szCs w:val="20"/>
          <w:color w:val="auto"/>
        </w:rPr>
      </w:pPr>
      <w:r>
        <w:rPr>
          <w:rFonts w:ascii="Arial" w:cs="Arial" w:eastAsia="Arial" w:hAnsi="Arial"/>
          <w:sz w:val="20"/>
          <w:szCs w:val="20"/>
          <w:b w:val="1"/>
          <w:bCs w:val="1"/>
          <w:color w:val="auto"/>
        </w:rPr>
        <w:t>Outstanding PSAs at the End of Fiscal Year 2024</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FY24 PSAs, which is subject to a three-year performance period, will be determined following the conclusion of the Company’s fiscal year ending October 2, 2026 (“fiscal year 2026”). During the three-year performance period under the fiscal year 2022 PSAs comprising the Company’s fiscal years 2022, 2023, and 2024, the Company realized a TSR of -38% resulting in its ranking in the 17</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against the applicable peer group. As a result of failing to achieve the threshold TSR percentile ranking metric, no shares were earned by the Named Executive Officers with respect to such metric, and all PSAs with respect to such metric were cancelled.</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1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291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60" w:type="dxa"/>
            <w:vAlign w:val="bottom"/>
          </w:tcPr>
          <w:p>
            <w:pPr>
              <w:ind w:left="40"/>
              <w:spacing w:after="0"/>
              <w:rPr>
                <w:sz w:val="20"/>
                <w:szCs w:val="20"/>
                <w:color w:val="auto"/>
              </w:rPr>
            </w:pPr>
            <w:r>
              <w:rPr>
                <w:rFonts w:ascii="Arial" w:cs="Arial" w:eastAsia="Arial" w:hAnsi="Arial"/>
                <w:sz w:val="18"/>
                <w:szCs w:val="18"/>
                <w:b w:val="1"/>
                <w:bCs w:val="1"/>
                <w:color w:val="FFFFFF"/>
              </w:rPr>
              <w:t>PSA Fiscal Year</w:t>
            </w:r>
          </w:p>
        </w:tc>
        <w:tc>
          <w:tcPr>
            <w:tcW w:w="200" w:type="dxa"/>
            <w:vAlign w:val="bottom"/>
          </w:tcPr>
          <w:p>
            <w:pPr>
              <w:spacing w:after="0"/>
              <w:rPr>
                <w:sz w:val="17"/>
                <w:szCs w:val="17"/>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FFFFFF"/>
              </w:rPr>
              <w:t>​ Grant Date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FFFFFF"/>
                <w:w w:val="98"/>
              </w:rPr>
              <w:t>Performance</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FFFFFF"/>
                <w:w w:val="97"/>
              </w:rPr>
              <w:t>Achieved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460" w:type="dxa"/>
            <w:vAlign w:val="bottom"/>
          </w:tcPr>
          <w:p>
            <w:pPr>
              <w:ind w:left="20"/>
              <w:spacing w:after="0"/>
              <w:rPr>
                <w:sz w:val="20"/>
                <w:szCs w:val="20"/>
                <w:color w:val="auto"/>
              </w:rPr>
            </w:pPr>
            <w:r>
              <w:rPr>
                <w:rFonts w:ascii="Arial" w:cs="Arial" w:eastAsia="Arial" w:hAnsi="Arial"/>
                <w:sz w:val="18"/>
                <w:szCs w:val="18"/>
                <w:b w:val="1"/>
                <w:bCs w:val="1"/>
                <w:color w:val="FFFFFF"/>
              </w:rPr>
              <w:t>​(“FY”)</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FFFFFF"/>
              </w:rPr>
              <w:t>​</w:t>
            </w:r>
          </w:p>
        </w:tc>
        <w:tc>
          <w:tcPr>
            <w:tcW w:w="1080" w:type="dxa"/>
            <w:vAlign w:val="bottom"/>
            <w:gridSpan w:val="2"/>
            <w:vMerge w:val="continue"/>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FFFFFF"/>
              </w:rPr>
              <w:t>​</w:t>
            </w:r>
          </w:p>
        </w:tc>
        <w:tc>
          <w:tcPr>
            <w:tcW w:w="2500" w:type="dxa"/>
            <w:vAlign w:val="bottom"/>
          </w:tcPr>
          <w:p>
            <w:pPr>
              <w:jc w:val="center"/>
              <w:ind w:right="18"/>
              <w:spacing w:after="0"/>
              <w:rPr>
                <w:sz w:val="20"/>
                <w:szCs w:val="20"/>
                <w:color w:val="auto"/>
              </w:rPr>
            </w:pPr>
            <w:r>
              <w:rPr>
                <w:rFonts w:ascii="Arial" w:cs="Arial" w:eastAsia="Arial" w:hAnsi="Arial"/>
                <w:sz w:val="18"/>
                <w:szCs w:val="18"/>
                <w:b w:val="1"/>
                <w:bCs w:val="1"/>
                <w:color w:val="FFFFFF"/>
                <w:w w:val="98"/>
              </w:rPr>
              <w:t>Metric</w:t>
            </w:r>
          </w:p>
        </w:tc>
        <w:tc>
          <w:tcPr>
            <w:tcW w:w="180" w:type="dxa"/>
            <w:vAlign w:val="bottom"/>
          </w:tcPr>
          <w:p>
            <w:pPr>
              <w:ind w:left="60"/>
              <w:spacing w:after="0"/>
              <w:rPr>
                <w:sz w:val="20"/>
                <w:szCs w:val="20"/>
                <w:color w:val="auto"/>
              </w:rPr>
            </w:pPr>
            <w:r>
              <w:rPr>
                <w:rFonts w:ascii="Arial" w:cs="Arial" w:eastAsia="Arial" w:hAnsi="Arial"/>
                <w:sz w:val="18"/>
                <w:szCs w:val="18"/>
                <w:b w:val="1"/>
                <w:bCs w:val="1"/>
                <w:color w:val="FFFFFF"/>
              </w:rPr>
              <w:t>​</w:t>
            </w:r>
          </w:p>
        </w:tc>
        <w:tc>
          <w:tcPr>
            <w:tcW w:w="120" w:type="dxa"/>
            <w:vAlign w:val="bottom"/>
          </w:tcPr>
          <w:p>
            <w:pPr>
              <w:ind w:left="60"/>
              <w:spacing w:after="0"/>
              <w:rPr>
                <w:sz w:val="20"/>
                <w:szCs w:val="20"/>
                <w:color w:val="auto"/>
              </w:rPr>
            </w:pPr>
            <w:r>
              <w:rPr>
                <w:rFonts w:ascii="Arial" w:cs="Arial" w:eastAsia="Arial" w:hAnsi="Arial"/>
                <w:sz w:val="18"/>
                <w:szCs w:val="18"/>
                <w:b w:val="1"/>
                <w:bCs w:val="1"/>
                <w:color w:val="FFFFFF"/>
              </w:rPr>
              <w: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FFFFFF"/>
                <w:w w:val="96"/>
              </w:rPr>
              <w:t>Period</w:t>
            </w:r>
          </w:p>
        </w:tc>
        <w:tc>
          <w:tcPr>
            <w:tcW w:w="180" w:type="dxa"/>
            <w:vAlign w:val="bottom"/>
          </w:tcPr>
          <w:p>
            <w:pPr>
              <w:ind w:left="60"/>
              <w:spacing w:after="0"/>
              <w:rPr>
                <w:sz w:val="20"/>
                <w:szCs w:val="20"/>
                <w:color w:val="auto"/>
              </w:rPr>
            </w:pPr>
            <w:r>
              <w:rPr>
                <w:rFonts w:ascii="Arial" w:cs="Arial" w:eastAsia="Arial" w:hAnsi="Arial"/>
                <w:sz w:val="18"/>
                <w:szCs w:val="18"/>
                <w:b w:val="1"/>
                <w:bCs w:val="1"/>
                <w:color w:val="FFFFFF"/>
              </w:rPr>
              <w:t>​</w:t>
            </w:r>
          </w:p>
        </w:tc>
        <w:tc>
          <w:tcPr>
            <w:tcW w:w="340" w:type="dxa"/>
            <w:vAlign w:val="bottom"/>
          </w:tcPr>
          <w:p>
            <w:pPr>
              <w:ind w:left="60"/>
              <w:spacing w:after="0"/>
              <w:rPr>
                <w:sz w:val="20"/>
                <w:szCs w:val="20"/>
                <w:color w:val="auto"/>
              </w:rPr>
            </w:pPr>
            <w:r>
              <w:rPr>
                <w:rFonts w:ascii="Arial" w:cs="Arial" w:eastAsia="Arial" w:hAnsi="Arial"/>
                <w:sz w:val="18"/>
                <w:szCs w:val="18"/>
                <w:b w:val="1"/>
                <w:bCs w:val="1"/>
                <w:color w:val="FFFFFF"/>
              </w:rPr>
              <w: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FFFFFF"/>
                <w:w w:val="98"/>
              </w:rPr>
              <w:t>(% of Target)</w:t>
            </w:r>
          </w:p>
        </w:tc>
        <w:tc>
          <w:tcPr>
            <w:tcW w:w="260" w:type="dxa"/>
            <w:vAlign w:val="bottom"/>
            <w:gridSpan w:val="2"/>
          </w:tcPr>
          <w:p>
            <w:pPr>
              <w:ind w:left="2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29"/>
        </w:trPr>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​FY18</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8"/>
              </w:rPr>
              <w:t>11/7/2017</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58"/>
              <w:spacing w:after="0"/>
              <w:rPr>
                <w:sz w:val="20"/>
                <w:szCs w:val="20"/>
                <w:color w:val="auto"/>
              </w:rPr>
            </w:pPr>
            <w:r>
              <w:rPr>
                <w:rFonts w:ascii="Arial" w:cs="Arial" w:eastAsia="Arial" w:hAnsi="Arial"/>
                <w:sz w:val="16"/>
                <w:szCs w:val="16"/>
                <w:color w:val="auto"/>
                <w:w w:val="99"/>
              </w:rPr>
              <w:t>Non-GAAP EBITDA Growth</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FY18</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78"/>
              <w:spacing w:after="0"/>
              <w:rPr>
                <w:sz w:val="20"/>
                <w:szCs w:val="20"/>
                <w:color w:val="auto"/>
              </w:rPr>
            </w:pPr>
            <w:r>
              <w:rPr>
                <w:rFonts w:ascii="Arial" w:cs="Arial" w:eastAsia="Arial" w:hAnsi="Arial"/>
                <w:sz w:val="16"/>
                <w:szCs w:val="16"/>
                <w:color w:val="auto"/>
              </w:rPr>
              <w:t>99.8%</w:t>
            </w:r>
          </w:p>
        </w:tc>
        <w:tc>
          <w:tcPr>
            <w:tcW w:w="260" w:type="dxa"/>
            <w:vAlign w:val="bottom"/>
            <w:gridSpan w:val="2"/>
            <w:vMerge w:val="restart"/>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4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500" w:type="dxa"/>
            <w:vAlign w:val="bottom"/>
          </w:tcPr>
          <w:p>
            <w:pPr>
              <w:jc w:val="center"/>
              <w:ind w:right="38"/>
              <w:spacing w:after="0"/>
              <w:rPr>
                <w:sz w:val="20"/>
                <w:szCs w:val="20"/>
                <w:color w:val="auto"/>
              </w:rPr>
            </w:pPr>
            <w:r>
              <w:rPr>
                <w:rFonts w:ascii="Arial" w:cs="Arial" w:eastAsia="Arial" w:hAnsi="Arial"/>
                <w:sz w:val="16"/>
                <w:szCs w:val="16"/>
                <w:color w:val="auto"/>
                <w:w w:val="98"/>
              </w:rPr>
              <w:t>3-year TSR Percentile Ranking</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FY18 — FY20</w:t>
            </w:r>
          </w:p>
        </w:tc>
        <w:tc>
          <w:tcPr>
            <w:tcW w:w="1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​FY19</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8"/>
              </w:rPr>
              <w:t>11/6/2018</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58"/>
              <w:spacing w:after="0"/>
              <w:rPr>
                <w:sz w:val="20"/>
                <w:szCs w:val="20"/>
                <w:color w:val="auto"/>
              </w:rPr>
            </w:pPr>
            <w:r>
              <w:rPr>
                <w:rFonts w:ascii="Arial" w:cs="Arial" w:eastAsia="Arial" w:hAnsi="Arial"/>
                <w:sz w:val="16"/>
                <w:szCs w:val="16"/>
                <w:color w:val="auto"/>
                <w:w w:val="99"/>
              </w:rPr>
              <w:t>Non-GAAP EBITDA Growth</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FY19</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78"/>
              <w:spacing w:after="0"/>
              <w:rPr>
                <w:sz w:val="20"/>
                <w:szCs w:val="20"/>
                <w:color w:val="auto"/>
              </w:rPr>
            </w:pPr>
            <w:r>
              <w:rPr>
                <w:rFonts w:ascii="Arial" w:cs="Arial" w:eastAsia="Arial" w:hAnsi="Arial"/>
                <w:sz w:val="16"/>
                <w:szCs w:val="16"/>
                <w:color w:val="auto"/>
              </w:rPr>
              <w:t>0%</w:t>
            </w:r>
          </w:p>
        </w:tc>
        <w:tc>
          <w:tcPr>
            <w:tcW w:w="260" w:type="dxa"/>
            <w:vAlign w:val="bottom"/>
            <w:gridSpan w:val="2"/>
            <w:vMerge w:val="restart"/>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4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500" w:type="dxa"/>
            <w:vAlign w:val="bottom"/>
          </w:tcPr>
          <w:p>
            <w:pPr>
              <w:jc w:val="center"/>
              <w:ind w:right="38"/>
              <w:spacing w:after="0"/>
              <w:rPr>
                <w:sz w:val="20"/>
                <w:szCs w:val="20"/>
                <w:color w:val="auto"/>
              </w:rPr>
            </w:pPr>
            <w:r>
              <w:rPr>
                <w:rFonts w:ascii="Arial" w:cs="Arial" w:eastAsia="Arial" w:hAnsi="Arial"/>
                <w:sz w:val="16"/>
                <w:szCs w:val="16"/>
                <w:color w:val="auto"/>
                <w:w w:val="98"/>
              </w:rPr>
              <w:t>3-year TSR Percentile Ranking</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FY19 — FY21</w:t>
            </w:r>
          </w:p>
        </w:tc>
        <w:tc>
          <w:tcPr>
            <w:tcW w:w="1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74.1%</w:t>
            </w:r>
          </w:p>
        </w:tc>
        <w:tc>
          <w:tcPr>
            <w:tcW w:w="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18"/>
              <w:spacing w:after="0"/>
              <w:rPr>
                <w:sz w:val="20"/>
                <w:szCs w:val="20"/>
                <w:color w:val="auto"/>
              </w:rPr>
            </w:pPr>
            <w:r>
              <w:rPr>
                <w:rFonts w:ascii="Arial" w:cs="Arial" w:eastAsia="Arial" w:hAnsi="Arial"/>
                <w:sz w:val="16"/>
                <w:szCs w:val="16"/>
                <w:color w:val="auto"/>
                <w:w w:val="99"/>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FY20</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11/5/2019</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38"/>
              <w:spacing w:after="0"/>
              <w:rPr>
                <w:sz w:val="20"/>
                <w:szCs w:val="20"/>
                <w:color w:val="auto"/>
              </w:rPr>
            </w:pPr>
            <w:r>
              <w:rPr>
                <w:rFonts w:ascii="Arial" w:cs="Arial" w:eastAsia="Arial" w:hAnsi="Arial"/>
                <w:sz w:val="16"/>
                <w:szCs w:val="16"/>
                <w:color w:val="auto"/>
              </w:rPr>
              <w:t>Design Wins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FY20</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FY20 — FY22</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18"/>
              <w:spacing w:after="0"/>
              <w:rPr>
                <w:sz w:val="20"/>
                <w:szCs w:val="20"/>
                <w:color w:val="auto"/>
              </w:rPr>
            </w:pPr>
            <w:r>
              <w:rPr>
                <w:rFonts w:ascii="Arial" w:cs="Arial" w:eastAsia="Arial" w:hAnsi="Arial"/>
                <w:sz w:val="16"/>
                <w:szCs w:val="16"/>
                <w:color w:val="auto"/>
                <w:w w:val="99"/>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FY21</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​FY21</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11/11/2020</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38"/>
              <w:spacing w:after="0"/>
              <w:rPr>
                <w:sz w:val="20"/>
                <w:szCs w:val="20"/>
                <w:color w:val="auto"/>
              </w:rPr>
            </w:pPr>
            <w:r>
              <w:rPr>
                <w:rFonts w:ascii="Arial" w:cs="Arial" w:eastAsia="Arial" w:hAnsi="Arial"/>
                <w:sz w:val="16"/>
                <w:szCs w:val="16"/>
                <w:color w:val="auto"/>
              </w:rPr>
              <w:t>Design Wins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FY21</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FY21 — FY23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18"/>
              <w:spacing w:after="0"/>
              <w:rPr>
                <w:sz w:val="20"/>
                <w:szCs w:val="20"/>
                <w:color w:val="auto"/>
              </w:rPr>
            </w:pPr>
            <w:r>
              <w:rPr>
                <w:rFonts w:ascii="Arial" w:cs="Arial" w:eastAsia="Arial" w:hAnsi="Arial"/>
                <w:sz w:val="16"/>
                <w:szCs w:val="16"/>
                <w:color w:val="auto"/>
                <w:w w:val="99"/>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FY22</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11/10/2021</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EBITDA Margin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FY22 — FY23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133%</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FY22 — FY24</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18"/>
              <w:spacing w:after="0"/>
              <w:rPr>
                <w:sz w:val="20"/>
                <w:szCs w:val="20"/>
                <w:color w:val="auto"/>
              </w:rPr>
            </w:pPr>
            <w:r>
              <w:rPr>
                <w:rFonts w:ascii="Arial" w:cs="Arial" w:eastAsia="Arial" w:hAnsi="Arial"/>
                <w:sz w:val="16"/>
                <w:szCs w:val="16"/>
                <w:color w:val="auto"/>
                <w:w w:val="99"/>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​FY23</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11/8/2022</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EBITDA Margin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FY23 — FY24</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125%</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FY23 — FY25</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20" w:type="dxa"/>
            <w:vAlign w:val="bottom"/>
            <w:gridSpan w:val="4"/>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(1)</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500" w:type="dxa"/>
            <w:vAlign w:val="bottom"/>
          </w:tcPr>
          <w:p>
            <w:pPr>
              <w:jc w:val="center"/>
              <w:ind w:right="18"/>
              <w:spacing w:after="0"/>
              <w:rPr>
                <w:sz w:val="20"/>
                <w:szCs w:val="20"/>
                <w:color w:val="auto"/>
              </w:rPr>
            </w:pPr>
            <w:r>
              <w:rPr>
                <w:rFonts w:ascii="Arial" w:cs="Arial" w:eastAsia="Arial" w:hAnsi="Arial"/>
                <w:sz w:val="16"/>
                <w:szCs w:val="16"/>
                <w:color w:val="auto"/>
                <w:w w:val="99"/>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FY24</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2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​FY24</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11/7/2023</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EBITDA Margin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FY24 — FY25</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20" w:type="dxa"/>
            <w:vAlign w:val="bottom"/>
            <w:gridSpan w:val="4"/>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(2)</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91"/>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FY24 — FY26</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20" w:type="dxa"/>
            <w:vAlign w:val="bottom"/>
            <w:gridSpan w:val="4"/>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(3)</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1"/>
        </w:trPr>
        <w:tc>
          <w:tcPr>
            <w:tcW w:w="146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140" w:type="dxa"/>
            <w:vAlign w:val="bottom"/>
            <w:shd w:val="clear" w:color="auto" w:fill="BFBFBF"/>
          </w:tcPr>
          <w:p>
            <w:pPr>
              <w:spacing w:after="0" w:line="20" w:lineRule="exact"/>
              <w:rPr>
                <w:sz w:val="1"/>
                <w:szCs w:val="1"/>
                <w:color w:val="auto"/>
              </w:rPr>
            </w:pPr>
          </w:p>
        </w:tc>
        <w:tc>
          <w:tcPr>
            <w:tcW w:w="94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250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18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152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-3316605</wp:posOffset>
            </wp:positionV>
            <wp:extent cx="5974715" cy="316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74715" cy="31686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-2700020</wp:posOffset>
            </wp:positionV>
            <wp:extent cx="5974715" cy="540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74715" cy="54038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-1619885</wp:posOffset>
            </wp:positionV>
            <wp:extent cx="5974715" cy="540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74715" cy="54038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-539750</wp:posOffset>
            </wp:positionV>
            <wp:extent cx="5974715" cy="531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74715" cy="531495"/>
                    </a:xfrm>
                    <a:prstGeom prst="rect">
                      <a:avLst/>
                    </a:prstGeom>
                    <a:noFill/>
                  </pic:spPr>
                </pic:pic>
              </a:graphicData>
            </a:graphic>
          </wp:anchor>
        </w:drawing>
      </w:r>
    </w:p>
    <w:p>
      <w:pPr>
        <w:spacing w:after="0" w:line="76" w:lineRule="exact"/>
        <w:rPr>
          <w:sz w:val="20"/>
          <w:szCs w:val="20"/>
          <w:color w:val="auto"/>
        </w:rPr>
      </w:pPr>
    </w:p>
    <w:p>
      <w:pPr>
        <w:ind w:left="1080" w:right="220" w:hanging="354"/>
        <w:spacing w:after="0" w:line="264"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19, 2025, performance under this metric during the applicable performance period was below the “threshold” level of performance.</w:t>
      </w:r>
    </w:p>
    <w:p>
      <w:pPr>
        <w:ind w:left="1080" w:right="40" w:hanging="354"/>
        <w:spacing w:after="0" w:line="272"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19, 2025, performance under this metric during the applicable performance period was between the “threshold” and “target” levels of performance.</w:t>
      </w:r>
    </w:p>
    <w:p>
      <w:pPr>
        <w:spacing w:after="0" w:line="1" w:lineRule="exact"/>
        <w:rPr>
          <w:rFonts w:ascii="Arial" w:cs="Arial" w:eastAsia="Arial" w:hAnsi="Arial"/>
          <w:sz w:val="16"/>
          <w:szCs w:val="16"/>
          <w:i w:val="1"/>
          <w:iCs w:val="1"/>
          <w:color w:val="auto"/>
        </w:rPr>
      </w:pPr>
    </w:p>
    <w:p>
      <w:pPr>
        <w:ind w:left="1080" w:right="220" w:hanging="354"/>
        <w:spacing w:after="0" w:line="301"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19, 2025, performance under this metric during the applicable performance period was below the “threshold” level of performance.</w:t>
      </w:r>
    </w:p>
    <w:p>
      <w:pPr>
        <w:sectPr>
          <w:pgSz w:w="11900" w:h="16838" w:orient="portrait"/>
          <w:cols w:equalWidth="0" w:num="1">
            <w:col w:w="10100"/>
          </w:cols>
          <w:pgMar w:left="580" w:top="97" w:right="1219" w:bottom="1440" w:gutter="0" w:footer="0" w:header="0"/>
        </w:sectPr>
      </w:pPr>
    </w:p>
    <w:p>
      <w:pPr>
        <w:spacing w:after="0" w:line="2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Other Compensation and Benefits</w:t>
      </w:r>
    </w:p>
    <w:p>
      <w:pPr>
        <w:spacing w:after="0" w:line="143"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740"/>
        <w:spacing w:after="0" w:line="286" w:lineRule="auto"/>
        <w:rPr>
          <w:sz w:val="20"/>
          <w:szCs w:val="20"/>
          <w:color w:val="auto"/>
        </w:rPr>
      </w:pPr>
      <w:r>
        <w:rPr>
          <w:rFonts w:ascii="Arial" w:cs="Arial" w:eastAsia="Arial" w:hAnsi="Arial"/>
          <w:sz w:val="20"/>
          <w:szCs w:val="20"/>
          <w:color w:val="auto"/>
        </w:rPr>
        <w:t>contributions under the same terms as other employees.</w:t>
      </w:r>
    </w:p>
    <w:p>
      <w:pPr>
        <w:spacing w:after="0" w:line="140"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We offered executives the opportunity to participate in a reimbursement program for fiscal year 2024 providing up to an aggregate of $20,000 to each executive for the purchase of personal financial planning services, estate planning services, personal tax planning and preparation services, and/or an executive physical. No tax gross-up was provided for such reimbursements. In fiscal year 2024, each of the Named Executive Officers, other than Mr. Kasnavi, received reimbursement in connection with such services.</w:t>
      </w:r>
    </w:p>
    <w:p>
      <w:pPr>
        <w:spacing w:after="0" w:line="239" w:lineRule="exact"/>
        <w:rPr>
          <w:sz w:val="20"/>
          <w:szCs w:val="20"/>
          <w:color w:val="auto"/>
        </w:rPr>
      </w:pPr>
    </w:p>
    <w:p>
      <w:pPr>
        <w:ind w:right="760"/>
        <w:spacing w:after="0" w:line="282" w:lineRule="auto"/>
        <w:rPr>
          <w:sz w:val="20"/>
          <w:szCs w:val="20"/>
          <w:color w:val="auto"/>
        </w:rPr>
      </w:pPr>
      <w:r>
        <w:rPr>
          <w:rFonts w:ascii="Arial" w:cs="Arial" w:eastAsia="Arial" w:hAnsi="Arial"/>
          <w:sz w:val="23"/>
          <w:szCs w:val="23"/>
          <w:b w:val="1"/>
          <w:bCs w:val="1"/>
          <w:i w:val="1"/>
          <w:iCs w:val="1"/>
          <w:color w:val="auto"/>
        </w:rPr>
        <w:t>Severance and Change-in-Control Benefits</w:t>
      </w:r>
    </w:p>
    <w:p>
      <w:pPr>
        <w:spacing w:after="0" w:line="36" w:lineRule="exact"/>
        <w:rPr>
          <w:sz w:val="20"/>
          <w:szCs w:val="20"/>
          <w:color w:val="auto"/>
        </w:rPr>
      </w:pPr>
    </w:p>
    <w:p>
      <w:pPr>
        <w:jc w:val="both"/>
        <w:ind w:right="100"/>
        <w:spacing w:after="0" w:line="255" w:lineRule="auto"/>
        <w:rPr>
          <w:sz w:val="20"/>
          <w:szCs w:val="20"/>
          <w:color w:val="auto"/>
        </w:rPr>
      </w:pPr>
      <w:r>
        <w:rPr>
          <w:rFonts w:ascii="Arial" w:cs="Arial" w:eastAsia="Arial" w:hAnsi="Arial"/>
          <w:sz w:val="20"/>
          <w:szCs w:val="20"/>
          <w:color w:val="auto"/>
        </w:rPr>
        <w:t>None of our executive officers, including the Named Executive Officers, has an employment agreement that provides a specific term of</w:t>
      </w:r>
    </w:p>
    <w:p>
      <w:pPr>
        <w:spacing w:after="0" w:line="312"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spacing w:after="0" w:line="11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employment with the Company. Accordingly, the</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employment of any such employee may be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terminated at any time. We do provide certain</w:t>
      </w:r>
    </w:p>
    <w:p>
      <w:pPr>
        <w:ind w:left="660"/>
        <w:spacing w:after="0"/>
        <w:rPr>
          <w:sz w:val="20"/>
          <w:szCs w:val="20"/>
          <w:color w:val="auto"/>
        </w:rPr>
      </w:pPr>
      <w:r>
        <w:rPr>
          <w:rFonts w:ascii="Arial" w:cs="Arial" w:eastAsia="Arial" w:hAnsi="Arial"/>
          <w:sz w:val="20"/>
          <w:szCs w:val="20"/>
          <w:color w:val="auto"/>
        </w:rPr>
        <w:t>benefits to our Named Executive Officers upon</w:t>
      </w:r>
    </w:p>
    <w:p>
      <w:pPr>
        <w:ind w:left="660"/>
        <w:spacing w:after="0"/>
        <w:rPr>
          <w:sz w:val="20"/>
          <w:szCs w:val="20"/>
          <w:color w:val="auto"/>
        </w:rPr>
      </w:pPr>
      <w:r>
        <w:rPr>
          <w:rFonts w:ascii="Arial" w:cs="Arial" w:eastAsia="Arial" w:hAnsi="Arial"/>
          <w:sz w:val="19"/>
          <w:szCs w:val="19"/>
          <w:color w:val="auto"/>
        </w:rPr>
        <w:t>certain qualifying terminations of employment and in</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connection with terminations of employment under</w:t>
      </w:r>
    </w:p>
    <w:p>
      <w:pPr>
        <w:ind w:left="660"/>
        <w:spacing w:after="0"/>
        <w:rPr>
          <w:sz w:val="20"/>
          <w:szCs w:val="20"/>
          <w:color w:val="auto"/>
        </w:rPr>
      </w:pPr>
      <w:r>
        <w:rPr>
          <w:rFonts w:ascii="Arial" w:cs="Arial" w:eastAsia="Arial" w:hAnsi="Arial"/>
          <w:sz w:val="19"/>
          <w:szCs w:val="19"/>
          <w:color w:val="auto"/>
        </w:rPr>
        <w:t>certain circumstances following a change in control.</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description of the material terms of our severance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change-in-control arrangements with the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Named Executive Officers, including a description of</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payable to Mr. Griffin in connection</w:t>
      </w:r>
    </w:p>
    <w:p>
      <w:pPr>
        <w:ind w:left="660"/>
        <w:spacing w:after="0"/>
        <w:rPr>
          <w:sz w:val="20"/>
          <w:szCs w:val="20"/>
          <w:color w:val="auto"/>
        </w:rPr>
      </w:pPr>
      <w:r>
        <w:rPr>
          <w:rFonts w:ascii="Arial" w:cs="Arial" w:eastAsia="Arial" w:hAnsi="Arial"/>
          <w:sz w:val="19"/>
          <w:szCs w:val="19"/>
          <w:color w:val="auto"/>
        </w:rPr>
        <w:t>with him ceasing to serve as Chief Executive Officer</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President of the Company effective</w:t>
      </w:r>
    </w:p>
    <w:p>
      <w:pPr>
        <w:ind w:left="660"/>
        <w:spacing w:after="0"/>
        <w:rPr>
          <w:sz w:val="20"/>
          <w:szCs w:val="20"/>
          <w:color w:val="auto"/>
        </w:rPr>
      </w:pPr>
      <w:r>
        <w:rPr>
          <w:rFonts w:ascii="Arial" w:cs="Arial" w:eastAsia="Arial" w:hAnsi="Arial"/>
          <w:sz w:val="19"/>
          <w:szCs w:val="19"/>
          <w:color w:val="auto"/>
        </w:rPr>
        <w:t>February 17, 2025, can be found immediately below</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and further below under “</w:t>
      </w:r>
      <w:r>
        <w:rPr>
          <w:rFonts w:ascii="Arial" w:cs="Arial" w:eastAsia="Arial" w:hAnsi="Arial"/>
          <w:sz w:val="19"/>
          <w:szCs w:val="19"/>
          <w:i w:val="1"/>
          <w:iCs w:val="1"/>
          <w:color w:val="auto"/>
        </w:rPr>
        <w:t>Potential Payments Upon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Termination or Change in Control.</w:t>
      </w:r>
      <w:r>
        <w:rPr>
          <w:rFonts w:ascii="Arial" w:cs="Arial" w:eastAsia="Arial" w:hAnsi="Arial"/>
          <w:sz w:val="20"/>
          <w:szCs w:val="20"/>
          <w:color w:val="auto"/>
        </w:rPr>
        <w:t>”</w:t>
      </w:r>
    </w:p>
    <w:p>
      <w:pPr>
        <w:spacing w:after="0" w:line="198" w:lineRule="exact"/>
        <w:rPr>
          <w:sz w:val="20"/>
          <w:szCs w:val="20"/>
          <w:color w:val="auto"/>
        </w:rPr>
      </w:pPr>
    </w:p>
    <w:p>
      <w:pPr>
        <w:ind w:left="660"/>
        <w:spacing w:after="0" w:line="259" w:lineRule="auto"/>
        <w:rPr>
          <w:sz w:val="20"/>
          <w:szCs w:val="20"/>
          <w:color w:val="auto"/>
        </w:rPr>
      </w:pPr>
      <w:r>
        <w:rPr>
          <w:rFonts w:ascii="Arial" w:cs="Arial" w:eastAsia="Arial" w:hAnsi="Arial"/>
          <w:sz w:val="19"/>
          <w:szCs w:val="19"/>
          <w:color w:val="auto"/>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179"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Arial" w:cs="Arial" w:eastAsia="Arial" w:hAnsi="Arial"/>
          <w:sz w:val="20"/>
          <w:szCs w:val="20"/>
          <w:i w:val="1"/>
          <w:iCs w:val="1"/>
          <w:color w:val="auto"/>
        </w:rPr>
        <w:t>Potential</w:t>
      </w:r>
      <w:r>
        <w:rPr>
          <w:rFonts w:ascii="Arial" w:cs="Arial" w:eastAsia="Arial" w:hAnsi="Arial"/>
          <w:sz w:val="20"/>
          <w:szCs w:val="20"/>
          <w:color w:val="auto"/>
        </w:rPr>
        <w:t xml:space="preserve"> </w:t>
      </w:r>
      <w:r>
        <w:rPr>
          <w:rFonts w:ascii="Arial" w:cs="Arial" w:eastAsia="Arial" w:hAnsi="Arial"/>
          <w:sz w:val="20"/>
          <w:szCs w:val="20"/>
          <w:i w:val="1"/>
          <w:iCs w:val="1"/>
          <w:color w:val="auto"/>
        </w:rPr>
        <w:t>Payments Upon Termination or Change in Control.</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Compensation Committee believes these enhanced severance benefits and</w:t>
      </w: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The vesting protection helps assure the Named Executive Officers that they will not lose the expected value of their equity awards because of a change in control of the Company.</w:t>
      </w:r>
    </w:p>
    <w:p>
      <w:pPr>
        <w:spacing w:after="0" w:line="204"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In fiscal year 2024, the Company adopted a policy providing for stockholder ratification of any new agreements or arrangements that provide for cash severance benefits payable to Named Executive Officers that exceed 2.99 times the sum of the Named Executive Officer’s base salary and target bonus (as each such term is defined in the policy).</w:t>
      </w:r>
    </w:p>
    <w:p>
      <w:pPr>
        <w:spacing w:after="0" w:line="225" w:lineRule="exact"/>
        <w:rPr>
          <w:sz w:val="20"/>
          <w:szCs w:val="20"/>
          <w:color w:val="auto"/>
        </w:rPr>
      </w:pPr>
    </w:p>
    <w:p>
      <w:pPr>
        <w:ind w:right="640"/>
        <w:spacing w:after="0" w:line="295" w:lineRule="auto"/>
        <w:rPr>
          <w:sz w:val="20"/>
          <w:szCs w:val="20"/>
          <w:color w:val="auto"/>
        </w:rPr>
      </w:pPr>
      <w:r>
        <w:rPr>
          <w:rFonts w:ascii="Arial" w:cs="Arial" w:eastAsia="Arial" w:hAnsi="Arial"/>
          <w:sz w:val="23"/>
          <w:szCs w:val="23"/>
          <w:b w:val="1"/>
          <w:bCs w:val="1"/>
          <w:i w:val="1"/>
          <w:iCs w:val="1"/>
          <w:color w:val="auto"/>
        </w:rPr>
        <w:t>Executive Officer Stock Ownership Requirements</w:t>
      </w:r>
    </w:p>
    <w:p>
      <w:pPr>
        <w:spacing w:after="0" w:line="7"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for fiscal year 2024 were each required to hold the </w:t>
      </w:r>
      <w:r>
        <w:rPr>
          <w:rFonts w:ascii="Arial" w:cs="Arial" w:eastAsia="Arial" w:hAnsi="Arial"/>
          <w:sz w:val="19"/>
          <w:szCs w:val="19"/>
          <w:i w:val="1"/>
          <w:iCs w:val="1"/>
          <w:color w:val="auto"/>
        </w:rPr>
        <w:t xml:space="preserve">lower </w:t>
      </w:r>
      <w:r>
        <w:rPr>
          <w:rFonts w:ascii="Arial" w:cs="Arial" w:eastAsia="Arial" w:hAnsi="Arial"/>
          <w:sz w:val="19"/>
          <w:szCs w:val="19"/>
          <w:color w:val="auto"/>
        </w:rPr>
        <w:t>of (a) the number of shares with a fair market</w:t>
      </w:r>
      <w:r>
        <w:rPr>
          <w:rFonts w:ascii="Arial" w:cs="Arial" w:eastAsia="Arial" w:hAnsi="Arial"/>
          <w:sz w:val="19"/>
          <w:szCs w:val="19"/>
          <w:i w:val="1"/>
          <w:iCs w:val="1"/>
          <w:color w:val="auto"/>
        </w:rPr>
        <w:t xml:space="preserve"> </w:t>
      </w:r>
      <w:r>
        <w:rPr>
          <w:rFonts w:ascii="Arial" w:cs="Arial" w:eastAsia="Arial" w:hAnsi="Arial"/>
          <w:sz w:val="19"/>
          <w:szCs w:val="19"/>
          <w:color w:val="auto"/>
        </w:rPr>
        <w:t>value equal to the applicable multiple of such executive’s current base salary, or (b) the applicable number of shares, each as set forth in the table below. Common stock owned outright by the Named Executive Officer (or by his or her spouse or minor children), common stock held in trust for the benefit of the Named Executive Officer (or his or her spouse or minor children), or restricted stock or restricted stock units granted pursuant to the equity compensation plans of the Company for which restrictions have lapsed, count towards the requirement. Unexercised options, whether or not vested, and restricted stock and restricted</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stock units still subject to risk of forfeiture, as well as any unissued performance shares,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226060</wp:posOffset>
            </wp:positionV>
            <wp:extent cx="779780" cy="257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168275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right="40"/>
        <w:spacing w:after="0" w:line="313" w:lineRule="auto"/>
        <w:rPr>
          <w:sz w:val="20"/>
          <w:szCs w:val="20"/>
          <w:color w:val="auto"/>
        </w:rPr>
      </w:pPr>
      <w:r>
        <w:rPr>
          <w:rFonts w:ascii="Arial" w:cs="Arial" w:eastAsia="Arial" w:hAnsi="Arial"/>
          <w:sz w:val="19"/>
          <w:szCs w:val="19"/>
          <w:color w:val="auto"/>
        </w:rPr>
        <w:t>count towards the requirement. All of our Named Executive Officers for fiscal year 2024 were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640"/>
        <w:spacing w:after="0" w:line="313" w:lineRule="auto"/>
        <w:rPr>
          <w:sz w:val="20"/>
          <w:szCs w:val="20"/>
          <w:color w:val="auto"/>
        </w:rPr>
      </w:pPr>
      <w:r>
        <w:rPr>
          <w:rFonts w:ascii="Arial" w:cs="Arial" w:eastAsia="Arial" w:hAnsi="Arial"/>
          <w:sz w:val="19"/>
          <w:szCs w:val="19"/>
          <w:color w:val="auto"/>
        </w:rPr>
        <w:t>compliance with the executive officer stock ownership guidelines as of 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114935</wp:posOffset>
            </wp:positionV>
            <wp:extent cx="5974715" cy="274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860" w:space="720"/>
            <w:col w:w="452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207"/>
        </w:trPr>
        <w:tc>
          <w:tcPr>
            <w:tcW w:w="44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w:t>
            </w:r>
          </w:p>
        </w:tc>
        <w:tc>
          <w:tcPr>
            <w:tcW w:w="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3220" w:type="dxa"/>
            <w:vAlign w:val="bottom"/>
            <w:gridSpan w:val="2"/>
          </w:tcPr>
          <w:p>
            <w:pPr>
              <w:ind w:left="1660"/>
              <w:spacing w:after="0"/>
              <w:rPr>
                <w:sz w:val="20"/>
                <w:szCs w:val="20"/>
                <w:color w:val="auto"/>
              </w:rPr>
            </w:pPr>
            <w:r>
              <w:rPr>
                <w:rFonts w:ascii="Arial" w:cs="Arial" w:eastAsia="Arial" w:hAnsi="Arial"/>
                <w:sz w:val="18"/>
                <w:szCs w:val="18"/>
                <w:b w:val="1"/>
                <w:bCs w:val="1"/>
                <w:color w:val="FFFFFF"/>
                <w:w w:val="98"/>
              </w:rPr>
              <w:t>Multiple of Annual</w:t>
            </w: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FFFFFF"/>
              </w:rPr>
              <w:t>​ ​Shares ​</w:t>
            </w:r>
          </w:p>
        </w:tc>
        <w:tc>
          <w:tcPr>
            <w:tcW w:w="0" w:type="dxa"/>
            <w:vAlign w:val="bottom"/>
          </w:tcPr>
          <w:p>
            <w:pPr>
              <w:spacing w:after="0"/>
              <w:rPr>
                <w:sz w:val="1"/>
                <w:szCs w:val="1"/>
                <w:color w:val="auto"/>
              </w:rPr>
            </w:pPr>
          </w:p>
        </w:tc>
      </w:tr>
      <w:tr>
        <w:trPr>
          <w:trHeight w:val="235"/>
        </w:trPr>
        <w:tc>
          <w:tcPr>
            <w:tcW w:w="4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80" w:type="dxa"/>
            <w:vAlign w:val="bottom"/>
          </w:tcPr>
          <w:p>
            <w:pPr>
              <w:ind w:left="1500"/>
              <w:spacing w:after="0"/>
              <w:rPr>
                <w:sz w:val="20"/>
                <w:szCs w:val="20"/>
                <w:color w:val="auto"/>
              </w:rPr>
            </w:pPr>
            <w:r>
              <w:rPr>
                <w:rFonts w:ascii="Arial" w:cs="Arial" w:eastAsia="Arial" w:hAnsi="Arial"/>
                <w:sz w:val="18"/>
                <w:szCs w:val="18"/>
                <w:b w:val="1"/>
                <w:bCs w:val="1"/>
                <w:color w:val="FFFFFF"/>
              </w:rPr>
              <w:t>​ ​</w:t>
            </w:r>
          </w:p>
        </w:tc>
        <w:tc>
          <w:tcPr>
            <w:tcW w:w="1440" w:type="dxa"/>
            <w:vAlign w:val="bottom"/>
          </w:tcPr>
          <w:p>
            <w:pPr>
              <w:jc w:val="center"/>
              <w:ind w:right="18"/>
              <w:spacing w:after="0"/>
              <w:rPr>
                <w:sz w:val="20"/>
                <w:szCs w:val="20"/>
                <w:color w:val="auto"/>
              </w:rPr>
            </w:pPr>
            <w:r>
              <w:rPr>
                <w:rFonts w:ascii="Arial" w:cs="Arial" w:eastAsia="Arial" w:hAnsi="Arial"/>
                <w:sz w:val="18"/>
                <w:szCs w:val="18"/>
                <w:b w:val="1"/>
                <w:bCs w:val="1"/>
                <w:color w:val="FFFFFF"/>
                <w:w w:val="98"/>
              </w:rPr>
              <w:t>Base Salary(1)</w:t>
            </w: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w:t>
            </w:r>
          </w:p>
        </w:tc>
        <w:tc>
          <w:tcPr>
            <w:tcW w:w="486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Executive Officer</w:t>
            </w:r>
          </w:p>
        </w:tc>
        <w:tc>
          <w:tcPr>
            <w:tcW w:w="178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6​</w:t>
            </w:r>
          </w:p>
        </w:tc>
        <w:tc>
          <w:tcPr>
            <w:tcW w:w="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 ​ ​​96,900​​​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40"/>
              <w:spacing w:after="0"/>
              <w:rPr>
                <w:sz w:val="20"/>
                <w:szCs w:val="20"/>
                <w:color w:val="auto"/>
              </w:rPr>
            </w:pPr>
            <w:r>
              <w:rPr>
                <w:rFonts w:ascii="Arial" w:cs="Arial" w:eastAsia="Arial" w:hAnsi="Arial"/>
                <w:sz w:val="16"/>
                <w:szCs w:val="16"/>
                <w:color w:val="auto"/>
              </w:rPr>
              <w:t>Chief​</w:t>
            </w:r>
          </w:p>
        </w:tc>
        <w:tc>
          <w:tcPr>
            <w:tcW w:w="4860" w:type="dxa"/>
            <w:vAlign w:val="bottom"/>
            <w:gridSpan w:val="2"/>
          </w:tcPr>
          <w:p>
            <w:pPr>
              <w:ind w:left="20"/>
              <w:spacing w:after="0"/>
              <w:rPr>
                <w:sz w:val="20"/>
                <w:szCs w:val="20"/>
                <w:color w:val="auto"/>
              </w:rPr>
            </w:pPr>
            <w:r>
              <w:rPr>
                <w:rFonts w:ascii="Arial" w:cs="Arial" w:eastAsia="Arial" w:hAnsi="Arial"/>
                <w:sz w:val="16"/>
                <w:szCs w:val="16"/>
                <w:color w:val="auto"/>
              </w:rPr>
              <w:t>Financial Officer</w:t>
            </w:r>
          </w:p>
        </w:tc>
        <w:tc>
          <w:tcPr>
            <w:tcW w:w="1780" w:type="dxa"/>
            <w:vAlign w:val="bottom"/>
          </w:tcPr>
          <w:p>
            <w:pPr>
              <w:ind w:left="1560"/>
              <w:spacing w:after="0"/>
              <w:rPr>
                <w:sz w:val="20"/>
                <w:szCs w:val="20"/>
                <w:color w:val="auto"/>
              </w:rPr>
            </w:pPr>
            <w:r>
              <w:rPr>
                <w:rFonts w:ascii="Arial" w:cs="Arial" w:eastAsia="Arial" w:hAnsi="Arial"/>
                <w:sz w:val="16"/>
                <w:szCs w:val="16"/>
                <w:color w:val="auto"/>
              </w:rPr>
              <w:t>​ ​</w:t>
            </w:r>
          </w:p>
        </w:tc>
        <w:tc>
          <w:tcPr>
            <w:tcW w:w="1440" w:type="dxa"/>
            <w:vAlign w:val="bottom"/>
          </w:tcPr>
          <w:p>
            <w:pPr>
              <w:jc w:val="center"/>
              <w:spacing w:after="0"/>
              <w:rPr>
                <w:sz w:val="20"/>
                <w:szCs w:val="20"/>
                <w:color w:val="auto"/>
              </w:rPr>
            </w:pPr>
            <w:r>
              <w:rPr>
                <w:rFonts w:ascii="Arial" w:cs="Arial" w:eastAsia="Arial" w:hAnsi="Arial"/>
                <w:sz w:val="16"/>
                <w:szCs w:val="16"/>
                <w:color w:val="auto"/>
              </w:rPr>
              <w:t>​2.5​</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 ​ ​​21,000​​​</w:t>
            </w:r>
          </w:p>
        </w:tc>
        <w:tc>
          <w:tcPr>
            <w:tcW w:w="0" w:type="dxa"/>
            <w:vAlign w:val="bottom"/>
          </w:tcPr>
          <w:p>
            <w:pPr>
              <w:spacing w:after="0"/>
              <w:rPr>
                <w:sz w:val="1"/>
                <w:szCs w:val="1"/>
                <w:color w:val="auto"/>
              </w:rPr>
            </w:pPr>
          </w:p>
        </w:tc>
      </w:tr>
      <w:tr>
        <w:trPr>
          <w:trHeight w:val="216"/>
        </w:trPr>
        <w:tc>
          <w:tcPr>
            <w:tcW w:w="52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w w:val="99"/>
              </w:rPr>
              <w:t>Senior​</w:t>
            </w:r>
          </w:p>
        </w:tc>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Vice President, Technology and Manufacturing</w:t>
            </w:r>
          </w:p>
        </w:tc>
        <w:tc>
          <w:tcPr>
            <w:tcW w:w="178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​2.5​</w:t>
            </w:r>
          </w:p>
        </w:tc>
        <w:tc>
          <w:tcPr>
            <w:tcW w:w="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 ​ ​​19,900​​​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ind w:left="40"/>
              <w:spacing w:after="0"/>
              <w:rPr>
                <w:sz w:val="20"/>
                <w:szCs w:val="20"/>
                <w:color w:val="auto"/>
              </w:rPr>
            </w:pPr>
            <w:r>
              <w:rPr>
                <w:rFonts w:ascii="Arial" w:cs="Arial" w:eastAsia="Arial" w:hAnsi="Arial"/>
                <w:sz w:val="16"/>
                <w:szCs w:val="16"/>
                <w:color w:val="auto"/>
                <w:w w:val="99"/>
              </w:rPr>
              <w:t>Senior​</w:t>
            </w:r>
          </w:p>
        </w:tc>
        <w:tc>
          <w:tcPr>
            <w:tcW w:w="4780" w:type="dxa"/>
            <w:vAlign w:val="bottom"/>
          </w:tcPr>
          <w:p>
            <w:pPr>
              <w:ind w:left="40"/>
              <w:spacing w:after="0"/>
              <w:rPr>
                <w:sz w:val="20"/>
                <w:szCs w:val="20"/>
                <w:color w:val="auto"/>
              </w:rPr>
            </w:pPr>
            <w:r>
              <w:rPr>
                <w:rFonts w:ascii="Arial" w:cs="Arial" w:eastAsia="Arial" w:hAnsi="Arial"/>
                <w:sz w:val="16"/>
                <w:szCs w:val="16"/>
                <w:color w:val="auto"/>
              </w:rPr>
              <w:t>Vice President, Sales and Marketing</w:t>
            </w:r>
          </w:p>
        </w:tc>
        <w:tc>
          <w:tcPr>
            <w:tcW w:w="1780" w:type="dxa"/>
            <w:vAlign w:val="bottom"/>
          </w:tcPr>
          <w:p>
            <w:pPr>
              <w:ind w:left="1560"/>
              <w:spacing w:after="0"/>
              <w:rPr>
                <w:sz w:val="20"/>
                <w:szCs w:val="20"/>
                <w:color w:val="auto"/>
              </w:rPr>
            </w:pPr>
            <w:r>
              <w:rPr>
                <w:rFonts w:ascii="Arial" w:cs="Arial" w:eastAsia="Arial" w:hAnsi="Arial"/>
                <w:sz w:val="16"/>
                <w:szCs w:val="16"/>
                <w:color w:val="auto"/>
              </w:rPr>
              <w:t>​ ​</w:t>
            </w:r>
          </w:p>
        </w:tc>
        <w:tc>
          <w:tcPr>
            <w:tcW w:w="1440" w:type="dxa"/>
            <w:vAlign w:val="bottom"/>
          </w:tcPr>
          <w:p>
            <w:pPr>
              <w:jc w:val="center"/>
              <w:spacing w:after="0"/>
              <w:rPr>
                <w:sz w:val="20"/>
                <w:szCs w:val="20"/>
                <w:color w:val="auto"/>
              </w:rPr>
            </w:pPr>
            <w:r>
              <w:rPr>
                <w:rFonts w:ascii="Arial" w:cs="Arial" w:eastAsia="Arial" w:hAnsi="Arial"/>
                <w:sz w:val="16"/>
                <w:szCs w:val="16"/>
                <w:color w:val="auto"/>
              </w:rPr>
              <w:t>​2.5​</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 ​ ​​18,600​​​</w:t>
            </w:r>
          </w:p>
        </w:tc>
        <w:tc>
          <w:tcPr>
            <w:tcW w:w="0" w:type="dxa"/>
            <w:vAlign w:val="bottom"/>
          </w:tcPr>
          <w:p>
            <w:pPr>
              <w:spacing w:after="0"/>
              <w:rPr>
                <w:sz w:val="1"/>
                <w:szCs w:val="1"/>
                <w:color w:val="auto"/>
              </w:rPr>
            </w:pPr>
          </w:p>
        </w:tc>
      </w:tr>
      <w:tr>
        <w:trPr>
          <w:trHeight w:val="229"/>
        </w:trPr>
        <w:tc>
          <w:tcPr>
            <w:tcW w:w="520" w:type="dxa"/>
            <w:vAlign w:val="bottom"/>
            <w:gridSpan w:val="2"/>
          </w:tcPr>
          <w:p>
            <w:pPr>
              <w:ind w:left="40"/>
              <w:spacing w:after="0"/>
              <w:rPr>
                <w:sz w:val="20"/>
                <w:szCs w:val="20"/>
                <w:color w:val="auto"/>
              </w:rPr>
            </w:pPr>
            <w:r>
              <w:rPr>
                <w:rFonts w:ascii="Arial" w:cs="Arial" w:eastAsia="Arial" w:hAnsi="Arial"/>
                <w:sz w:val="16"/>
                <w:szCs w:val="16"/>
                <w:color w:val="auto"/>
                <w:w w:val="99"/>
              </w:rPr>
              <w:t>​Senior</w:t>
            </w:r>
          </w:p>
        </w:tc>
        <w:tc>
          <w:tcPr>
            <w:tcW w:w="4780" w:type="dxa"/>
            <w:vAlign w:val="bottom"/>
          </w:tcPr>
          <w:p>
            <w:pPr>
              <w:ind w:left="40"/>
              <w:spacing w:after="0"/>
              <w:rPr>
                <w:sz w:val="20"/>
                <w:szCs w:val="20"/>
                <w:color w:val="auto"/>
              </w:rPr>
            </w:pPr>
            <w:r>
              <w:rPr>
                <w:rFonts w:ascii="Arial" w:cs="Arial" w:eastAsia="Arial" w:hAnsi="Arial"/>
                <w:sz w:val="16"/>
                <w:szCs w:val="16"/>
                <w:color w:val="auto"/>
              </w:rPr>
              <w:t>Vice President and General Counsel</w:t>
            </w:r>
          </w:p>
        </w:tc>
        <w:tc>
          <w:tcPr>
            <w:tcW w:w="1780" w:type="dxa"/>
            <w:vAlign w:val="bottom"/>
          </w:tcPr>
          <w:p>
            <w:pPr>
              <w:ind w:left="1560"/>
              <w:spacing w:after="0"/>
              <w:rPr>
                <w:sz w:val="20"/>
                <w:szCs w:val="20"/>
                <w:color w:val="auto"/>
              </w:rPr>
            </w:pPr>
            <w:r>
              <w:rPr>
                <w:rFonts w:ascii="Arial" w:cs="Arial" w:eastAsia="Arial" w:hAnsi="Arial"/>
                <w:sz w:val="16"/>
                <w:szCs w:val="16"/>
                <w:color w:val="auto"/>
              </w:rPr>
              <w:t>​ ​</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18,600​​​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-144780</wp:posOffset>
            </wp:positionV>
            <wp:extent cx="5974715"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89" w:lineRule="exact"/>
        <w:rPr>
          <w:sz w:val="20"/>
          <w:szCs w:val="20"/>
          <w:color w:val="auto"/>
        </w:rPr>
      </w:pPr>
    </w:p>
    <w:p>
      <w:pPr>
        <w:ind w:left="1080" w:right="220" w:hanging="354"/>
        <w:spacing w:after="0" w:line="270" w:lineRule="auto"/>
        <w:tabs>
          <w:tab w:leader="none" w:pos="108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For purposes of the executive officer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ectPr>
          <w:pgSz w:w="11900" w:h="16838" w:orient="portrait"/>
          <w:cols w:equalWidth="0" w:num="1">
            <w:col w:w="10100"/>
          </w:cols>
          <w:pgMar w:left="580" w:top="97" w:right="1219" w:bottom="1440" w:gutter="0" w:footer="0" w:header="0"/>
          <w:type w:val="continuous"/>
        </w:sectPr>
      </w:pPr>
    </w:p>
    <w:p>
      <w:pPr>
        <w:spacing w:after="0" w:line="57" w:lineRule="exact"/>
        <w:rPr>
          <w:sz w:val="20"/>
          <w:szCs w:val="20"/>
          <w:color w:val="auto"/>
        </w:rPr>
      </w:pPr>
    </w:p>
    <w:p>
      <w:pPr>
        <w:ind w:left="660" w:right="200"/>
        <w:spacing w:after="0" w:line="295" w:lineRule="auto"/>
        <w:rPr>
          <w:sz w:val="20"/>
          <w:szCs w:val="20"/>
          <w:color w:val="auto"/>
        </w:rPr>
      </w:pPr>
      <w:r>
        <w:rPr>
          <w:rFonts w:ascii="Arial" w:cs="Arial" w:eastAsia="Arial" w:hAnsi="Arial"/>
          <w:sz w:val="23"/>
          <w:szCs w:val="23"/>
          <w:b w:val="1"/>
          <w:bCs w:val="1"/>
          <w:i w:val="1"/>
          <w:iCs w:val="1"/>
          <w:color w:val="auto"/>
        </w:rPr>
        <w:t>Executive Compensation Recoupment Policies</w:t>
      </w:r>
    </w:p>
    <w:p>
      <w:pPr>
        <w:spacing w:after="0" w:line="34"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In March 2022, the Company adopted an executive compensation recoupment policy (the “2022 Policy”) that applies to both cash and equity incentive compensation for executive officers. Under the 2022 Policy, if we are required to prepare an accounting restatement for one or more periods due to the material noncompliance of the Company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 In November 2023, the Company adopted a new executive compensation recovery policy (the “2023 Policy”) for purposes of complying with Section 10D of the Exchange Act and Nasdaq listing standards. The 2023 Policy provides that, in the event the Company is required to prepare an accounting restatement on or after October 2, 2023 (the “Effective Date”) due to the material noncompliance of the Company with any financial reporting requirement under the U.S. federal securities laws, the Company will act to recover the amount of incentive-based compensation received on or after the Effective Date, by its current and former Section 16 officers, as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 w:right="60"/>
        <w:spacing w:after="0" w:line="247" w:lineRule="auto"/>
        <w:rPr>
          <w:sz w:val="20"/>
          <w:szCs w:val="20"/>
          <w:color w:val="auto"/>
        </w:rPr>
      </w:pPr>
      <w:r>
        <w:rPr>
          <w:rFonts w:ascii="Arial" w:cs="Arial" w:eastAsia="Arial" w:hAnsi="Arial"/>
          <w:sz w:val="20"/>
          <w:szCs w:val="20"/>
          <w:color w:val="auto"/>
        </w:rPr>
        <w:t>applicable, in excess of the amount of incentive-based compensation that would have been received had it been determined based on the restated amount, subject to limited exceptions. In the event that an accounting restatement is not covered by the 2023 Policy but is covered by the 2022 Policy, the 2022 Policy will apply. In the event that an accounting restatement could be covered by both the 2022 Policy and 2023 Policy, only the 2023 Policy will apply.</w:t>
      </w:r>
    </w:p>
    <w:p>
      <w:pPr>
        <w:spacing w:after="0" w:line="256" w:lineRule="exact"/>
        <w:rPr>
          <w:sz w:val="20"/>
          <w:szCs w:val="20"/>
          <w:color w:val="auto"/>
        </w:rPr>
      </w:pPr>
    </w:p>
    <w:p>
      <w:pPr>
        <w:ind w:left="3" w:right="580"/>
        <w:spacing w:after="0" w:line="282" w:lineRule="auto"/>
        <w:rPr>
          <w:sz w:val="20"/>
          <w:szCs w:val="20"/>
          <w:color w:val="auto"/>
        </w:rPr>
      </w:pPr>
      <w:r>
        <w:rPr>
          <w:rFonts w:ascii="Arial" w:cs="Arial" w:eastAsia="Arial" w:hAnsi="Arial"/>
          <w:sz w:val="23"/>
          <w:szCs w:val="23"/>
          <w:b w:val="1"/>
          <w:bCs w:val="1"/>
          <w:i w:val="1"/>
          <w:iCs w:val="1"/>
          <w:color w:val="auto"/>
        </w:rPr>
        <w:t>Prohibition on Hedging and Certain Other Transactions</w:t>
      </w:r>
    </w:p>
    <w:p>
      <w:pPr>
        <w:spacing w:after="0" w:line="36" w:lineRule="exact"/>
        <w:rPr>
          <w:sz w:val="20"/>
          <w:szCs w:val="20"/>
          <w:color w:val="auto"/>
        </w:rPr>
      </w:pPr>
    </w:p>
    <w:p>
      <w:pPr>
        <w:ind w:left="3" w:right="140"/>
        <w:spacing w:after="0" w:line="272" w:lineRule="auto"/>
        <w:rPr>
          <w:sz w:val="20"/>
          <w:szCs w:val="20"/>
          <w:color w:val="auto"/>
        </w:rPr>
      </w:pPr>
      <w:r>
        <w:rPr>
          <w:rFonts w:ascii="Arial" w:cs="Arial" w:eastAsia="Arial" w:hAnsi="Arial"/>
          <w:sz w:val="19"/>
          <w:szCs w:val="19"/>
          <w:color w:val="auto"/>
        </w:rPr>
        <w:t>We prohibit our directors, officers, and employees (or any of their designees) from directly or indirectly engaging in the following transactions with respect to securities of the Company:</w:t>
      </w:r>
    </w:p>
    <w:p>
      <w:pPr>
        <w:spacing w:after="0" w:line="157" w:lineRule="exact"/>
        <w:rPr>
          <w:sz w:val="20"/>
          <w:szCs w:val="20"/>
          <w:color w:val="auto"/>
        </w:rPr>
      </w:pPr>
    </w:p>
    <w:p>
      <w:pPr>
        <w:ind w:left="183" w:right="400" w:hanging="183"/>
        <w:spacing w:after="0" w:line="270" w:lineRule="auto"/>
        <w:tabs>
          <w:tab w:leader="none" w:pos="183" w:val="left"/>
        </w:tabs>
        <w:numPr>
          <w:ilvl w:val="0"/>
          <w:numId w:val="59"/>
        </w:numPr>
        <w:rPr>
          <w:rFonts w:ascii="Arial" w:cs="Arial" w:eastAsia="Arial" w:hAnsi="Arial"/>
          <w:sz w:val="20"/>
          <w:szCs w:val="20"/>
          <w:color w:val="auto"/>
        </w:rPr>
      </w:pPr>
      <w:r>
        <w:rPr>
          <w:rFonts w:ascii="Arial" w:cs="Arial" w:eastAsia="Arial" w:hAnsi="Arial"/>
          <w:sz w:val="20"/>
          <w:szCs w:val="20"/>
          <w:color w:val="auto"/>
        </w:rPr>
        <w:t>selling short, including short sales “against the box”;</w:t>
      </w:r>
    </w:p>
    <w:p>
      <w:pPr>
        <w:ind w:left="183" w:hanging="183"/>
        <w:spacing w:after="0"/>
        <w:tabs>
          <w:tab w:leader="none" w:pos="183" w:val="left"/>
        </w:tabs>
        <w:numPr>
          <w:ilvl w:val="0"/>
          <w:numId w:val="59"/>
        </w:numPr>
        <w:rPr>
          <w:rFonts w:ascii="Arial" w:cs="Arial" w:eastAsia="Arial" w:hAnsi="Arial"/>
          <w:sz w:val="20"/>
          <w:szCs w:val="20"/>
          <w:color w:val="auto"/>
        </w:rPr>
      </w:pPr>
      <w:r>
        <w:rPr>
          <w:rFonts w:ascii="Arial" w:cs="Arial" w:eastAsia="Arial" w:hAnsi="Arial"/>
          <w:sz w:val="20"/>
          <w:szCs w:val="20"/>
          <w:color w:val="auto"/>
        </w:rPr>
        <w:t>buying or selling put or call options; or</w:t>
      </w:r>
    </w:p>
    <w:p>
      <w:pPr>
        <w:spacing w:after="0" w:line="13" w:lineRule="exact"/>
        <w:rPr>
          <w:rFonts w:ascii="Arial" w:cs="Arial" w:eastAsia="Arial" w:hAnsi="Arial"/>
          <w:sz w:val="20"/>
          <w:szCs w:val="20"/>
          <w:color w:val="auto"/>
        </w:rPr>
      </w:pPr>
    </w:p>
    <w:p>
      <w:pPr>
        <w:ind w:left="183" w:right="140" w:hanging="183"/>
        <w:spacing w:after="0" w:line="281" w:lineRule="auto"/>
        <w:tabs>
          <w:tab w:leader="none" w:pos="183" w:val="left"/>
        </w:tabs>
        <w:numPr>
          <w:ilvl w:val="0"/>
          <w:numId w:val="59"/>
        </w:numPr>
        <w:rPr>
          <w:rFonts w:ascii="Arial" w:cs="Arial" w:eastAsia="Arial" w:hAnsi="Arial"/>
          <w:sz w:val="19"/>
          <w:szCs w:val="19"/>
          <w:color w:val="auto"/>
        </w:rPr>
      </w:pPr>
      <w:r>
        <w:rPr>
          <w:rFonts w:ascii="Arial" w:cs="Arial" w:eastAsia="Arial" w:hAnsi="Arial"/>
          <w:sz w:val="19"/>
          <w:szCs w:val="19"/>
          <w:color w:val="auto"/>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164" w:lineRule="exact"/>
        <w:rPr>
          <w:sz w:val="20"/>
          <w:szCs w:val="20"/>
          <w:color w:val="auto"/>
        </w:rPr>
      </w:pPr>
    </w:p>
    <w:p>
      <w:pPr>
        <w:ind w:left="3" w:right="120"/>
        <w:spacing w:after="0" w:line="251" w:lineRule="auto"/>
        <w:rPr>
          <w:sz w:val="20"/>
          <w:szCs w:val="20"/>
          <w:color w:val="auto"/>
        </w:rPr>
      </w:pPr>
      <w:r>
        <w:rPr>
          <w:rFonts w:ascii="Arial" w:cs="Arial" w:eastAsia="Arial" w:hAnsi="Arial"/>
          <w:sz w:val="20"/>
          <w:szCs w:val="20"/>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200"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spacing w:after="0" w:line="124"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2" w:lineRule="exact"/>
        <w:rPr>
          <w:sz w:val="20"/>
          <w:szCs w:val="20"/>
          <w:color w:val="auto"/>
        </w:rPr>
      </w:pPr>
    </w:p>
    <w:p>
      <w:pPr>
        <w:ind w:left="660"/>
        <w:spacing w:after="0" w:line="282" w:lineRule="auto"/>
        <w:rPr>
          <w:sz w:val="20"/>
          <w:szCs w:val="20"/>
          <w:color w:val="auto"/>
        </w:rPr>
      </w:pPr>
      <w:r>
        <w:rPr>
          <w:rFonts w:ascii="Arial" w:cs="Arial" w:eastAsia="Arial" w:hAnsi="Arial"/>
          <w:sz w:val="23"/>
          <w:szCs w:val="23"/>
          <w:b w:val="1"/>
          <w:bCs w:val="1"/>
          <w:i w:val="1"/>
          <w:iCs w:val="1"/>
          <w:color w:val="auto"/>
        </w:rPr>
        <w:t>Compliance with Internal Revenue Code Section 162(m)</w:t>
      </w:r>
    </w:p>
    <w:p>
      <w:pPr>
        <w:spacing w:after="0" w:line="36" w:lineRule="exact"/>
        <w:rPr>
          <w:sz w:val="20"/>
          <w:szCs w:val="20"/>
          <w:color w:val="auto"/>
        </w:rPr>
      </w:pPr>
    </w:p>
    <w:p>
      <w:pPr>
        <w:ind w:left="660" w:right="40"/>
        <w:spacing w:after="0" w:line="247" w:lineRule="auto"/>
        <w:rPr>
          <w:sz w:val="20"/>
          <w:szCs w:val="20"/>
          <w:color w:val="auto"/>
        </w:rPr>
      </w:pPr>
      <w:r>
        <w:rPr>
          <w:rFonts w:ascii="Arial" w:cs="Arial" w:eastAsia="Arial" w:hAnsi="Arial"/>
          <w:sz w:val="20"/>
          <w:szCs w:val="20"/>
          <w:color w:val="auto"/>
        </w:rPr>
        <w:t>For fiscal year 2024,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November of each year at a prescheduled Compensation Committee meeting, which may be close in time before or after the Company publicly announces financial results for the prior completed quarter or fiscal year or when the Company publicly provides an outlook for a future quarter or time period. During fiscal year 2024, the Company did not time the disclosure of material non-public information for the purpose of affecting the value of executive compensation, nor did it grant any stock options to any of its executive officers.</w:t>
      </w:r>
    </w:p>
    <w:p>
      <w:pPr>
        <w:spacing w:after="0" w:line="397"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4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Policies and Practices Related to the</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Grant of Certain Equity Awards Close in</w:t>
      </w:r>
    </w:p>
    <w:p>
      <w:pPr>
        <w:ind w:left="660"/>
        <w:spacing w:after="0" w:line="232" w:lineRule="auto"/>
        <w:rPr>
          <w:sz w:val="20"/>
          <w:szCs w:val="20"/>
          <w:color w:val="auto"/>
        </w:rPr>
      </w:pPr>
      <w:r>
        <w:rPr>
          <w:rFonts w:ascii="Arial" w:cs="Arial" w:eastAsia="Arial" w:hAnsi="Arial"/>
          <w:sz w:val="23"/>
          <w:szCs w:val="23"/>
          <w:b w:val="1"/>
          <w:bCs w:val="1"/>
          <w:i w:val="1"/>
          <w:iCs w:val="1"/>
          <w:color w:val="auto"/>
        </w:rPr>
        <w:t>Time to the Release of Material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Nonpublic Information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is the Company’s practice to make stock-based</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awards to executive officers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Tables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Summary Compensation Table</w:t>
      </w:r>
    </w:p>
    <w:p>
      <w:pPr>
        <w:spacing w:after="0" w:line="137" w:lineRule="exact"/>
        <w:rPr>
          <w:sz w:val="20"/>
          <w:szCs w:val="20"/>
          <w:color w:val="auto"/>
        </w:rPr>
      </w:pPr>
    </w:p>
    <w:p>
      <w:pPr>
        <w:ind w:left="660" w:right="680"/>
        <w:spacing w:after="0" w:line="286" w:lineRule="auto"/>
        <w:rPr>
          <w:sz w:val="20"/>
          <w:szCs w:val="20"/>
          <w:color w:val="auto"/>
        </w:rPr>
      </w:pPr>
      <w:r>
        <w:rPr>
          <w:rFonts w:ascii="Arial" w:cs="Arial" w:eastAsia="Arial" w:hAnsi="Arial"/>
          <w:sz w:val="20"/>
          <w:szCs w:val="20"/>
          <w:color w:val="auto"/>
        </w:rPr>
        <w:t>The following table summarizes compensation earned by, or awarded or paid to, our Named Executive Officers for fiscal year 2024, fiscal year 2023, and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128270</wp:posOffset>
            </wp:positionV>
            <wp:extent cx="5974715" cy="5746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74715" cy="574675"/>
                    </a:xfrm>
                    <a:prstGeom prst="rect">
                      <a:avLst/>
                    </a:prstGeom>
                    <a:noFill/>
                  </pic:spPr>
                </pic:pic>
              </a:graphicData>
            </a:graphic>
          </wp:anchor>
        </w:drawing>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8"/>
              </w:rPr>
              <w:t>Non-Equity</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Stock</w:t>
            </w: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7"/>
              </w:rPr>
              <w:t>Incentive</w:t>
            </w:r>
          </w:p>
        </w:tc>
        <w:tc>
          <w:tcPr>
            <w:tcW w:w="2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7"/>
              </w:rPr>
              <w:t>All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Plan</w:t>
            </w: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FFFFFF"/>
              </w:rPr>
              <w:t>​Name and Principal Position ​ ​</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6"/>
              </w:rPr>
              <w:t>Awards</w:t>
            </w: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8"/>
              </w:rPr>
              <w:t>Compensation</w:t>
            </w: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8"/>
              </w:rPr>
              <w:t>Compensation</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gridSpan w:val="4"/>
            <w:vMerge w:val="continue"/>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6"/>
                <w:szCs w:val="16"/>
                <w:b w:val="1"/>
                <w:bCs w:val="1"/>
                <w:color w:val="FFFFFF"/>
              </w:rPr>
              <w:t>Year</w:t>
            </w:r>
          </w:p>
        </w:tc>
        <w:tc>
          <w:tcPr>
            <w:tcW w:w="340" w:type="dxa"/>
            <w:vAlign w:val="bottom"/>
          </w:tcPr>
          <w:p>
            <w:pPr>
              <w:ind w:left="140"/>
              <w:spacing w:after="0"/>
              <w:rPr>
                <w:sz w:val="20"/>
                <w:szCs w:val="20"/>
                <w:color w:val="auto"/>
              </w:rPr>
            </w:pPr>
            <w:r>
              <w:rPr>
                <w:rFonts w:ascii="Arial" w:cs="Arial" w:eastAsia="Arial" w:hAnsi="Arial"/>
                <w:sz w:val="16"/>
                <w:szCs w:val="16"/>
                <w:b w:val="1"/>
                <w:bCs w:val="1"/>
                <w:color w:val="FFFFFF"/>
              </w:rPr>
              <w:t>​ ​</w:t>
            </w:r>
          </w:p>
        </w:tc>
        <w:tc>
          <w:tcPr>
            <w:tcW w:w="840" w:type="dxa"/>
            <w:vAlign w:val="bottom"/>
          </w:tcPr>
          <w:p>
            <w:pPr>
              <w:ind w:left="40"/>
              <w:spacing w:after="0"/>
              <w:rPr>
                <w:sz w:val="20"/>
                <w:szCs w:val="20"/>
                <w:color w:val="auto"/>
              </w:rPr>
            </w:pPr>
            <w:r>
              <w:rPr>
                <w:rFonts w:ascii="Arial" w:cs="Arial" w:eastAsia="Arial" w:hAnsi="Arial"/>
                <w:sz w:val="16"/>
                <w:szCs w:val="16"/>
                <w:b w:val="1"/>
                <w:bCs w:val="1"/>
                <w:color w:val="FFFFFF"/>
              </w:rPr>
              <w:t>Salary ($)</w:t>
            </w:r>
          </w:p>
        </w:tc>
        <w:tc>
          <w:tcPr>
            <w:tcW w:w="260" w:type="dxa"/>
            <w:vAlign w:val="bottom"/>
          </w:tcPr>
          <w:p>
            <w:pPr>
              <w:ind w:left="60"/>
              <w:spacing w:after="0"/>
              <w:rPr>
                <w:sz w:val="20"/>
                <w:szCs w:val="20"/>
                <w:color w:val="auto"/>
              </w:rPr>
            </w:pPr>
            <w:r>
              <w:rPr>
                <w:rFonts w:ascii="Arial" w:cs="Arial" w:eastAsia="Arial" w:hAnsi="Arial"/>
                <w:sz w:val="16"/>
                <w:szCs w:val="16"/>
                <w:b w:val="1"/>
                <w:bCs w:val="1"/>
                <w:color w:val="FFFFFF"/>
              </w:rPr>
              <w:t>​ ​</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FFFFFF"/>
                <w:w w:val="97"/>
              </w:rPr>
              <w:t>($)(1)</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FFFFFF"/>
              </w:rPr>
              <w:t>​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7"/>
              </w:rPr>
              <w:t>($)(2)</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FFFFFF"/>
              </w:rPr>
              <w:t>​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7"/>
              </w:rPr>
              <w:t>($)(3)</w:t>
            </w:r>
          </w:p>
        </w:tc>
        <w:tc>
          <w:tcPr>
            <w:tcW w:w="240" w:type="dxa"/>
            <w:vAlign w:val="bottom"/>
          </w:tcPr>
          <w:p>
            <w:pPr>
              <w:ind w:left="40"/>
              <w:spacing w:after="0"/>
              <w:rPr>
                <w:sz w:val="20"/>
                <w:szCs w:val="20"/>
                <w:color w:val="auto"/>
              </w:rPr>
            </w:pPr>
            <w:r>
              <w:rPr>
                <w:rFonts w:ascii="Arial" w:cs="Arial" w:eastAsia="Arial" w:hAnsi="Arial"/>
                <w:sz w:val="16"/>
                <w:szCs w:val="16"/>
                <w:b w:val="1"/>
                <w:bCs w:val="1"/>
                <w:color w:val="FFFFFF"/>
              </w:rPr>
              <w:t>​ ​</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FFFFFF"/>
              </w:rPr>
              <w:t>($)</w:t>
            </w:r>
          </w:p>
        </w:tc>
        <w:tc>
          <w:tcPr>
            <w:tcW w:w="100" w:type="dxa"/>
            <w:vAlign w:val="bottom"/>
            <w:gridSpan w:val="2"/>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5"/>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​Liam K. Griffin</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1,175,002</w:t>
            </w: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 ​ 15,523,244</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1,370,289</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27,992</w:t>
            </w: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 ​ 18,096,527</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Former Chairman, Chief</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1,170,502</w:t>
            </w: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 ​ 14,554,926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1,509,604</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26,404</w:t>
            </w: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 ​ 17,261,436</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Officer and</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1140" w:type="dxa"/>
            <w:vAlign w:val="bottom"/>
            <w:tcBorders>
              <w:bottom w:val="single" w:sz="8" w:color="BFBFBF"/>
            </w:tcBorders>
            <w:gridSpan w:val="2"/>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1100" w:type="dxa"/>
            <w:vAlign w:val="bottom"/>
            <w:tcBorders>
              <w:bottom w:val="single" w:sz="8" w:color="BFBFBF"/>
            </w:tcBorders>
            <w:gridSpan w:val="2"/>
          </w:tcPr>
          <w:p>
            <w:pPr>
              <w:spacing w:after="0"/>
              <w:rPr>
                <w:sz w:val="3"/>
                <w:szCs w:val="3"/>
                <w:color w:val="auto"/>
              </w:rPr>
            </w:pPr>
          </w:p>
        </w:tc>
        <w:tc>
          <w:tcPr>
            <w:tcW w:w="100" w:type="dxa"/>
            <w:vAlign w:val="bottom"/>
            <w:tcBorders>
              <w:bottom w:val="single" w:sz="8" w:color="BFBFB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2022</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1,124,289</w:t>
            </w:r>
          </w:p>
        </w:tc>
        <w:tc>
          <w:tcPr>
            <w:tcW w:w="1140" w:type="dxa"/>
            <w:vAlign w:val="bottom"/>
            <w:gridSpan w:val="2"/>
          </w:tcPr>
          <w:p>
            <w:pPr>
              <w:ind w:left="60"/>
              <w:spacing w:after="0" w:line="155" w:lineRule="exact"/>
              <w:rPr>
                <w:sz w:val="20"/>
                <w:szCs w:val="20"/>
                <w:color w:val="auto"/>
              </w:rPr>
            </w:pPr>
            <w:r>
              <w:rPr>
                <w:rFonts w:ascii="Arial" w:cs="Arial" w:eastAsia="Arial" w:hAnsi="Arial"/>
                <w:sz w:val="16"/>
                <w:szCs w:val="16"/>
                <w:color w:val="auto"/>
              </w:rPr>
              <w:t>​ ​ 13,087,793</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2,423,906</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31,174</w:t>
            </w:r>
          </w:p>
        </w:tc>
        <w:tc>
          <w:tcPr>
            <w:tcW w:w="1100" w:type="dxa"/>
            <w:vAlign w:val="bottom"/>
            <w:gridSpan w:val="2"/>
          </w:tcPr>
          <w:p>
            <w:pPr>
              <w:ind w:left="40"/>
              <w:spacing w:after="0" w:line="155" w:lineRule="exact"/>
              <w:rPr>
                <w:sz w:val="20"/>
                <w:szCs w:val="20"/>
                <w:color w:val="auto"/>
              </w:rPr>
            </w:pPr>
            <w:r>
              <w:rPr>
                <w:rFonts w:ascii="Arial" w:cs="Arial" w:eastAsia="Arial" w:hAnsi="Arial"/>
                <w:sz w:val="16"/>
                <w:szCs w:val="16"/>
                <w:color w:val="auto"/>
              </w:rPr>
              <w:t>​ ​ 16,667,162</w:t>
            </w:r>
          </w:p>
        </w:tc>
        <w:tc>
          <w:tcPr>
            <w:tcW w:w="100" w:type="dxa"/>
            <w:vAlign w:val="bottom"/>
            <w:gridSpan w:val="2"/>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040" w:type="dxa"/>
            <w:vAlign w:val="bottom"/>
          </w:tcPr>
          <w:p>
            <w:pPr>
              <w:ind w:left="80"/>
              <w:spacing w:after="0" w:line="148" w:lineRule="exact"/>
              <w:rPr>
                <w:sz w:val="20"/>
                <w:szCs w:val="20"/>
                <w:color w:val="auto"/>
              </w:rPr>
            </w:pPr>
            <w:r>
              <w:rPr>
                <w:rFonts w:ascii="Arial" w:cs="Arial" w:eastAsia="Arial" w:hAnsi="Arial"/>
                <w:sz w:val="16"/>
                <w:szCs w:val="16"/>
                <w:i w:val="1"/>
                <w:iCs w:val="1"/>
                <w:color w:val="auto"/>
              </w:rPr>
              <w:t>President</w:t>
            </w:r>
            <w:r>
              <w:rPr>
                <w:rFonts w:ascii="Arial" w:cs="Arial" w:eastAsia="Arial" w:hAnsi="Arial"/>
                <w:sz w:val="16"/>
                <w:szCs w:val="16"/>
                <w:i w:val="1"/>
                <w:iCs w:val="1"/>
                <w:color w:val="0075A8"/>
              </w:rPr>
              <w:t>(4)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​Kris Sennesael</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627,600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4,213,415</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459,192</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24,220</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5,324,427</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 and</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604,200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4,142,435</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486,606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20,921</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5,254,162</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2022</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585,092</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4,131,556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788,306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17,384</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5,522,338</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​Reza Kasnavi</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597,600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4,435,150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349,860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16,961</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5,399,571</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574,100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4,377,587</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370,013</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35,936</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5,357,636</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Technology and</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2022</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553,677</w:t>
            </w:r>
          </w:p>
        </w:tc>
        <w:tc>
          <w:tcPr>
            <w:tcW w:w="2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8"/>
              </w:rPr>
              <w:t>4,013,570</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rPr>
              <w:t>597,396</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33,910</w:t>
            </w:r>
          </w:p>
        </w:tc>
        <w:tc>
          <w:tcPr>
            <w:tcW w:w="240" w:type="dxa"/>
            <w:vAlign w:val="bottom"/>
          </w:tcPr>
          <w:p>
            <w:pPr>
              <w:ind w:left="40"/>
              <w:spacing w:after="0" w:line="155" w:lineRule="exact"/>
              <w:rPr>
                <w:sz w:val="20"/>
                <w:szCs w:val="20"/>
                <w:color w:val="auto"/>
              </w:rPr>
            </w:pPr>
            <w:r>
              <w:rPr>
                <w:rFonts w:ascii="Arial" w:cs="Arial" w:eastAsia="Arial" w:hAnsi="Arial"/>
                <w:sz w:val="16"/>
                <w:szCs w:val="16"/>
                <w:color w:val="auto"/>
              </w:rPr>
              <w:t>​ ​</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5,198,553</w:t>
            </w:r>
          </w:p>
        </w:tc>
        <w:tc>
          <w:tcPr>
            <w:tcW w:w="100" w:type="dxa"/>
            <w:vAlign w:val="bottom"/>
            <w:gridSpan w:val="2"/>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040" w:type="dxa"/>
            <w:vAlign w:val="bottom"/>
          </w:tcPr>
          <w:p>
            <w:pPr>
              <w:ind w:left="80"/>
              <w:spacing w:after="0" w:line="161" w:lineRule="exact"/>
              <w:rPr>
                <w:sz w:val="20"/>
                <w:szCs w:val="20"/>
                <w:color w:val="auto"/>
              </w:rPr>
            </w:pPr>
            <w:r>
              <w:rPr>
                <w:rFonts w:ascii="Arial" w:cs="Arial" w:eastAsia="Arial" w:hAnsi="Arial"/>
                <w:sz w:val="16"/>
                <w:szCs w:val="16"/>
                <w:i w:val="1"/>
                <w:iCs w:val="1"/>
                <w:color w:val="auto"/>
              </w:rPr>
              <w:t>Manufacturing</w:t>
            </w:r>
            <w:r>
              <w:rPr>
                <w:rFonts w:ascii="Arial" w:cs="Arial" w:eastAsia="Arial" w:hAnsi="Arial"/>
                <w:sz w:val="16"/>
                <w:szCs w:val="16"/>
                <w:i w:val="1"/>
                <w:iCs w:val="1"/>
                <w:color w:val="0075A8"/>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20" w:type="dxa"/>
            <w:vAlign w:val="bottom"/>
            <w:gridSpan w:val="2"/>
            <w:vMerge w:val="restart"/>
          </w:tcPr>
          <w:p>
            <w:pPr>
              <w:ind w:left="40"/>
              <w:spacing w:after="0"/>
              <w:rPr>
                <w:sz w:val="20"/>
                <w:szCs w:val="20"/>
                <w:color w:val="auto"/>
              </w:rPr>
            </w:pPr>
            <w:r>
              <w:rPr>
                <w:rFonts w:ascii="Arial" w:cs="Arial" w:eastAsia="Arial" w:hAnsi="Arial"/>
                <w:sz w:val="16"/>
                <w:szCs w:val="16"/>
                <w:color w:val="auto"/>
              </w:rPr>
              <w:t>​Carlos S. Bori</w:t>
            </w:r>
          </w:p>
        </w:tc>
        <w:tc>
          <w:tcPr>
            <w:tcW w:w="1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FBFBF"/>
            </w:tcBorders>
          </w:tcPr>
          <w:p>
            <w:pPr>
              <w:spacing w:after="0"/>
              <w:rPr>
                <w:sz w:val="2"/>
                <w:szCs w:val="2"/>
                <w:color w:val="auto"/>
              </w:rPr>
            </w:pPr>
          </w:p>
        </w:tc>
        <w:tc>
          <w:tcPr>
            <w:tcW w:w="640" w:type="dxa"/>
            <w:vAlign w:val="bottom"/>
            <w:tcBorders>
              <w:bottom w:val="single" w:sz="8" w:color="BFBFBF"/>
            </w:tcBorders>
          </w:tcPr>
          <w:p>
            <w:pPr>
              <w:spacing w:after="0"/>
              <w:rPr>
                <w:sz w:val="2"/>
                <w:szCs w:val="2"/>
                <w:color w:val="auto"/>
              </w:rPr>
            </w:pPr>
          </w:p>
        </w:tc>
        <w:tc>
          <w:tcPr>
            <w:tcW w:w="340" w:type="dxa"/>
            <w:vAlign w:val="bottom"/>
            <w:tcBorders>
              <w:bottom w:val="single" w:sz="8" w:color="BFBFBF"/>
            </w:tcBorders>
          </w:tcPr>
          <w:p>
            <w:pPr>
              <w:spacing w:after="0"/>
              <w:rPr>
                <w:sz w:val="2"/>
                <w:szCs w:val="2"/>
                <w:color w:val="auto"/>
              </w:rPr>
            </w:pPr>
          </w:p>
        </w:tc>
        <w:tc>
          <w:tcPr>
            <w:tcW w:w="8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88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116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1160" w:type="dxa"/>
            <w:vAlign w:val="bottom"/>
            <w:tcBorders>
              <w:bottom w:val="single" w:sz="8" w:color="BFBFBF"/>
            </w:tcBorders>
          </w:tcPr>
          <w:p>
            <w:pPr>
              <w:spacing w:after="0"/>
              <w:rPr>
                <w:sz w:val="2"/>
                <w:szCs w:val="2"/>
                <w:color w:val="auto"/>
              </w:rPr>
            </w:pPr>
          </w:p>
        </w:tc>
        <w:tc>
          <w:tcPr>
            <w:tcW w:w="240" w:type="dxa"/>
            <w:vAlign w:val="bottom"/>
            <w:tcBorders>
              <w:bottom w:val="single" w:sz="8" w:color="BFBFBF"/>
            </w:tcBorders>
          </w:tcPr>
          <w:p>
            <w:pPr>
              <w:spacing w:after="0"/>
              <w:rPr>
                <w:sz w:val="2"/>
                <w:szCs w:val="2"/>
                <w:color w:val="auto"/>
              </w:rPr>
            </w:pPr>
          </w:p>
        </w:tc>
        <w:tc>
          <w:tcPr>
            <w:tcW w:w="860" w:type="dxa"/>
            <w:vAlign w:val="bottom"/>
            <w:tcBorders>
              <w:bottom w:val="single" w:sz="8" w:color="BFBFBF"/>
            </w:tcBorders>
          </w:tcPr>
          <w:p>
            <w:pPr>
              <w:spacing w:after="0"/>
              <w:rPr>
                <w:sz w:val="2"/>
                <w:szCs w:val="2"/>
                <w:color w:val="auto"/>
              </w:rPr>
            </w:pPr>
          </w:p>
        </w:tc>
        <w:tc>
          <w:tcPr>
            <w:tcW w:w="80" w:type="dxa"/>
            <w:vAlign w:val="bottom"/>
            <w:tcBorders>
              <w:bottom w:val="single" w:sz="8" w:color="BFBFB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Pr>
          <w:p>
            <w:pPr>
              <w:jc w:val="right"/>
              <w:ind w:right="39"/>
              <w:spacing w:after="0" w:line="182"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82" w:lineRule="exact"/>
              <w:rPr>
                <w:sz w:val="20"/>
                <w:szCs w:val="20"/>
                <w:color w:val="auto"/>
              </w:rPr>
            </w:pPr>
            <w:r>
              <w:rPr>
                <w:rFonts w:ascii="Arial" w:cs="Arial" w:eastAsia="Arial" w:hAnsi="Arial"/>
                <w:sz w:val="16"/>
                <w:szCs w:val="16"/>
                <w:color w:val="auto"/>
              </w:rPr>
              <w:t>2024</w:t>
            </w:r>
          </w:p>
        </w:tc>
        <w:tc>
          <w:tcPr>
            <w:tcW w:w="340" w:type="dxa"/>
            <w:vAlign w:val="bottom"/>
          </w:tcPr>
          <w:p>
            <w:pPr>
              <w:ind w:left="140"/>
              <w:spacing w:after="0" w:line="182"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82" w:lineRule="exact"/>
              <w:rPr>
                <w:sz w:val="20"/>
                <w:szCs w:val="20"/>
                <w:color w:val="auto"/>
              </w:rPr>
            </w:pPr>
            <w:r>
              <w:rPr>
                <w:rFonts w:ascii="Arial" w:cs="Arial" w:eastAsia="Arial" w:hAnsi="Arial"/>
                <w:sz w:val="16"/>
                <w:szCs w:val="16"/>
                <w:color w:val="auto"/>
              </w:rPr>
              <w:t>594,101</w:t>
            </w:r>
          </w:p>
        </w:tc>
        <w:tc>
          <w:tcPr>
            <w:tcW w:w="260" w:type="dxa"/>
            <w:vAlign w:val="bottom"/>
          </w:tcPr>
          <w:p>
            <w:pPr>
              <w:ind w:left="60"/>
              <w:spacing w:after="0" w:line="182"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82" w:lineRule="exact"/>
              <w:rPr>
                <w:sz w:val="20"/>
                <w:szCs w:val="20"/>
                <w:color w:val="auto"/>
              </w:rPr>
            </w:pPr>
            <w:r>
              <w:rPr>
                <w:rFonts w:ascii="Arial" w:cs="Arial" w:eastAsia="Arial" w:hAnsi="Arial"/>
                <w:sz w:val="16"/>
                <w:szCs w:val="16"/>
                <w:color w:val="auto"/>
                <w:w w:val="98"/>
              </w:rPr>
              <w:t>4,435,150</w:t>
            </w:r>
          </w:p>
        </w:tc>
        <w:tc>
          <w:tcPr>
            <w:tcW w:w="200" w:type="dxa"/>
            <w:vAlign w:val="bottom"/>
          </w:tcPr>
          <w:p>
            <w:pPr>
              <w:ind w:left="60"/>
              <w:spacing w:after="0" w:line="182"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82" w:lineRule="exact"/>
              <w:rPr>
                <w:sz w:val="20"/>
                <w:szCs w:val="20"/>
                <w:color w:val="auto"/>
              </w:rPr>
            </w:pPr>
            <w:r>
              <w:rPr>
                <w:rFonts w:ascii="Arial" w:cs="Arial" w:eastAsia="Arial" w:hAnsi="Arial"/>
                <w:sz w:val="16"/>
                <w:szCs w:val="16"/>
                <w:color w:val="auto"/>
              </w:rPr>
              <w:t>349,860</w:t>
            </w:r>
          </w:p>
        </w:tc>
        <w:tc>
          <w:tcPr>
            <w:tcW w:w="200" w:type="dxa"/>
            <w:vAlign w:val="bottom"/>
          </w:tcPr>
          <w:p>
            <w:pPr>
              <w:ind w:left="60"/>
              <w:spacing w:after="0" w:line="182"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82" w:lineRule="exact"/>
              <w:rPr>
                <w:sz w:val="20"/>
                <w:szCs w:val="20"/>
                <w:color w:val="auto"/>
              </w:rPr>
            </w:pPr>
            <w:r>
              <w:rPr>
                <w:rFonts w:ascii="Arial" w:cs="Arial" w:eastAsia="Arial" w:hAnsi="Arial"/>
                <w:sz w:val="16"/>
                <w:szCs w:val="16"/>
                <w:color w:val="auto"/>
                <w:w w:val="98"/>
              </w:rPr>
              <w:t>26,337</w:t>
            </w:r>
          </w:p>
        </w:tc>
        <w:tc>
          <w:tcPr>
            <w:tcW w:w="240" w:type="dxa"/>
            <w:vAlign w:val="bottom"/>
          </w:tcPr>
          <w:p>
            <w:pPr>
              <w:ind w:left="40"/>
              <w:spacing w:after="0" w:line="182" w:lineRule="exact"/>
              <w:rPr>
                <w:sz w:val="20"/>
                <w:szCs w:val="20"/>
                <w:color w:val="auto"/>
              </w:rPr>
            </w:pPr>
            <w:r>
              <w:rPr>
                <w:rFonts w:ascii="Arial" w:cs="Arial" w:eastAsia="Arial" w:hAnsi="Arial"/>
                <w:sz w:val="16"/>
                <w:szCs w:val="16"/>
                <w:color w:val="auto"/>
              </w:rPr>
              <w:t>​ ​</w:t>
            </w:r>
          </w:p>
        </w:tc>
        <w:tc>
          <w:tcPr>
            <w:tcW w:w="860" w:type="dxa"/>
            <w:vAlign w:val="bottom"/>
          </w:tcPr>
          <w:p>
            <w:pPr>
              <w:jc w:val="center"/>
              <w:spacing w:after="0" w:line="182" w:lineRule="exact"/>
              <w:rPr>
                <w:sz w:val="20"/>
                <w:szCs w:val="20"/>
                <w:color w:val="auto"/>
              </w:rPr>
            </w:pPr>
            <w:r>
              <w:rPr>
                <w:rFonts w:ascii="Arial" w:cs="Arial" w:eastAsia="Arial" w:hAnsi="Arial"/>
                <w:sz w:val="16"/>
                <w:szCs w:val="16"/>
                <w:color w:val="auto"/>
              </w:rPr>
              <w:t>5,405,448</w:t>
            </w:r>
          </w:p>
        </w:tc>
        <w:tc>
          <w:tcPr>
            <w:tcW w:w="10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538,900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4,377,587</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347,530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26,162</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5,290,179</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Sales and Marketing</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2022</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515,327</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4,013,570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557,713</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15,324</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5,101,934</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​Robert J. Terry</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559,800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3,659,046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327,703</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34,457</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4,581,006</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538,200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3,605,110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346,887</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27,150</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4,517,347</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General Counsel and</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2022</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518,885</w:t>
            </w:r>
          </w:p>
        </w:tc>
        <w:tc>
          <w:tcPr>
            <w:tcW w:w="2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8"/>
              </w:rPr>
              <w:t>3,305,147</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rPr>
              <w:t>559,858</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22,731</w:t>
            </w:r>
          </w:p>
        </w:tc>
        <w:tc>
          <w:tcPr>
            <w:tcW w:w="240" w:type="dxa"/>
            <w:vAlign w:val="bottom"/>
          </w:tcPr>
          <w:p>
            <w:pPr>
              <w:ind w:left="40"/>
              <w:spacing w:after="0" w:line="155" w:lineRule="exact"/>
              <w:rPr>
                <w:sz w:val="20"/>
                <w:szCs w:val="20"/>
                <w:color w:val="auto"/>
              </w:rPr>
            </w:pPr>
            <w:r>
              <w:rPr>
                <w:rFonts w:ascii="Arial" w:cs="Arial" w:eastAsia="Arial" w:hAnsi="Arial"/>
                <w:sz w:val="16"/>
                <w:szCs w:val="16"/>
                <w:color w:val="auto"/>
              </w:rPr>
              <w:t>​ ​</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4,406,621</w:t>
            </w:r>
          </w:p>
        </w:tc>
        <w:tc>
          <w:tcPr>
            <w:tcW w:w="100" w:type="dxa"/>
            <w:vAlign w:val="bottom"/>
            <w:gridSpan w:val="2"/>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80" w:type="dxa"/>
            <w:vAlign w:val="bottom"/>
            <w:tcBorders>
              <w:bottom w:val="single" w:sz="8" w:color="CCCCCC"/>
            </w:tcBorders>
          </w:tcPr>
          <w:p>
            <w:pPr>
              <w:spacing w:after="0"/>
              <w:rPr>
                <w:sz w:val="15"/>
                <w:szCs w:val="15"/>
                <w:color w:val="auto"/>
              </w:rPr>
            </w:pPr>
          </w:p>
        </w:tc>
        <w:tc>
          <w:tcPr>
            <w:tcW w:w="2040" w:type="dxa"/>
            <w:vAlign w:val="bottom"/>
            <w:tcBorders>
              <w:bottom w:val="single" w:sz="8" w:color="CCCCCC"/>
            </w:tcBorders>
          </w:tcPr>
          <w:p>
            <w:pPr>
              <w:ind w:left="80"/>
              <w:spacing w:after="0" w:line="175" w:lineRule="exact"/>
              <w:rPr>
                <w:sz w:val="20"/>
                <w:szCs w:val="20"/>
                <w:color w:val="auto"/>
              </w:rPr>
            </w:pPr>
            <w:r>
              <w:rPr>
                <w:rFonts w:ascii="Arial" w:cs="Arial" w:eastAsia="Arial" w:hAnsi="Arial"/>
                <w:sz w:val="16"/>
                <w:szCs w:val="16"/>
                <w:i w:val="1"/>
                <w:iCs w:val="1"/>
                <w:color w:val="auto"/>
              </w:rPr>
              <w:t>Secretary</w:t>
            </w:r>
          </w:p>
        </w:tc>
        <w:tc>
          <w:tcPr>
            <w:tcW w:w="100" w:type="dxa"/>
            <w:vAlign w:val="bottom"/>
            <w:tcBorders>
              <w:bottom w:val="single" w:sz="8" w:color="CCCCCC"/>
            </w:tcBorders>
          </w:tcPr>
          <w:p>
            <w:pPr>
              <w:spacing w:after="0"/>
              <w:rPr>
                <w:sz w:val="15"/>
                <w:szCs w:val="15"/>
                <w:color w:val="auto"/>
              </w:rPr>
            </w:pPr>
          </w:p>
        </w:tc>
        <w:tc>
          <w:tcPr>
            <w:tcW w:w="220" w:type="dxa"/>
            <w:vAlign w:val="bottom"/>
            <w:tcBorders>
              <w:bottom w:val="single" w:sz="8" w:color="CCCCCC"/>
            </w:tcBorders>
          </w:tcPr>
          <w:p>
            <w:pPr>
              <w:spacing w:after="0"/>
              <w:rPr>
                <w:sz w:val="15"/>
                <w:szCs w:val="15"/>
                <w:color w:val="auto"/>
              </w:rPr>
            </w:pPr>
          </w:p>
        </w:tc>
        <w:tc>
          <w:tcPr>
            <w:tcW w:w="640" w:type="dxa"/>
            <w:vAlign w:val="bottom"/>
            <w:tcBorders>
              <w:bottom w:val="single" w:sz="8" w:color="CCCCCC"/>
            </w:tcBorders>
          </w:tcPr>
          <w:p>
            <w:pPr>
              <w:spacing w:after="0"/>
              <w:rPr>
                <w:sz w:val="15"/>
                <w:szCs w:val="15"/>
                <w:color w:val="auto"/>
              </w:rPr>
            </w:pPr>
          </w:p>
        </w:tc>
        <w:tc>
          <w:tcPr>
            <w:tcW w:w="340" w:type="dxa"/>
            <w:vAlign w:val="bottom"/>
            <w:tcBorders>
              <w:bottom w:val="single" w:sz="8" w:color="CCCCCC"/>
            </w:tcBorders>
          </w:tcPr>
          <w:p>
            <w:pPr>
              <w:spacing w:after="0"/>
              <w:rPr>
                <w:sz w:val="15"/>
                <w:szCs w:val="15"/>
                <w:color w:val="auto"/>
              </w:rPr>
            </w:pPr>
          </w:p>
        </w:tc>
        <w:tc>
          <w:tcPr>
            <w:tcW w:w="840" w:type="dxa"/>
            <w:vAlign w:val="bottom"/>
            <w:tcBorders>
              <w:bottom w:val="single" w:sz="8" w:color="CCCCCC"/>
            </w:tcBorders>
          </w:tcPr>
          <w:p>
            <w:pPr>
              <w:spacing w:after="0"/>
              <w:rPr>
                <w:sz w:val="15"/>
                <w:szCs w:val="15"/>
                <w:color w:val="auto"/>
              </w:rPr>
            </w:pPr>
          </w:p>
        </w:tc>
        <w:tc>
          <w:tcPr>
            <w:tcW w:w="260" w:type="dxa"/>
            <w:vAlign w:val="bottom"/>
            <w:tcBorders>
              <w:bottom w:val="single" w:sz="8" w:color="CCCCCC"/>
            </w:tcBorders>
          </w:tcPr>
          <w:p>
            <w:pPr>
              <w:spacing w:after="0"/>
              <w:rPr>
                <w:sz w:val="15"/>
                <w:szCs w:val="15"/>
                <w:color w:val="auto"/>
              </w:rPr>
            </w:pPr>
          </w:p>
        </w:tc>
        <w:tc>
          <w:tcPr>
            <w:tcW w:w="880" w:type="dxa"/>
            <w:vAlign w:val="bottom"/>
            <w:tcBorders>
              <w:bottom w:val="single" w:sz="8" w:color="CCCCCC"/>
            </w:tcBorders>
          </w:tcPr>
          <w:p>
            <w:pPr>
              <w:spacing w:after="0"/>
              <w:rPr>
                <w:sz w:val="15"/>
                <w:szCs w:val="15"/>
                <w:color w:val="auto"/>
              </w:rPr>
            </w:pPr>
          </w:p>
        </w:tc>
        <w:tc>
          <w:tcPr>
            <w:tcW w:w="200" w:type="dxa"/>
            <w:vAlign w:val="bottom"/>
            <w:tcBorders>
              <w:bottom w:val="single" w:sz="8" w:color="CCCCCC"/>
            </w:tcBorders>
          </w:tcPr>
          <w:p>
            <w:pPr>
              <w:spacing w:after="0"/>
              <w:rPr>
                <w:sz w:val="15"/>
                <w:szCs w:val="15"/>
                <w:color w:val="auto"/>
              </w:rPr>
            </w:pPr>
          </w:p>
        </w:tc>
        <w:tc>
          <w:tcPr>
            <w:tcW w:w="1160" w:type="dxa"/>
            <w:vAlign w:val="bottom"/>
            <w:tcBorders>
              <w:bottom w:val="single" w:sz="8" w:color="CCCCCC"/>
            </w:tcBorders>
          </w:tcPr>
          <w:p>
            <w:pPr>
              <w:spacing w:after="0"/>
              <w:rPr>
                <w:sz w:val="15"/>
                <w:szCs w:val="15"/>
                <w:color w:val="auto"/>
              </w:rPr>
            </w:pPr>
          </w:p>
        </w:tc>
        <w:tc>
          <w:tcPr>
            <w:tcW w:w="200" w:type="dxa"/>
            <w:vAlign w:val="bottom"/>
            <w:tcBorders>
              <w:bottom w:val="single" w:sz="8" w:color="CCCCCC"/>
            </w:tcBorders>
          </w:tcPr>
          <w:p>
            <w:pPr>
              <w:spacing w:after="0"/>
              <w:rPr>
                <w:sz w:val="15"/>
                <w:szCs w:val="15"/>
                <w:color w:val="auto"/>
              </w:rPr>
            </w:pPr>
          </w:p>
        </w:tc>
        <w:tc>
          <w:tcPr>
            <w:tcW w:w="1160" w:type="dxa"/>
            <w:vAlign w:val="bottom"/>
            <w:tcBorders>
              <w:bottom w:val="single" w:sz="8" w:color="CCCCCC"/>
            </w:tcBorders>
          </w:tcPr>
          <w:p>
            <w:pPr>
              <w:spacing w:after="0"/>
              <w:rPr>
                <w:sz w:val="15"/>
                <w:szCs w:val="15"/>
                <w:color w:val="auto"/>
              </w:rPr>
            </w:pPr>
          </w:p>
        </w:tc>
        <w:tc>
          <w:tcPr>
            <w:tcW w:w="240" w:type="dxa"/>
            <w:vAlign w:val="bottom"/>
            <w:tcBorders>
              <w:bottom w:val="single" w:sz="8" w:color="CCCCCC"/>
            </w:tcBorders>
          </w:tcPr>
          <w:p>
            <w:pPr>
              <w:spacing w:after="0"/>
              <w:rPr>
                <w:sz w:val="15"/>
                <w:szCs w:val="15"/>
                <w:color w:val="auto"/>
              </w:rPr>
            </w:pPr>
          </w:p>
        </w:tc>
        <w:tc>
          <w:tcPr>
            <w:tcW w:w="860" w:type="dxa"/>
            <w:vAlign w:val="bottom"/>
            <w:tcBorders>
              <w:bottom w:val="single" w:sz="8" w:color="CCCCCC"/>
            </w:tcBorders>
          </w:tcPr>
          <w:p>
            <w:pPr>
              <w:spacing w:after="0"/>
              <w:rPr>
                <w:sz w:val="15"/>
                <w:szCs w:val="15"/>
                <w:color w:val="auto"/>
              </w:rPr>
            </w:pPr>
          </w:p>
        </w:tc>
        <w:tc>
          <w:tcPr>
            <w:tcW w:w="80" w:type="dxa"/>
            <w:vAlign w:val="bottom"/>
            <w:tcBorders>
              <w:bottom w:val="single" w:sz="8" w:color="CCCCC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-2416810</wp:posOffset>
            </wp:positionV>
            <wp:extent cx="597471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-1910715</wp:posOffset>
            </wp:positionV>
            <wp:extent cx="597471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-1473835</wp:posOffset>
            </wp:positionV>
            <wp:extent cx="597471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-959485</wp:posOffset>
            </wp:positionV>
            <wp:extent cx="5974715"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-513715</wp:posOffset>
            </wp:positionV>
            <wp:extent cx="597471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89" w:lineRule="exact"/>
        <w:rPr>
          <w:sz w:val="20"/>
          <w:szCs w:val="20"/>
          <w:color w:val="auto"/>
        </w:rPr>
      </w:pPr>
    </w:p>
    <w:p>
      <w:pPr>
        <w:ind w:left="1080" w:right="60" w:hanging="354"/>
        <w:spacing w:after="0" w:line="260" w:lineRule="auto"/>
        <w:tabs>
          <w:tab w:leader="none" w:pos="1080" w:val="left"/>
        </w:tabs>
        <w:numPr>
          <w:ilvl w:val="0"/>
          <w:numId w:val="60"/>
        </w:numPr>
        <w:rPr>
          <w:rFonts w:ascii="Arial" w:cs="Arial" w:eastAsia="Arial" w:hAnsi="Arial"/>
          <w:sz w:val="16"/>
          <w:szCs w:val="16"/>
          <w:i w:val="1"/>
          <w:iCs w:val="1"/>
          <w:color w:val="404040"/>
        </w:rPr>
      </w:pPr>
      <w:r>
        <w:rPr>
          <w:rFonts w:ascii="Arial" w:cs="Arial" w:eastAsia="Arial" w:hAnsi="Arial"/>
          <w:sz w:val="16"/>
          <w:szCs w:val="16"/>
          <w:i w:val="1"/>
          <w:iCs w:val="1"/>
          <w:color w:val="404040"/>
        </w:rPr>
        <w:t>The amounts in the Stock Awards column represent the grant date fair values, computed in accordance with the provisions of ASC 718, of PSAs and RSUs granted during the applicable fiscal year, without regard to estimated forfeiture rates. For fiscal years 2022, 2023, and 2024, assuming the highest level of performance achievement with respect to the PSAs, the grant date fair values of the Stock Awards would be as follows: Mr. Griffin (FY 2022: $16,912,789; FY 2023: $18,454,902; FY 2024: $19,723,254), Mr. Sennesael (FY 2022: $5,339,011; FY 2023: $5,252,414; FY 2024: $5,353,425), Mr. Kasnavi (FY 2022: $5,886,558; FY 2023: $5,550,558; FY 2024: $5,635,121), Mr. Bori (FY 2022: $5,186,558; FY 2023: $5,550,558; FY</w:t>
      </w:r>
    </w:p>
    <w:p>
      <w:pPr>
        <w:spacing w:after="0" w:line="2" w:lineRule="exact"/>
        <w:rPr>
          <w:rFonts w:ascii="Arial" w:cs="Arial" w:eastAsia="Arial" w:hAnsi="Arial"/>
          <w:sz w:val="16"/>
          <w:szCs w:val="16"/>
          <w:i w:val="1"/>
          <w:iCs w:val="1"/>
          <w:color w:val="404040"/>
        </w:rPr>
      </w:pPr>
    </w:p>
    <w:p>
      <w:pPr>
        <w:ind w:left="1080" w:right="40"/>
        <w:spacing w:after="0" w:line="260" w:lineRule="auto"/>
        <w:rPr>
          <w:rFonts w:ascii="Arial" w:cs="Arial" w:eastAsia="Arial" w:hAnsi="Arial"/>
          <w:sz w:val="16"/>
          <w:szCs w:val="16"/>
          <w:i w:val="1"/>
          <w:iCs w:val="1"/>
          <w:color w:val="404040"/>
        </w:rPr>
      </w:pPr>
      <w:r>
        <w:rPr>
          <w:rFonts w:ascii="Arial" w:cs="Arial" w:eastAsia="Arial" w:hAnsi="Arial"/>
          <w:sz w:val="16"/>
          <w:szCs w:val="16"/>
          <w:i w:val="1"/>
          <w:iCs w:val="1"/>
          <w:color w:val="404040"/>
        </w:rPr>
        <w:t>2024: $5,635,121), and Mr. Terry (FY 2022: $4,271,095; FY 2023: $4,571,105; FY 2024: $4,649,065). For a description of the assumptions used in calculating the fair value of equity awards in fiscal year 2024 under ASC 718, see Note 9 of the Company’s financial statements included in the Company’s Annual Report on Form 10-K filed with the SEC on November 15, 2024.</w:t>
      </w:r>
    </w:p>
    <w:p>
      <w:pPr>
        <w:spacing w:after="0" w:line="2" w:lineRule="exact"/>
        <w:rPr>
          <w:rFonts w:ascii="Arial" w:cs="Arial" w:eastAsia="Arial" w:hAnsi="Arial"/>
          <w:sz w:val="16"/>
          <w:szCs w:val="16"/>
          <w:i w:val="1"/>
          <w:iCs w:val="1"/>
          <w:color w:val="404040"/>
        </w:rPr>
      </w:pPr>
    </w:p>
    <w:p>
      <w:pPr>
        <w:ind w:left="1080" w:right="1040" w:hanging="354"/>
        <w:spacing w:after="0" w:line="264" w:lineRule="auto"/>
        <w:tabs>
          <w:tab w:leader="none" w:pos="1080" w:val="left"/>
        </w:tabs>
        <w:numPr>
          <w:ilvl w:val="0"/>
          <w:numId w:val="60"/>
        </w:numPr>
        <w:rPr>
          <w:rFonts w:ascii="Arial" w:cs="Arial" w:eastAsia="Arial" w:hAnsi="Arial"/>
          <w:sz w:val="16"/>
          <w:szCs w:val="16"/>
          <w:i w:val="1"/>
          <w:iCs w:val="1"/>
          <w:color w:val="404040"/>
        </w:rPr>
      </w:pPr>
      <w:r>
        <w:rPr>
          <w:rFonts w:ascii="Arial" w:cs="Arial" w:eastAsia="Arial" w:hAnsi="Arial"/>
          <w:sz w:val="16"/>
          <w:szCs w:val="16"/>
          <w:i w:val="1"/>
          <w:iCs w:val="1"/>
          <w:color w:val="404040"/>
        </w:rPr>
        <w:t>Reflects amounts paid to the Named Executive Officers pursuant to the executive incentive plan adopted by the Compensation Committee for each year indicated.</w:t>
      </w:r>
    </w:p>
    <w:p>
      <w:pPr>
        <w:ind w:left="1080" w:right="200" w:hanging="354"/>
        <w:spacing w:after="0" w:line="264" w:lineRule="auto"/>
        <w:tabs>
          <w:tab w:leader="none" w:pos="1080" w:val="left"/>
        </w:tabs>
        <w:numPr>
          <w:ilvl w:val="0"/>
          <w:numId w:val="60"/>
        </w:numPr>
        <w:rPr>
          <w:rFonts w:ascii="Arial" w:cs="Arial" w:eastAsia="Arial" w:hAnsi="Arial"/>
          <w:sz w:val="16"/>
          <w:szCs w:val="16"/>
          <w:i w:val="1"/>
          <w:iCs w:val="1"/>
          <w:color w:val="404040"/>
        </w:rPr>
      </w:pPr>
      <w:r>
        <w:rPr>
          <w:rFonts w:ascii="Arial" w:cs="Arial" w:eastAsia="Arial" w:hAnsi="Arial"/>
          <w:sz w:val="16"/>
          <w:szCs w:val="16"/>
          <w:i w:val="1"/>
          <w:iCs w:val="1"/>
          <w:color w:val="404040"/>
        </w:rPr>
        <w:t>“All Other Compensation” includes the Company’s contributions to the executive’s 401(k) Plan account, the cost of group term life insurance premiums, and financial planning benefits. For fiscal year 2024, it specifically includes $13,800 in Company contributions to each Named Executive Officer’s 401(k) Plan account, as well as $8,000, $4,250, $0, $9,398, and $15,136 in financial planning benefits for Messrs. Griffin, Sennesael, Kasnavi, Bori and Terry, respectively.</w:t>
      </w:r>
    </w:p>
    <w:p>
      <w:pPr>
        <w:ind w:left="1080" w:hanging="354"/>
        <w:spacing w:after="0"/>
        <w:tabs>
          <w:tab w:leader="none" w:pos="1080" w:val="left"/>
        </w:tabs>
        <w:numPr>
          <w:ilvl w:val="0"/>
          <w:numId w:val="60"/>
        </w:numPr>
        <w:rPr>
          <w:rFonts w:ascii="Arial" w:cs="Arial" w:eastAsia="Arial" w:hAnsi="Arial"/>
          <w:sz w:val="16"/>
          <w:szCs w:val="16"/>
          <w:i w:val="1"/>
          <w:iCs w:val="1"/>
          <w:color w:val="404040"/>
        </w:rPr>
      </w:pPr>
      <w:r>
        <w:rPr>
          <w:rFonts w:ascii="Arial" w:cs="Arial" w:eastAsia="Arial" w:hAnsi="Arial"/>
          <w:sz w:val="16"/>
          <w:szCs w:val="16"/>
          <w:i w:val="1"/>
          <w:iCs w:val="1"/>
          <w:color w:val="404040"/>
        </w:rPr>
        <w:t>Mr. Griffin ceased to serve as Chief Executive Officer and President of the Company effective February 17, 2025.</w:t>
      </w:r>
    </w:p>
    <w:p>
      <w:pPr>
        <w:spacing w:after="0" w:line="32" w:lineRule="exact"/>
        <w:rPr>
          <w:rFonts w:ascii="Arial" w:cs="Arial" w:eastAsia="Arial" w:hAnsi="Arial"/>
          <w:sz w:val="16"/>
          <w:szCs w:val="16"/>
          <w:i w:val="1"/>
          <w:iCs w:val="1"/>
          <w:color w:val="404040"/>
        </w:rPr>
      </w:pPr>
    </w:p>
    <w:p>
      <w:pPr>
        <w:ind w:left="1080" w:right="200" w:hanging="354"/>
        <w:spacing w:after="0" w:line="301" w:lineRule="auto"/>
        <w:tabs>
          <w:tab w:leader="none" w:pos="1080" w:val="left"/>
        </w:tabs>
        <w:numPr>
          <w:ilvl w:val="0"/>
          <w:numId w:val="60"/>
        </w:numPr>
        <w:rPr>
          <w:rFonts w:ascii="Arial" w:cs="Arial" w:eastAsia="Arial" w:hAnsi="Arial"/>
          <w:sz w:val="16"/>
          <w:szCs w:val="16"/>
          <w:i w:val="1"/>
          <w:iCs w:val="1"/>
          <w:color w:val="404040"/>
        </w:rPr>
      </w:pPr>
      <w:r>
        <w:rPr>
          <w:rFonts w:ascii="Arial" w:cs="Arial" w:eastAsia="Arial" w:hAnsi="Arial"/>
          <w:sz w:val="16"/>
          <w:szCs w:val="16"/>
          <w:i w:val="1"/>
          <w:iCs w:val="1"/>
          <w:color w:val="404040"/>
        </w:rPr>
        <w:t>Mr. Kasnavi began serving as Executive Vice President, Chief Operations and Technology Officer of the Company effective March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Grants of Plan-Based Awards Table</w:t>
      </w:r>
    </w:p>
    <w:p>
      <w:pPr>
        <w:spacing w:after="0" w:line="137" w:lineRule="exact"/>
        <w:rPr>
          <w:sz w:val="20"/>
          <w:szCs w:val="20"/>
          <w:color w:val="auto"/>
        </w:rPr>
      </w:pPr>
    </w:p>
    <w:p>
      <w:pPr>
        <w:ind w:left="660" w:right="420"/>
        <w:spacing w:after="0" w:line="286" w:lineRule="auto"/>
        <w:rPr>
          <w:sz w:val="20"/>
          <w:szCs w:val="20"/>
          <w:color w:val="auto"/>
        </w:rPr>
      </w:pPr>
      <w:r>
        <w:rPr>
          <w:rFonts w:ascii="Arial" w:cs="Arial" w:eastAsia="Arial" w:hAnsi="Arial"/>
          <w:sz w:val="20"/>
          <w:szCs w:val="20"/>
          <w:color w:val="auto"/>
        </w:rPr>
        <w:t>The following table summarizes all grants of plan-based awards made to the Named Executive Officers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128270</wp:posOffset>
            </wp:positionV>
            <wp:extent cx="5974715" cy="702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74715" cy="702945"/>
                    </a:xfrm>
                    <a:prstGeom prst="rect">
                      <a:avLst/>
                    </a:prstGeom>
                    <a:noFill/>
                  </pic:spPr>
                </pic:pic>
              </a:graphicData>
            </a:graphic>
          </wp:anchor>
        </w:drawing>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 w:type="dxa"/>
            <w:vAlign w:val="bottom"/>
            <w:tcBorders>
              <w:top w:val="single" w:sz="8" w:color="0075A8"/>
            </w:tcBorders>
            <w:shd w:val="clear" w:color="auto" w:fill="0075A8"/>
          </w:tcPr>
          <w:p>
            <w:pPr>
              <w:spacing w:after="0"/>
              <w:rPr>
                <w:sz w:val="14"/>
                <w:szCs w:val="14"/>
                <w:color w:val="auto"/>
              </w:rPr>
            </w:pPr>
          </w:p>
        </w:tc>
        <w:tc>
          <w:tcPr>
            <w:tcW w:w="60" w:type="dxa"/>
            <w:vAlign w:val="bottom"/>
            <w:tcBorders>
              <w:top w:val="single" w:sz="8" w:color="0075A8"/>
            </w:tcBorders>
            <w:shd w:val="clear" w:color="auto" w:fill="0075A8"/>
          </w:tcPr>
          <w:p>
            <w:pPr>
              <w:spacing w:after="0"/>
              <w:rPr>
                <w:sz w:val="14"/>
                <w:szCs w:val="14"/>
                <w:color w:val="auto"/>
              </w:rPr>
            </w:pPr>
          </w:p>
        </w:tc>
        <w:tc>
          <w:tcPr>
            <w:tcW w:w="1260" w:type="dxa"/>
            <w:vAlign w:val="bottom"/>
            <w:tcBorders>
              <w:top w:val="single" w:sz="8" w:color="0075A8"/>
            </w:tcBorders>
          </w:tcPr>
          <w:p>
            <w:pPr>
              <w:spacing w:after="0"/>
              <w:rPr>
                <w:sz w:val="14"/>
                <w:szCs w:val="14"/>
                <w:color w:val="auto"/>
              </w:rPr>
            </w:pPr>
          </w:p>
        </w:tc>
        <w:tc>
          <w:tcPr>
            <w:tcW w:w="100" w:type="dxa"/>
            <w:vAlign w:val="bottom"/>
            <w:tcBorders>
              <w:top w:val="single" w:sz="8" w:color="0075A8"/>
            </w:tcBorders>
          </w:tcPr>
          <w:p>
            <w:pPr>
              <w:spacing w:after="0"/>
              <w:rPr>
                <w:sz w:val="14"/>
                <w:szCs w:val="14"/>
                <w:color w:val="auto"/>
              </w:rPr>
            </w:pPr>
          </w:p>
        </w:tc>
        <w:tc>
          <w:tcPr>
            <w:tcW w:w="740" w:type="dxa"/>
            <w:vAlign w:val="bottom"/>
            <w:tcBorders>
              <w:top w:val="single" w:sz="8" w:color="0075A8"/>
            </w:tcBorders>
          </w:tcPr>
          <w:p>
            <w:pPr>
              <w:spacing w:after="0"/>
              <w:rPr>
                <w:sz w:val="14"/>
                <w:szCs w:val="14"/>
                <w:color w:val="auto"/>
              </w:rPr>
            </w:pPr>
          </w:p>
        </w:tc>
        <w:tc>
          <w:tcPr>
            <w:tcW w:w="240" w:type="dxa"/>
            <w:vAlign w:val="bottom"/>
            <w:tcBorders>
              <w:top w:val="single" w:sz="8" w:color="0075A8"/>
            </w:tcBorders>
          </w:tcPr>
          <w:p>
            <w:pPr>
              <w:spacing w:after="0"/>
              <w:rPr>
                <w:sz w:val="14"/>
                <w:szCs w:val="14"/>
                <w:color w:val="auto"/>
              </w:rPr>
            </w:pPr>
          </w:p>
        </w:tc>
        <w:tc>
          <w:tcPr>
            <w:tcW w:w="180" w:type="dxa"/>
            <w:vAlign w:val="bottom"/>
            <w:tcBorders>
              <w:top w:val="single" w:sz="8" w:color="0075A8"/>
            </w:tcBorders>
          </w:tcPr>
          <w:p>
            <w:pPr>
              <w:spacing w:after="0"/>
              <w:rPr>
                <w:sz w:val="14"/>
                <w:szCs w:val="14"/>
                <w:color w:val="auto"/>
              </w:rPr>
            </w:pPr>
          </w:p>
        </w:tc>
        <w:tc>
          <w:tcPr>
            <w:tcW w:w="500" w:type="dxa"/>
            <w:vAlign w:val="bottom"/>
            <w:tcBorders>
              <w:top w:val="single" w:sz="8" w:color="0075A8"/>
            </w:tcBorders>
          </w:tcPr>
          <w:p>
            <w:pPr>
              <w:spacing w:after="0"/>
              <w:rPr>
                <w:sz w:val="14"/>
                <w:szCs w:val="14"/>
                <w:color w:val="auto"/>
              </w:rPr>
            </w:pPr>
          </w:p>
        </w:tc>
        <w:tc>
          <w:tcPr>
            <w:tcW w:w="260" w:type="dxa"/>
            <w:vAlign w:val="bottom"/>
            <w:tcBorders>
              <w:top w:val="single" w:sz="8" w:color="0075A8"/>
            </w:tcBorders>
          </w:tcPr>
          <w:p>
            <w:pPr>
              <w:spacing w:after="0"/>
              <w:rPr>
                <w:sz w:val="14"/>
                <w:szCs w:val="14"/>
                <w:color w:val="auto"/>
              </w:rPr>
            </w:pPr>
          </w:p>
        </w:tc>
        <w:tc>
          <w:tcPr>
            <w:tcW w:w="500" w:type="dxa"/>
            <w:vAlign w:val="bottom"/>
            <w:tcBorders>
              <w:top w:val="single" w:sz="8" w:color="0075A8"/>
            </w:tcBorders>
          </w:tcPr>
          <w:p>
            <w:pPr>
              <w:spacing w:after="0"/>
              <w:rPr>
                <w:sz w:val="14"/>
                <w:szCs w:val="14"/>
                <w:color w:val="auto"/>
              </w:rPr>
            </w:pPr>
          </w:p>
        </w:tc>
        <w:tc>
          <w:tcPr>
            <w:tcW w:w="240" w:type="dxa"/>
            <w:vAlign w:val="bottom"/>
            <w:tcBorders>
              <w:top w:val="single" w:sz="8" w:color="0075A8"/>
            </w:tcBorders>
          </w:tcPr>
          <w:p>
            <w:pPr>
              <w:spacing w:after="0"/>
              <w:rPr>
                <w:sz w:val="14"/>
                <w:szCs w:val="14"/>
                <w:color w:val="auto"/>
              </w:rPr>
            </w:pPr>
          </w:p>
        </w:tc>
        <w:tc>
          <w:tcPr>
            <w:tcW w:w="100" w:type="dxa"/>
            <w:vAlign w:val="bottom"/>
            <w:tcBorders>
              <w:top w:val="single" w:sz="8" w:color="0075A8"/>
            </w:tcBorders>
          </w:tcPr>
          <w:p>
            <w:pPr>
              <w:spacing w:after="0"/>
              <w:rPr>
                <w:sz w:val="14"/>
                <w:szCs w:val="14"/>
                <w:color w:val="auto"/>
              </w:rPr>
            </w:pPr>
          </w:p>
        </w:tc>
        <w:tc>
          <w:tcPr>
            <w:tcW w:w="540" w:type="dxa"/>
            <w:vAlign w:val="bottom"/>
            <w:tcBorders>
              <w:top w:val="single" w:sz="8" w:color="0075A8"/>
            </w:tcBorders>
          </w:tcPr>
          <w:p>
            <w:pPr>
              <w:spacing w:after="0"/>
              <w:rPr>
                <w:sz w:val="14"/>
                <w:szCs w:val="14"/>
                <w:color w:val="auto"/>
              </w:rPr>
            </w:pPr>
          </w:p>
        </w:tc>
        <w:tc>
          <w:tcPr>
            <w:tcW w:w="200" w:type="dxa"/>
            <w:vAlign w:val="bottom"/>
            <w:tcBorders>
              <w:top w:val="single" w:sz="8" w:color="0075A8"/>
            </w:tcBorders>
          </w:tcPr>
          <w:p>
            <w:pPr>
              <w:spacing w:after="0"/>
              <w:rPr>
                <w:sz w:val="14"/>
                <w:szCs w:val="14"/>
                <w:color w:val="auto"/>
              </w:rPr>
            </w:pPr>
          </w:p>
        </w:tc>
        <w:tc>
          <w:tcPr>
            <w:tcW w:w="220" w:type="dxa"/>
            <w:vAlign w:val="bottom"/>
            <w:tcBorders>
              <w:top w:val="single" w:sz="8" w:color="0075A8"/>
            </w:tcBorders>
          </w:tcPr>
          <w:p>
            <w:pPr>
              <w:spacing w:after="0"/>
              <w:rPr>
                <w:sz w:val="14"/>
                <w:szCs w:val="14"/>
                <w:color w:val="auto"/>
              </w:rPr>
            </w:pPr>
          </w:p>
        </w:tc>
        <w:tc>
          <w:tcPr>
            <w:tcW w:w="460" w:type="dxa"/>
            <w:vAlign w:val="bottom"/>
            <w:tcBorders>
              <w:top w:val="single" w:sz="8" w:color="0075A8"/>
            </w:tcBorders>
          </w:tcPr>
          <w:p>
            <w:pPr>
              <w:spacing w:after="0"/>
              <w:rPr>
                <w:sz w:val="14"/>
                <w:szCs w:val="14"/>
                <w:color w:val="auto"/>
              </w:rPr>
            </w:pPr>
          </w:p>
        </w:tc>
        <w:tc>
          <w:tcPr>
            <w:tcW w:w="220" w:type="dxa"/>
            <w:vAlign w:val="bottom"/>
            <w:tcBorders>
              <w:top w:val="single" w:sz="8" w:color="0075A8"/>
            </w:tcBorders>
          </w:tcPr>
          <w:p>
            <w:pPr>
              <w:spacing w:after="0"/>
              <w:rPr>
                <w:sz w:val="14"/>
                <w:szCs w:val="14"/>
                <w:color w:val="auto"/>
              </w:rPr>
            </w:pPr>
          </w:p>
        </w:tc>
        <w:tc>
          <w:tcPr>
            <w:tcW w:w="500" w:type="dxa"/>
            <w:vAlign w:val="bottom"/>
            <w:tcBorders>
              <w:top w:val="single" w:sz="8" w:color="0075A8"/>
            </w:tcBorders>
          </w:tcPr>
          <w:p>
            <w:pPr>
              <w:spacing w:after="0"/>
              <w:rPr>
                <w:sz w:val="14"/>
                <w:szCs w:val="14"/>
                <w:color w:val="auto"/>
              </w:rPr>
            </w:pPr>
          </w:p>
        </w:tc>
        <w:tc>
          <w:tcPr>
            <w:tcW w:w="120" w:type="dxa"/>
            <w:vAlign w:val="bottom"/>
            <w:tcBorders>
              <w:top w:val="single" w:sz="8" w:color="0075A8"/>
            </w:tcBorders>
          </w:tcPr>
          <w:p>
            <w:pPr>
              <w:spacing w:after="0"/>
              <w:rPr>
                <w:sz w:val="14"/>
                <w:szCs w:val="14"/>
                <w:color w:val="auto"/>
              </w:rPr>
            </w:pPr>
          </w:p>
        </w:tc>
        <w:tc>
          <w:tcPr>
            <w:tcW w:w="180" w:type="dxa"/>
            <w:vAlign w:val="bottom"/>
            <w:tcBorders>
              <w:top w:val="single" w:sz="8" w:color="0075A8"/>
            </w:tcBorders>
          </w:tcPr>
          <w:p>
            <w:pPr>
              <w:spacing w:after="0"/>
              <w:rPr>
                <w:sz w:val="14"/>
                <w:szCs w:val="14"/>
                <w:color w:val="auto"/>
              </w:rPr>
            </w:pPr>
          </w:p>
        </w:tc>
        <w:tc>
          <w:tcPr>
            <w:tcW w:w="240" w:type="dxa"/>
            <w:vAlign w:val="bottom"/>
            <w:tcBorders>
              <w:top w:val="single" w:sz="8" w:color="0075A8"/>
            </w:tcBorders>
          </w:tcPr>
          <w:p>
            <w:pPr>
              <w:spacing w:after="0"/>
              <w:rPr>
                <w:sz w:val="14"/>
                <w:szCs w:val="14"/>
                <w:color w:val="auto"/>
              </w:rPr>
            </w:pPr>
          </w:p>
        </w:tc>
        <w:tc>
          <w:tcPr>
            <w:tcW w:w="460" w:type="dxa"/>
            <w:vAlign w:val="bottom"/>
            <w:tcBorders>
              <w:top w:val="single" w:sz="8" w:color="0075A8"/>
            </w:tcBorders>
          </w:tcPr>
          <w:p>
            <w:pPr>
              <w:spacing w:after="0"/>
              <w:rPr>
                <w:sz w:val="14"/>
                <w:szCs w:val="14"/>
                <w:color w:val="auto"/>
              </w:rPr>
            </w:pPr>
          </w:p>
        </w:tc>
        <w:tc>
          <w:tcPr>
            <w:tcW w:w="80" w:type="dxa"/>
            <w:vAlign w:val="bottom"/>
            <w:tcBorders>
              <w:top w:val="single" w:sz="8" w:color="0075A8"/>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75A8"/>
            </w:tcBorders>
          </w:tcPr>
          <w:p>
            <w:pPr>
              <w:spacing w:after="0"/>
              <w:rPr>
                <w:sz w:val="14"/>
                <w:szCs w:val="14"/>
                <w:color w:val="auto"/>
              </w:rPr>
            </w:pPr>
          </w:p>
        </w:tc>
        <w:tc>
          <w:tcPr>
            <w:tcW w:w="700" w:type="dxa"/>
            <w:vAlign w:val="bottom"/>
            <w:tcBorders>
              <w:top w:val="single" w:sz="8" w:color="0075A8"/>
            </w:tcBorders>
            <w:gridSpan w:val="2"/>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240" w:type="dxa"/>
            <w:vAlign w:val="bottom"/>
            <w:tcBorders>
              <w:top w:val="single" w:sz="8" w:color="0075A8"/>
            </w:tcBorders>
          </w:tcPr>
          <w:p>
            <w:pPr>
              <w:spacing w:after="0"/>
              <w:rPr>
                <w:sz w:val="14"/>
                <w:szCs w:val="14"/>
                <w:color w:val="auto"/>
              </w:rPr>
            </w:pPr>
          </w:p>
        </w:tc>
        <w:tc>
          <w:tcPr>
            <w:tcW w:w="800" w:type="dxa"/>
            <w:vAlign w:val="bottom"/>
            <w:tcBorders>
              <w:top w:val="single" w:sz="8" w:color="0075A8"/>
            </w:tcBorders>
          </w:tcPr>
          <w:p>
            <w:pPr>
              <w:spacing w:after="0"/>
              <w:rPr>
                <w:sz w:val="14"/>
                <w:szCs w:val="14"/>
                <w:color w:val="auto"/>
              </w:rPr>
            </w:pPr>
          </w:p>
        </w:tc>
        <w:tc>
          <w:tcPr>
            <w:tcW w:w="160" w:type="dxa"/>
            <w:vAlign w:val="bottom"/>
            <w:tcBorders>
              <w:top w:val="single" w:sz="8" w:color="0075A8"/>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0075A8"/>
          </w:tcPr>
          <w:p>
            <w:pPr>
              <w:spacing w:after="0"/>
              <w:rPr>
                <w:sz w:val="10"/>
                <w:szCs w:val="10"/>
                <w:color w:val="auto"/>
              </w:rPr>
            </w:pPr>
          </w:p>
        </w:tc>
        <w:tc>
          <w:tcPr>
            <w:tcW w:w="60" w:type="dxa"/>
            <w:vAlign w:val="bottom"/>
            <w:shd w:val="clear" w:color="auto" w:fill="0075A8"/>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ind w:left="92"/>
              <w:spacing w:after="0" w:line="126" w:lineRule="exact"/>
              <w:rPr>
                <w:sz w:val="20"/>
                <w:szCs w:val="20"/>
                <w:color w:val="auto"/>
              </w:rPr>
            </w:pPr>
            <w:r>
              <w:rPr>
                <w:rFonts w:ascii="Arial" w:cs="Arial" w:eastAsia="Arial" w:hAnsi="Arial"/>
                <w:sz w:val="13"/>
                <w:szCs w:val="13"/>
                <w:b w:val="1"/>
                <w:bCs w:val="1"/>
                <w:color w:val="FFFFFF"/>
                <w:w w:val="95"/>
              </w:rPr>
              <w:t>Stock</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0075A8"/>
          </w:tcPr>
          <w:p>
            <w:pPr>
              <w:spacing w:after="0"/>
              <w:rPr>
                <w:sz w:val="10"/>
                <w:szCs w:val="10"/>
                <w:color w:val="auto"/>
              </w:rPr>
            </w:pPr>
          </w:p>
        </w:tc>
        <w:tc>
          <w:tcPr>
            <w:tcW w:w="60" w:type="dxa"/>
            <w:vAlign w:val="bottom"/>
            <w:shd w:val="clear" w:color="auto" w:fill="0075A8"/>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FFFFFF"/>
                <w:w w:val="93"/>
              </w:rPr>
              <w:t>Awards:</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75A8"/>
          </w:tcPr>
          <w:p>
            <w:pPr>
              <w:spacing w:after="0"/>
              <w:rPr>
                <w:sz w:val="14"/>
                <w:szCs w:val="14"/>
                <w:color w:val="auto"/>
              </w:rPr>
            </w:pPr>
          </w:p>
        </w:tc>
        <w:tc>
          <w:tcPr>
            <w:tcW w:w="60" w:type="dxa"/>
            <w:vAlign w:val="bottom"/>
            <w:shd w:val="clear" w:color="auto" w:fill="0075A8"/>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7"/>
          </w:tcPr>
          <w:p>
            <w:pPr>
              <w:jc w:val="center"/>
              <w:spacing w:after="0"/>
              <w:rPr>
                <w:sz w:val="20"/>
                <w:szCs w:val="20"/>
                <w:color w:val="auto"/>
              </w:rPr>
            </w:pPr>
            <w:r>
              <w:rPr>
                <w:rFonts w:ascii="Arial" w:cs="Arial" w:eastAsia="Arial" w:hAnsi="Arial"/>
                <w:sz w:val="13"/>
                <w:szCs w:val="13"/>
                <w:b w:val="1"/>
                <w:bCs w:val="1"/>
                <w:color w:val="FFFFFF"/>
                <w:w w:val="95"/>
              </w:rPr>
              <w:t>Estimated Future Payouts Under Non-</w:t>
            </w:r>
          </w:p>
        </w:tc>
        <w:tc>
          <w:tcPr>
            <w:tcW w:w="200" w:type="dxa"/>
            <w:vAlign w:val="bottom"/>
          </w:tcPr>
          <w:p>
            <w:pPr>
              <w:spacing w:after="0"/>
              <w:rPr>
                <w:sz w:val="14"/>
                <w:szCs w:val="14"/>
                <w:color w:val="auto"/>
              </w:rPr>
            </w:pPr>
          </w:p>
        </w:tc>
        <w:tc>
          <w:tcPr>
            <w:tcW w:w="2400" w:type="dxa"/>
            <w:vAlign w:val="bottom"/>
            <w:gridSpan w:val="8"/>
          </w:tcPr>
          <w:p>
            <w:pPr>
              <w:jc w:val="center"/>
              <w:spacing w:after="0"/>
              <w:rPr>
                <w:sz w:val="20"/>
                <w:szCs w:val="20"/>
                <w:color w:val="auto"/>
              </w:rPr>
            </w:pPr>
            <w:r>
              <w:rPr>
                <w:rFonts w:ascii="Arial" w:cs="Arial" w:eastAsia="Arial" w:hAnsi="Arial"/>
                <w:sz w:val="13"/>
                <w:szCs w:val="13"/>
                <w:b w:val="1"/>
                <w:bCs w:val="1"/>
                <w:color w:val="FFFFFF"/>
                <w:w w:val="94"/>
              </w:rPr>
              <w:t>Estimated Future Payouts Under Equity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24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3"/>
                <w:szCs w:val="13"/>
                <w:b w:val="1"/>
                <w:bCs w:val="1"/>
                <w:color w:val="FFFFFF"/>
                <w:w w:val="96"/>
              </w:rPr>
              <w:t>Grant Date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0075A8"/>
          </w:tcPr>
          <w:p>
            <w:pPr>
              <w:spacing w:after="0"/>
              <w:rPr>
                <w:sz w:val="8"/>
                <w:szCs w:val="8"/>
                <w:color w:val="auto"/>
              </w:rPr>
            </w:pPr>
          </w:p>
        </w:tc>
        <w:tc>
          <w:tcPr>
            <w:tcW w:w="60" w:type="dxa"/>
            <w:vAlign w:val="bottom"/>
            <w:vMerge w:val="restart"/>
            <w:shd w:val="clear" w:color="auto" w:fill="0075A8"/>
          </w:tcPr>
          <w:p>
            <w:pPr>
              <w:spacing w:after="0"/>
              <w:rPr>
                <w:sz w:val="20"/>
                <w:szCs w:val="20"/>
                <w:color w:val="auto"/>
              </w:rPr>
            </w:pPr>
            <w:r>
              <w:rPr>
                <w:rFonts w:ascii="Arial" w:cs="Arial" w:eastAsia="Arial" w:hAnsi="Arial"/>
                <w:sz w:val="13"/>
                <w:szCs w:val="13"/>
                <w:b w:val="1"/>
                <w:bCs w:val="1"/>
                <w:color w:val="FFFFFF"/>
              </w:rPr>
              <w:t>​</w:t>
            </w:r>
          </w:p>
        </w:tc>
        <w:tc>
          <w:tcPr>
            <w:tcW w:w="1260" w:type="dxa"/>
            <w:vAlign w:val="bottom"/>
            <w:vMerge w:val="restart"/>
          </w:tcPr>
          <w:p>
            <w:pPr>
              <w:spacing w:after="0"/>
              <w:rPr>
                <w:sz w:val="20"/>
                <w:szCs w:val="20"/>
                <w:color w:val="auto"/>
              </w:rPr>
            </w:pPr>
            <w:r>
              <w:rPr>
                <w:rFonts w:ascii="Arial" w:cs="Arial" w:eastAsia="Arial" w:hAnsi="Arial"/>
                <w:sz w:val="13"/>
                <w:szCs w:val="13"/>
                <w:b w:val="1"/>
                <w:bCs w:val="1"/>
                <w:color w:val="FFFFFF"/>
              </w:rPr>
              <w:t>​</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FFFFFF"/>
              </w:rPr>
              <w:t>​​</w:t>
            </w:r>
          </w:p>
        </w:tc>
        <w:tc>
          <w:tcPr>
            <w:tcW w:w="740" w:type="dxa"/>
            <w:vAlign w:val="bottom"/>
            <w:vMerge w:val="restart"/>
          </w:tcPr>
          <w:p>
            <w:pPr>
              <w:ind w:left="40"/>
              <w:spacing w:after="0"/>
              <w:rPr>
                <w:sz w:val="20"/>
                <w:szCs w:val="20"/>
                <w:color w:val="auto"/>
              </w:rPr>
            </w:pPr>
            <w:r>
              <w:rPr>
                <w:rFonts w:ascii="Arial" w:cs="Arial" w:eastAsia="Arial" w:hAnsi="Arial"/>
                <w:sz w:val="13"/>
                <w:szCs w:val="13"/>
                <w:b w:val="1"/>
                <w:bCs w:val="1"/>
                <w:color w:val="FFFFFF"/>
              </w:rPr>
              <w:t>​</w:t>
            </w:r>
          </w:p>
        </w:tc>
        <w:tc>
          <w:tcPr>
            <w:tcW w:w="24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 ​​​</w:t>
            </w:r>
          </w:p>
        </w:tc>
        <w:tc>
          <w:tcPr>
            <w:tcW w:w="180" w:type="dxa"/>
            <w:vAlign w:val="bottom"/>
          </w:tcPr>
          <w:p>
            <w:pPr>
              <w:spacing w:after="0"/>
              <w:rPr>
                <w:sz w:val="8"/>
                <w:szCs w:val="8"/>
                <w:color w:val="auto"/>
              </w:rPr>
            </w:pPr>
          </w:p>
        </w:tc>
        <w:tc>
          <w:tcPr>
            <w:tcW w:w="2140" w:type="dxa"/>
            <w:vAlign w:val="bottom"/>
            <w:gridSpan w:val="6"/>
            <w:vMerge w:val="restart"/>
          </w:tcPr>
          <w:p>
            <w:pPr>
              <w:jc w:val="center"/>
              <w:ind w:right="70"/>
              <w:spacing w:after="0"/>
              <w:rPr>
                <w:sz w:val="20"/>
                <w:szCs w:val="20"/>
                <w:color w:val="auto"/>
              </w:rPr>
            </w:pPr>
            <w:r>
              <w:rPr>
                <w:rFonts w:ascii="Arial" w:cs="Arial" w:eastAsia="Arial" w:hAnsi="Arial"/>
                <w:sz w:val="13"/>
                <w:szCs w:val="13"/>
                <w:b w:val="1"/>
                <w:bCs w:val="1"/>
                <w:color w:val="FFFFFF"/>
                <w:w w:val="95"/>
              </w:rPr>
              <w:t>Equity Incentive Plan Awards(1)</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220" w:type="dxa"/>
            <w:vAlign w:val="bottom"/>
          </w:tcPr>
          <w:p>
            <w:pPr>
              <w:spacing w:after="0"/>
              <w:rPr>
                <w:sz w:val="8"/>
                <w:szCs w:val="8"/>
                <w:color w:val="auto"/>
              </w:rPr>
            </w:pPr>
          </w:p>
        </w:tc>
        <w:tc>
          <w:tcPr>
            <w:tcW w:w="1720" w:type="dxa"/>
            <w:vAlign w:val="bottom"/>
            <w:gridSpan w:val="6"/>
            <w:vMerge w:val="restart"/>
          </w:tcPr>
          <w:p>
            <w:pPr>
              <w:jc w:val="center"/>
              <w:ind w:left="170"/>
              <w:spacing w:after="0"/>
              <w:rPr>
                <w:sz w:val="20"/>
                <w:szCs w:val="20"/>
                <w:color w:val="auto"/>
              </w:rPr>
            </w:pPr>
            <w:r>
              <w:rPr>
                <w:rFonts w:ascii="Arial" w:cs="Arial" w:eastAsia="Arial" w:hAnsi="Arial"/>
                <w:sz w:val="13"/>
                <w:szCs w:val="13"/>
                <w:b w:val="1"/>
                <w:bCs w:val="1"/>
                <w:color w:val="FFFFFF"/>
                <w:w w:val="93"/>
              </w:rPr>
              <w:t>Incentive Plan Awards(2)</w:t>
            </w:r>
          </w:p>
        </w:tc>
        <w:tc>
          <w:tcPr>
            <w:tcW w:w="460" w:type="dxa"/>
            <w:vAlign w:val="bottom"/>
          </w:tcPr>
          <w:p>
            <w:pPr>
              <w:spacing w:after="0"/>
              <w:rPr>
                <w:sz w:val="8"/>
                <w:szCs w:val="8"/>
                <w:color w:val="auto"/>
              </w:rPr>
            </w:pPr>
          </w:p>
        </w:tc>
        <w:tc>
          <w:tcPr>
            <w:tcW w:w="14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FFFFFF"/>
              </w:rPr>
              <w:t>​</w:t>
            </w:r>
          </w:p>
        </w:tc>
        <w:tc>
          <w:tcPr>
            <w:tcW w:w="700" w:type="dxa"/>
            <w:vAlign w:val="bottom"/>
            <w:gridSpan w:val="2"/>
          </w:tcPr>
          <w:p>
            <w:pPr>
              <w:jc w:val="center"/>
              <w:spacing w:after="0" w:line="95" w:lineRule="exact"/>
              <w:rPr>
                <w:sz w:val="20"/>
                <w:szCs w:val="20"/>
                <w:color w:val="auto"/>
              </w:rPr>
            </w:pPr>
            <w:r>
              <w:rPr>
                <w:rFonts w:ascii="Arial" w:cs="Arial" w:eastAsia="Arial" w:hAnsi="Arial"/>
                <w:sz w:val="10"/>
                <w:szCs w:val="10"/>
                <w:b w:val="1"/>
                <w:bCs w:val="1"/>
                <w:color w:val="FFFFFF"/>
              </w:rPr>
              <w:t>Shares of</w:t>
            </w:r>
          </w:p>
        </w:tc>
        <w:tc>
          <w:tcPr>
            <w:tcW w:w="240" w:type="dxa"/>
            <w:vAlign w:val="bottom"/>
          </w:tcPr>
          <w:p>
            <w:pPr>
              <w:spacing w:after="0"/>
              <w:rPr>
                <w:sz w:val="8"/>
                <w:szCs w:val="8"/>
                <w:color w:val="auto"/>
              </w:rPr>
            </w:pPr>
          </w:p>
        </w:tc>
        <w:tc>
          <w:tcPr>
            <w:tcW w:w="800" w:type="dxa"/>
            <w:vAlign w:val="bottom"/>
          </w:tcPr>
          <w:p>
            <w:pPr>
              <w:jc w:val="right"/>
              <w:ind w:right="95"/>
              <w:spacing w:after="0" w:line="95" w:lineRule="exact"/>
              <w:rPr>
                <w:sz w:val="20"/>
                <w:szCs w:val="20"/>
                <w:color w:val="auto"/>
              </w:rPr>
            </w:pPr>
            <w:r>
              <w:rPr>
                <w:rFonts w:ascii="Arial" w:cs="Arial" w:eastAsia="Arial" w:hAnsi="Arial"/>
                <w:sz w:val="10"/>
                <w:szCs w:val="10"/>
                <w:b w:val="1"/>
                <w:bCs w:val="1"/>
                <w:color w:val="FFFFFF"/>
              </w:rPr>
              <w:t>Fair Value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shd w:val="clear" w:color="auto" w:fill="0075A8"/>
          </w:tcPr>
          <w:p>
            <w:pPr>
              <w:spacing w:after="0"/>
              <w:rPr>
                <w:sz w:val="8"/>
                <w:szCs w:val="8"/>
                <w:color w:val="auto"/>
              </w:rPr>
            </w:pPr>
          </w:p>
        </w:tc>
        <w:tc>
          <w:tcPr>
            <w:tcW w:w="60" w:type="dxa"/>
            <w:vAlign w:val="bottom"/>
            <w:vMerge w:val="continue"/>
            <w:shd w:val="clear" w:color="auto" w:fill="0075A8"/>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gridSpan w:val="6"/>
            <w:vMerge w:val="continue"/>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FFFFFF"/>
              </w:rPr>
              <w:t>Stock Or</w:t>
            </w:r>
          </w:p>
        </w:tc>
        <w:tc>
          <w:tcPr>
            <w:tcW w:w="240" w:type="dxa"/>
            <w:vAlign w:val="bottom"/>
          </w:tcPr>
          <w:p>
            <w:pPr>
              <w:spacing w:after="0"/>
              <w:rPr>
                <w:sz w:val="8"/>
                <w:szCs w:val="8"/>
                <w:color w:val="auto"/>
              </w:rPr>
            </w:pPr>
          </w:p>
        </w:tc>
        <w:tc>
          <w:tcPr>
            <w:tcW w:w="800" w:type="dxa"/>
            <w:vAlign w:val="bottom"/>
          </w:tcPr>
          <w:p>
            <w:pPr>
              <w:jc w:val="center"/>
              <w:ind w:right="55"/>
              <w:spacing w:after="0" w:line="102" w:lineRule="exact"/>
              <w:rPr>
                <w:sz w:val="20"/>
                <w:szCs w:val="20"/>
                <w:color w:val="auto"/>
              </w:rPr>
            </w:pPr>
            <w:r>
              <w:rPr>
                <w:rFonts w:ascii="Arial" w:cs="Arial" w:eastAsia="Arial" w:hAnsi="Arial"/>
                <w:sz w:val="10"/>
                <w:szCs w:val="10"/>
                <w:b w:val="1"/>
                <w:bCs w:val="1"/>
                <w:color w:val="FFFFFF"/>
              </w:rPr>
              <w:t>of Stock</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 w:type="dxa"/>
            <w:vAlign w:val="bottom"/>
            <w:tcBorders>
              <w:top w:val="single" w:sz="8" w:color="0075A8"/>
            </w:tcBorders>
            <w:shd w:val="clear" w:color="auto" w:fill="0075A8"/>
          </w:tcPr>
          <w:p>
            <w:pPr>
              <w:spacing w:after="0"/>
              <w:rPr>
                <w:sz w:val="11"/>
                <w:szCs w:val="11"/>
                <w:color w:val="auto"/>
              </w:rPr>
            </w:pPr>
          </w:p>
        </w:tc>
        <w:tc>
          <w:tcPr>
            <w:tcW w:w="60" w:type="dxa"/>
            <w:vAlign w:val="bottom"/>
            <w:tcBorders>
              <w:top w:val="single" w:sz="8" w:color="0075A8"/>
            </w:tcBorders>
            <w:shd w:val="clear" w:color="auto" w:fill="0075A8"/>
          </w:tcPr>
          <w:p>
            <w:pPr>
              <w:spacing w:after="0"/>
              <w:rPr>
                <w:sz w:val="11"/>
                <w:szCs w:val="11"/>
                <w:color w:val="auto"/>
              </w:rPr>
            </w:pPr>
          </w:p>
        </w:tc>
        <w:tc>
          <w:tcPr>
            <w:tcW w:w="1260" w:type="dxa"/>
            <w:vAlign w:val="bottom"/>
            <w:tcBorders>
              <w:top w:val="single" w:sz="8" w:color="0075A8"/>
              <w:right w:val="single" w:sz="8" w:color="0075A8"/>
            </w:tcBorders>
            <w:shd w:val="clear" w:color="auto" w:fill="0075A8"/>
          </w:tcPr>
          <w:p>
            <w:pPr>
              <w:spacing w:after="0"/>
              <w:rPr>
                <w:sz w:val="11"/>
                <w:szCs w:val="11"/>
                <w:color w:val="auto"/>
              </w:rPr>
            </w:pPr>
          </w:p>
        </w:tc>
        <w:tc>
          <w:tcPr>
            <w:tcW w:w="100" w:type="dxa"/>
            <w:vAlign w:val="bottom"/>
            <w:tcBorders>
              <w:top w:val="single" w:sz="8" w:color="0075A8"/>
            </w:tcBorders>
            <w:shd w:val="clear" w:color="auto" w:fill="0075A8"/>
          </w:tcPr>
          <w:p>
            <w:pPr>
              <w:spacing w:after="0"/>
              <w:rPr>
                <w:sz w:val="11"/>
                <w:szCs w:val="11"/>
                <w:color w:val="auto"/>
              </w:rPr>
            </w:pPr>
          </w:p>
        </w:tc>
        <w:tc>
          <w:tcPr>
            <w:tcW w:w="740" w:type="dxa"/>
            <w:vAlign w:val="bottom"/>
            <w:tcBorders>
              <w:top w:val="single" w:sz="8" w:color="0075A8"/>
            </w:tcBorders>
            <w:shd w:val="clear" w:color="auto" w:fill="0075A8"/>
          </w:tcPr>
          <w:p>
            <w:pPr>
              <w:spacing w:after="0"/>
              <w:rPr>
                <w:sz w:val="11"/>
                <w:szCs w:val="11"/>
                <w:color w:val="auto"/>
              </w:rPr>
            </w:pPr>
          </w:p>
        </w:tc>
        <w:tc>
          <w:tcPr>
            <w:tcW w:w="240" w:type="dxa"/>
            <w:vAlign w:val="bottom"/>
            <w:tcBorders>
              <w:top w:val="single" w:sz="8" w:color="0075A8"/>
            </w:tcBorders>
            <w:shd w:val="clear" w:color="auto" w:fill="0075A8"/>
          </w:tcPr>
          <w:p>
            <w:pPr>
              <w:spacing w:after="0"/>
              <w:rPr>
                <w:sz w:val="11"/>
                <w:szCs w:val="11"/>
                <w:color w:val="auto"/>
              </w:rPr>
            </w:pPr>
          </w:p>
        </w:tc>
        <w:tc>
          <w:tcPr>
            <w:tcW w:w="680" w:type="dxa"/>
            <w:vAlign w:val="bottom"/>
            <w:tcBorders>
              <w:top w:val="single" w:sz="8" w:color="0075A8"/>
            </w:tcBorders>
            <w:gridSpan w:val="2"/>
            <w:shd w:val="clear" w:color="auto" w:fill="0075A8"/>
          </w:tcPr>
          <w:p>
            <w:pPr>
              <w:jc w:val="right"/>
              <w:spacing w:after="0" w:line="131" w:lineRule="exact"/>
              <w:rPr>
                <w:sz w:val="20"/>
                <w:szCs w:val="20"/>
                <w:color w:val="auto"/>
              </w:rPr>
            </w:pPr>
            <w:r>
              <w:rPr>
                <w:rFonts w:ascii="Arial" w:cs="Arial" w:eastAsia="Arial" w:hAnsi="Arial"/>
                <w:sz w:val="13"/>
                <w:szCs w:val="13"/>
                <w:b w:val="1"/>
                <w:bCs w:val="1"/>
                <w:color w:val="FFFFFF"/>
                <w:w w:val="95"/>
              </w:rPr>
              <w:t>Threshold</w:t>
            </w:r>
          </w:p>
        </w:tc>
        <w:tc>
          <w:tcPr>
            <w:tcW w:w="260" w:type="dxa"/>
            <w:vAlign w:val="bottom"/>
            <w:tcBorders>
              <w:top w:val="single" w:sz="8" w:color="0075A8"/>
            </w:tcBorders>
            <w:shd w:val="clear" w:color="auto" w:fill="0075A8"/>
          </w:tcPr>
          <w:p>
            <w:pPr>
              <w:spacing w:after="0"/>
              <w:rPr>
                <w:sz w:val="11"/>
                <w:szCs w:val="11"/>
                <w:color w:val="auto"/>
              </w:rPr>
            </w:pPr>
          </w:p>
        </w:tc>
        <w:tc>
          <w:tcPr>
            <w:tcW w:w="500" w:type="dxa"/>
            <w:vAlign w:val="bottom"/>
            <w:tcBorders>
              <w:top w:val="single" w:sz="8" w:color="0075A8"/>
            </w:tcBorders>
            <w:shd w:val="clear" w:color="auto" w:fill="0075A8"/>
          </w:tcPr>
          <w:p>
            <w:pPr>
              <w:jc w:val="center"/>
              <w:spacing w:after="0" w:line="131" w:lineRule="exact"/>
              <w:rPr>
                <w:sz w:val="20"/>
                <w:szCs w:val="20"/>
                <w:color w:val="auto"/>
              </w:rPr>
            </w:pPr>
            <w:r>
              <w:rPr>
                <w:rFonts w:ascii="Arial" w:cs="Arial" w:eastAsia="Arial" w:hAnsi="Arial"/>
                <w:sz w:val="13"/>
                <w:szCs w:val="13"/>
                <w:b w:val="1"/>
                <w:bCs w:val="1"/>
                <w:color w:val="FFFFFF"/>
                <w:w w:val="95"/>
              </w:rPr>
              <w:t>Target</w:t>
            </w:r>
          </w:p>
        </w:tc>
        <w:tc>
          <w:tcPr>
            <w:tcW w:w="240" w:type="dxa"/>
            <w:vAlign w:val="bottom"/>
            <w:tcBorders>
              <w:top w:val="single" w:sz="8" w:color="0075A8"/>
            </w:tcBorders>
            <w:shd w:val="clear" w:color="auto" w:fill="0075A8"/>
          </w:tcPr>
          <w:p>
            <w:pPr>
              <w:spacing w:after="0"/>
              <w:rPr>
                <w:sz w:val="11"/>
                <w:szCs w:val="11"/>
                <w:color w:val="auto"/>
              </w:rPr>
            </w:pPr>
          </w:p>
        </w:tc>
        <w:tc>
          <w:tcPr>
            <w:tcW w:w="640" w:type="dxa"/>
            <w:vAlign w:val="bottom"/>
            <w:tcBorders>
              <w:top w:val="single" w:sz="8" w:color="0075A8"/>
            </w:tcBorders>
            <w:gridSpan w:val="2"/>
            <w:shd w:val="clear" w:color="auto" w:fill="0075A8"/>
          </w:tcPr>
          <w:p>
            <w:pPr>
              <w:jc w:val="center"/>
              <w:spacing w:after="0" w:line="131" w:lineRule="exact"/>
              <w:rPr>
                <w:sz w:val="20"/>
                <w:szCs w:val="20"/>
                <w:color w:val="auto"/>
              </w:rPr>
            </w:pPr>
            <w:r>
              <w:rPr>
                <w:rFonts w:ascii="Arial" w:cs="Arial" w:eastAsia="Arial" w:hAnsi="Arial"/>
                <w:sz w:val="13"/>
                <w:szCs w:val="13"/>
                <w:b w:val="1"/>
                <w:bCs w:val="1"/>
                <w:color w:val="FFFFFF"/>
                <w:w w:val="96"/>
              </w:rPr>
              <w:t>Maximum</w:t>
            </w:r>
          </w:p>
        </w:tc>
        <w:tc>
          <w:tcPr>
            <w:tcW w:w="200" w:type="dxa"/>
            <w:vAlign w:val="bottom"/>
            <w:tcBorders>
              <w:top w:val="single" w:sz="8" w:color="0075A8"/>
            </w:tcBorders>
            <w:shd w:val="clear" w:color="auto" w:fill="0075A8"/>
          </w:tcPr>
          <w:p>
            <w:pPr>
              <w:spacing w:after="0"/>
              <w:rPr>
                <w:sz w:val="11"/>
                <w:szCs w:val="11"/>
                <w:color w:val="auto"/>
              </w:rPr>
            </w:pPr>
          </w:p>
        </w:tc>
        <w:tc>
          <w:tcPr>
            <w:tcW w:w="680" w:type="dxa"/>
            <w:vAlign w:val="bottom"/>
            <w:tcBorders>
              <w:top w:val="single" w:sz="8" w:color="0075A8"/>
            </w:tcBorders>
            <w:gridSpan w:val="2"/>
            <w:shd w:val="clear" w:color="auto" w:fill="0075A8"/>
          </w:tcPr>
          <w:p>
            <w:pPr>
              <w:jc w:val="right"/>
              <w:spacing w:after="0" w:line="131" w:lineRule="exact"/>
              <w:rPr>
                <w:sz w:val="20"/>
                <w:szCs w:val="20"/>
                <w:color w:val="auto"/>
              </w:rPr>
            </w:pPr>
            <w:r>
              <w:rPr>
                <w:rFonts w:ascii="Arial" w:cs="Arial" w:eastAsia="Arial" w:hAnsi="Arial"/>
                <w:sz w:val="13"/>
                <w:szCs w:val="13"/>
                <w:b w:val="1"/>
                <w:bCs w:val="1"/>
                <w:color w:val="FFFFFF"/>
                <w:w w:val="95"/>
              </w:rPr>
              <w:t>Threshold</w:t>
            </w:r>
          </w:p>
        </w:tc>
        <w:tc>
          <w:tcPr>
            <w:tcW w:w="220" w:type="dxa"/>
            <w:vAlign w:val="bottom"/>
            <w:tcBorders>
              <w:top w:val="single" w:sz="8" w:color="0075A8"/>
            </w:tcBorders>
            <w:shd w:val="clear" w:color="auto" w:fill="0075A8"/>
          </w:tcPr>
          <w:p>
            <w:pPr>
              <w:spacing w:after="0"/>
              <w:rPr>
                <w:sz w:val="11"/>
                <w:szCs w:val="11"/>
                <w:color w:val="auto"/>
              </w:rPr>
            </w:pPr>
          </w:p>
        </w:tc>
        <w:tc>
          <w:tcPr>
            <w:tcW w:w="500" w:type="dxa"/>
            <w:vAlign w:val="bottom"/>
            <w:tcBorders>
              <w:top w:val="single" w:sz="8" w:color="0075A8"/>
            </w:tcBorders>
            <w:shd w:val="clear" w:color="auto" w:fill="0075A8"/>
          </w:tcPr>
          <w:p>
            <w:pPr>
              <w:jc w:val="center"/>
              <w:spacing w:after="0" w:line="131" w:lineRule="exact"/>
              <w:rPr>
                <w:sz w:val="20"/>
                <w:szCs w:val="20"/>
                <w:color w:val="auto"/>
              </w:rPr>
            </w:pPr>
            <w:r>
              <w:rPr>
                <w:rFonts w:ascii="Arial" w:cs="Arial" w:eastAsia="Arial" w:hAnsi="Arial"/>
                <w:sz w:val="13"/>
                <w:szCs w:val="13"/>
                <w:b w:val="1"/>
                <w:bCs w:val="1"/>
                <w:color w:val="FFFFFF"/>
                <w:w w:val="90"/>
              </w:rPr>
              <w:t>Target</w:t>
            </w:r>
          </w:p>
        </w:tc>
        <w:tc>
          <w:tcPr>
            <w:tcW w:w="120" w:type="dxa"/>
            <w:vAlign w:val="bottom"/>
            <w:tcBorders>
              <w:top w:val="single" w:sz="8" w:color="0075A8"/>
            </w:tcBorders>
            <w:shd w:val="clear" w:color="auto" w:fill="0075A8"/>
          </w:tcPr>
          <w:p>
            <w:pPr>
              <w:spacing w:after="0"/>
              <w:rPr>
                <w:sz w:val="11"/>
                <w:szCs w:val="11"/>
                <w:color w:val="auto"/>
              </w:rPr>
            </w:pPr>
          </w:p>
        </w:tc>
        <w:tc>
          <w:tcPr>
            <w:tcW w:w="180" w:type="dxa"/>
            <w:vAlign w:val="bottom"/>
            <w:tcBorders>
              <w:top w:val="single" w:sz="8" w:color="0075A8"/>
            </w:tcBorders>
            <w:shd w:val="clear" w:color="auto" w:fill="0075A8"/>
          </w:tcPr>
          <w:p>
            <w:pPr>
              <w:spacing w:after="0"/>
              <w:rPr>
                <w:sz w:val="11"/>
                <w:szCs w:val="11"/>
                <w:color w:val="auto"/>
              </w:rPr>
            </w:pPr>
          </w:p>
        </w:tc>
        <w:tc>
          <w:tcPr>
            <w:tcW w:w="700" w:type="dxa"/>
            <w:vAlign w:val="bottom"/>
            <w:tcBorders>
              <w:top w:val="single" w:sz="8" w:color="0075A8"/>
            </w:tcBorders>
            <w:gridSpan w:val="2"/>
            <w:shd w:val="clear" w:color="auto" w:fill="0075A8"/>
          </w:tcPr>
          <w:p>
            <w:pPr>
              <w:jc w:val="right"/>
              <w:ind w:right="9"/>
              <w:spacing w:after="0" w:line="131" w:lineRule="exact"/>
              <w:rPr>
                <w:sz w:val="20"/>
                <w:szCs w:val="20"/>
                <w:color w:val="auto"/>
              </w:rPr>
            </w:pPr>
            <w:r>
              <w:rPr>
                <w:rFonts w:ascii="Arial" w:cs="Arial" w:eastAsia="Arial" w:hAnsi="Arial"/>
                <w:sz w:val="13"/>
                <w:szCs w:val="13"/>
                <w:b w:val="1"/>
                <w:bCs w:val="1"/>
                <w:color w:val="FFFFFF"/>
                <w:w w:val="99"/>
              </w:rPr>
              <w:t>Maximum</w:t>
            </w:r>
          </w:p>
        </w:tc>
        <w:tc>
          <w:tcPr>
            <w:tcW w:w="80" w:type="dxa"/>
            <w:vAlign w:val="bottom"/>
            <w:tcBorders>
              <w:top w:val="single" w:sz="8" w:color="0075A8"/>
            </w:tcBorders>
            <w:shd w:val="clear" w:color="auto" w:fill="0075A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center"/>
              <w:ind w:left="72"/>
              <w:spacing w:after="0" w:line="131" w:lineRule="exact"/>
              <w:rPr>
                <w:sz w:val="20"/>
                <w:szCs w:val="20"/>
                <w:color w:val="auto"/>
              </w:rPr>
            </w:pPr>
            <w:r>
              <w:rPr>
                <w:rFonts w:ascii="Arial" w:cs="Arial" w:eastAsia="Arial" w:hAnsi="Arial"/>
                <w:sz w:val="13"/>
                <w:szCs w:val="13"/>
                <w:b w:val="1"/>
                <w:bCs w:val="1"/>
                <w:color w:val="FFFFFF"/>
                <w:w w:val="98"/>
              </w:rPr>
              <w:t>Units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ind w:right="55"/>
              <w:spacing w:after="0" w:line="131" w:lineRule="exact"/>
              <w:rPr>
                <w:sz w:val="20"/>
                <w:szCs w:val="20"/>
                <w:color w:val="auto"/>
              </w:rPr>
            </w:pPr>
            <w:r>
              <w:rPr>
                <w:rFonts w:ascii="Arial" w:cs="Arial" w:eastAsia="Arial" w:hAnsi="Arial"/>
                <w:sz w:val="13"/>
                <w:szCs w:val="13"/>
                <w:b w:val="1"/>
                <w:bCs w:val="1"/>
                <w:color w:val="FFFFFF"/>
                <w:w w:val="93"/>
              </w:rPr>
              <w:t>Awards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0075A8"/>
          </w:tcPr>
          <w:p>
            <w:pPr>
              <w:spacing w:after="0"/>
              <w:rPr>
                <w:sz w:val="15"/>
                <w:szCs w:val="15"/>
                <w:color w:val="auto"/>
              </w:rPr>
            </w:pPr>
          </w:p>
        </w:tc>
        <w:tc>
          <w:tcPr>
            <w:tcW w:w="60" w:type="dxa"/>
            <w:vAlign w:val="bottom"/>
            <w:shd w:val="clear" w:color="auto" w:fill="0075A8"/>
          </w:tcPr>
          <w:p>
            <w:pPr>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right w:val="single" w:sz="8" w:color="0075A8"/>
            </w:tcBorders>
            <w:shd w:val="clear" w:color="auto" w:fill="0075A8"/>
          </w:tcPr>
          <w:p>
            <w:pPr>
              <w:spacing w:after="0"/>
              <w:rPr>
                <w:sz w:val="20"/>
                <w:szCs w:val="20"/>
                <w:color w:val="auto"/>
              </w:rPr>
            </w:pPr>
            <w:r>
              <w:rPr>
                <w:rFonts w:ascii="Arial" w:cs="Arial" w:eastAsia="Arial" w:hAnsi="Arial"/>
                <w:sz w:val="13"/>
                <w:szCs w:val="13"/>
                <w:b w:val="1"/>
                <w:bCs w:val="1"/>
                <w:color w:val="FFFFFF"/>
              </w:rPr>
              <w:t>Name</w:t>
            </w:r>
          </w:p>
        </w:tc>
        <w:tc>
          <w:tcPr>
            <w:tcW w:w="100" w:type="dxa"/>
            <w:vAlign w:val="bottom"/>
            <w:shd w:val="clear" w:color="auto" w:fill="0075A8"/>
          </w:tcPr>
          <w:p>
            <w:pPr>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075A8"/>
          </w:tcPr>
          <w:p>
            <w:pPr>
              <w:ind w:left="80"/>
              <w:spacing w:after="0"/>
              <w:rPr>
                <w:sz w:val="20"/>
                <w:szCs w:val="20"/>
                <w:color w:val="auto"/>
              </w:rPr>
            </w:pPr>
            <w:r>
              <w:rPr>
                <w:rFonts w:ascii="Arial" w:cs="Arial" w:eastAsia="Arial" w:hAnsi="Arial"/>
                <w:sz w:val="13"/>
                <w:szCs w:val="13"/>
                <w:b w:val="1"/>
                <w:bCs w:val="1"/>
                <w:color w:val="FFFFFF"/>
                <w:w w:val="96"/>
              </w:rPr>
              <w:t>Grant Date</w:t>
            </w:r>
          </w:p>
        </w:tc>
        <w:tc>
          <w:tcPr>
            <w:tcW w:w="240" w:type="dxa"/>
            <w:vAlign w:val="bottom"/>
            <w:shd w:val="clear" w:color="auto" w:fill="0075A8"/>
          </w:tcPr>
          <w:p>
            <w:pPr>
              <w:jc w:val="right"/>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75A8"/>
          </w:tcPr>
          <w:p>
            <w:pPr>
              <w:spacing w:after="0"/>
              <w:rPr>
                <w:sz w:val="15"/>
                <w:szCs w:val="15"/>
                <w:color w:val="auto"/>
              </w:rPr>
            </w:pPr>
          </w:p>
        </w:tc>
        <w:tc>
          <w:tcPr>
            <w:tcW w:w="500" w:type="dxa"/>
            <w:vAlign w:val="bottom"/>
            <w:shd w:val="clear" w:color="auto" w:fill="0075A8"/>
          </w:tcPr>
          <w:p>
            <w:pPr>
              <w:jc w:val="right"/>
              <w:ind w:right="19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75A8"/>
          </w:tcPr>
          <w:p>
            <w:pPr>
              <w:ind w:left="80"/>
              <w:spacing w:after="0"/>
              <w:rPr>
                <w:sz w:val="20"/>
                <w:szCs w:val="20"/>
                <w:color w:val="auto"/>
              </w:rPr>
            </w:pPr>
            <w:r>
              <w:rPr>
                <w:rFonts w:ascii="Arial" w:cs="Arial" w:eastAsia="Arial" w:hAnsi="Arial"/>
                <w:sz w:val="13"/>
                <w:szCs w:val="13"/>
                <w:b w:val="1"/>
                <w:bCs w:val="1"/>
                <w:color w:val="FFFFFF"/>
              </w:rPr>
              <w:t>​​</w:t>
            </w:r>
          </w:p>
        </w:tc>
        <w:tc>
          <w:tcPr>
            <w:tcW w:w="500" w:type="dxa"/>
            <w:vAlign w:val="bottom"/>
            <w:shd w:val="clear" w:color="auto" w:fill="0075A8"/>
          </w:tcPr>
          <w:p>
            <w:pPr>
              <w:jc w:val="right"/>
              <w:ind w:right="111"/>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75A8"/>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75A8"/>
          </w:tcPr>
          <w:p>
            <w:pPr>
              <w:spacing w:after="0"/>
              <w:rPr>
                <w:sz w:val="15"/>
                <w:szCs w:val="15"/>
                <w:color w:val="auto"/>
              </w:rPr>
            </w:pPr>
          </w:p>
        </w:tc>
        <w:tc>
          <w:tcPr>
            <w:tcW w:w="540" w:type="dxa"/>
            <w:vAlign w:val="bottom"/>
            <w:shd w:val="clear" w:color="auto" w:fill="0075A8"/>
          </w:tcPr>
          <w:p>
            <w:pPr>
              <w:jc w:val="right"/>
              <w:ind w:right="150"/>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75A8"/>
          </w:tcPr>
          <w:p>
            <w:pPr>
              <w:jc w:val="right"/>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75A8"/>
          </w:tcPr>
          <w:p>
            <w:pPr>
              <w:spacing w:after="0"/>
              <w:rPr>
                <w:sz w:val="15"/>
                <w:szCs w:val="15"/>
                <w:color w:val="auto"/>
              </w:rPr>
            </w:pPr>
          </w:p>
        </w:tc>
        <w:tc>
          <w:tcPr>
            <w:tcW w:w="460" w:type="dxa"/>
            <w:vAlign w:val="bottom"/>
            <w:shd w:val="clear" w:color="auto" w:fill="0075A8"/>
          </w:tcPr>
          <w:p>
            <w:pPr>
              <w:jc w:val="right"/>
              <w:ind w:right="190"/>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75A8"/>
          </w:tcPr>
          <w:p>
            <w:pPr>
              <w:jc w:val="right"/>
              <w:ind w:right="9"/>
              <w:spacing w:after="0"/>
              <w:rPr>
                <w:sz w:val="20"/>
                <w:szCs w:val="20"/>
                <w:color w:val="auto"/>
              </w:rPr>
            </w:pPr>
            <w:r>
              <w:rPr>
                <w:rFonts w:ascii="Arial" w:cs="Arial" w:eastAsia="Arial" w:hAnsi="Arial"/>
                <w:sz w:val="13"/>
                <w:szCs w:val="13"/>
                <w:b w:val="1"/>
                <w:bCs w:val="1"/>
                <w:color w:val="FFFFFF"/>
              </w:rPr>
              <w:t>​​</w:t>
            </w:r>
          </w:p>
        </w:tc>
        <w:tc>
          <w:tcPr>
            <w:tcW w:w="500" w:type="dxa"/>
            <w:vAlign w:val="bottom"/>
            <w:shd w:val="clear" w:color="auto" w:fill="0075A8"/>
          </w:tcPr>
          <w:p>
            <w:pPr>
              <w:jc w:val="center"/>
              <w:ind w:left="29"/>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075A8"/>
          </w:tcPr>
          <w:p>
            <w:pPr>
              <w:spacing w:after="0"/>
              <w:rPr>
                <w:sz w:val="15"/>
                <w:szCs w:val="15"/>
                <w:color w:val="auto"/>
              </w:rPr>
            </w:pPr>
          </w:p>
        </w:tc>
        <w:tc>
          <w:tcPr>
            <w:tcW w:w="180" w:type="dxa"/>
            <w:vAlign w:val="bottom"/>
            <w:shd w:val="clear" w:color="auto" w:fill="0075A8"/>
          </w:tcPr>
          <w:p>
            <w:pPr>
              <w:jc w:val="right"/>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75A8"/>
          </w:tcPr>
          <w:p>
            <w:pPr>
              <w:spacing w:after="0"/>
              <w:rPr>
                <w:sz w:val="15"/>
                <w:szCs w:val="15"/>
                <w:color w:val="auto"/>
              </w:rPr>
            </w:pPr>
          </w:p>
        </w:tc>
        <w:tc>
          <w:tcPr>
            <w:tcW w:w="460" w:type="dxa"/>
            <w:vAlign w:val="bottom"/>
            <w:shd w:val="clear" w:color="auto" w:fill="0075A8"/>
          </w:tcPr>
          <w:p>
            <w:pPr>
              <w:jc w:val="right"/>
              <w:ind w:right="209"/>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75A8"/>
          </w:tcPr>
          <w:p>
            <w:pPr>
              <w:spacing w:after="0"/>
              <w:rPr>
                <w:sz w:val="15"/>
                <w:szCs w:val="15"/>
                <w:color w:val="auto"/>
              </w:rPr>
            </w:pPr>
          </w:p>
        </w:tc>
        <w:tc>
          <w:tcPr>
            <w:tcW w:w="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FFFFFF"/>
              </w:rPr>
              <w:t>​​</w:t>
            </w:r>
          </w:p>
        </w:tc>
        <w:tc>
          <w:tcPr>
            <w:tcW w:w="540" w:type="dxa"/>
            <w:vAlign w:val="bottom"/>
          </w:tcPr>
          <w:p>
            <w:pPr>
              <w:jc w:val="center"/>
              <w:ind w:left="92"/>
              <w:spacing w:after="0"/>
              <w:rPr>
                <w:sz w:val="20"/>
                <w:szCs w:val="20"/>
                <w:color w:val="auto"/>
              </w:rPr>
            </w:pPr>
            <w:r>
              <w:rPr>
                <w:rFonts w:ascii="Arial" w:cs="Arial" w:eastAsia="Arial" w:hAnsi="Arial"/>
                <w:sz w:val="13"/>
                <w:szCs w:val="13"/>
                <w:b w:val="1"/>
                <w:bCs w:val="1"/>
                <w:color w:val="FFFFFF"/>
                <w:w w:val="94"/>
              </w:rPr>
              <w:t>(#)(3)</w:t>
            </w:r>
          </w:p>
        </w:tc>
        <w:tc>
          <w:tcPr>
            <w:tcW w:w="1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3"/>
                <w:szCs w:val="13"/>
                <w:b w:val="1"/>
                <w:bCs w:val="1"/>
                <w:color w:val="FFFFFF"/>
              </w:rPr>
              <w:t>​​</w:t>
            </w:r>
          </w:p>
        </w:tc>
        <w:tc>
          <w:tcPr>
            <w:tcW w:w="800" w:type="dxa"/>
            <w:vAlign w:val="bottom"/>
          </w:tcPr>
          <w:p>
            <w:pPr>
              <w:jc w:val="center"/>
              <w:ind w:right="15"/>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6"/>
        </w:trPr>
        <w:tc>
          <w:tcPr>
            <w:tcW w:w="4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5"/>
                <w:szCs w:val="15"/>
                <w:color w:val="auto"/>
              </w:rPr>
            </w:pPr>
          </w:p>
        </w:tc>
        <w:tc>
          <w:tcPr>
            <w:tcW w:w="126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4"/>
                <w:szCs w:val="14"/>
                <w:color w:val="auto"/>
              </w:rPr>
              <w:t>Liam K. Griffin</w:t>
            </w:r>
          </w:p>
        </w:tc>
        <w:tc>
          <w:tcPr>
            <w:tcW w:w="10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​​940,000​</w:t>
            </w:r>
          </w:p>
        </w:tc>
        <w:tc>
          <w:tcPr>
            <w:tcW w:w="100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1,880,000​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3,760,000​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00" w:type="dxa"/>
            <w:vAlign w:val="bottom"/>
            <w:shd w:val="clear" w:color="auto" w:fill="E5E5E5"/>
          </w:tcPr>
          <w:p>
            <w:pPr>
              <w:jc w:val="right"/>
              <w:ind w:right="115"/>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​​47,001​</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​​94,002​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​​235,005​</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9,923,321</w:t>
            </w:r>
            <w:r>
              <w:rPr>
                <w:rFonts w:ascii="Arial" w:cs="Arial" w:eastAsia="Arial" w:hAnsi="Arial"/>
                <w:sz w:val="14"/>
                <w:szCs w:val="14"/>
                <w:color w:val="0075A8"/>
              </w:rPr>
              <w:t>(4)</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700" w:type="dxa"/>
            <w:vAlign w:val="bottom"/>
            <w:gridSpan w:val="2"/>
            <w:shd w:val="clear" w:color="auto" w:fill="BFBFBF"/>
          </w:tcPr>
          <w:p>
            <w:pPr>
              <w:spacing w:after="0" w:line="20" w:lineRule="exact"/>
              <w:rPr>
                <w:sz w:val="1"/>
                <w:szCs w:val="1"/>
                <w:color w:val="auto"/>
              </w:rPr>
            </w:pPr>
          </w:p>
        </w:tc>
        <w:tc>
          <w:tcPr>
            <w:tcW w:w="104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​​62,667​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5,599,923</w:t>
            </w:r>
            <w:r>
              <w:rPr>
                <w:rFonts w:ascii="Arial" w:cs="Arial" w:eastAsia="Arial" w:hAnsi="Arial"/>
                <w:sz w:val="14"/>
                <w:szCs w:val="14"/>
                <w:color w:val="0075A8"/>
              </w:rPr>
              <w:t>(5)</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line="20" w:lineRule="exact"/>
              <w:rPr>
                <w:sz w:val="1"/>
                <w:szCs w:val="1"/>
                <w:color w:val="auto"/>
              </w:rPr>
            </w:pPr>
          </w:p>
        </w:tc>
        <w:tc>
          <w:tcPr>
            <w:tcW w:w="126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4"/>
                <w:szCs w:val="14"/>
                <w:color w:val="auto"/>
              </w:rPr>
              <w:t>Kris Sennesael</w:t>
            </w:r>
          </w:p>
        </w:tc>
        <w:tc>
          <w:tcPr>
            <w:tcW w:w="10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8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840" w:type="dxa"/>
            <w:vAlign w:val="bottom"/>
            <w:gridSpan w:val="3"/>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80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260" w:type="dxa"/>
            <w:vAlign w:val="bottom"/>
            <w:tcBorders>
              <w:right w:val="single" w:sz="8" w:color="E5E5E5"/>
            </w:tcBorders>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​​315,000​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630,000​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1,260,000​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00" w:type="dxa"/>
            <w:vAlign w:val="bottom"/>
            <w:shd w:val="clear" w:color="auto" w:fill="E5E5E5"/>
          </w:tcPr>
          <w:p>
            <w:pPr>
              <w:jc w:val="right"/>
              <w:ind w:right="115"/>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​​12,757​</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​​25,515​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63,787​</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2,693,491</w:t>
            </w:r>
            <w:r>
              <w:rPr>
                <w:rFonts w:ascii="Arial" w:cs="Arial" w:eastAsia="Arial" w:hAnsi="Arial"/>
                <w:sz w:val="14"/>
                <w:szCs w:val="14"/>
                <w:color w:val="0075A8"/>
              </w:rPr>
              <w:t>(4)</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700" w:type="dxa"/>
            <w:vAlign w:val="bottom"/>
            <w:gridSpan w:val="2"/>
            <w:shd w:val="clear" w:color="auto" w:fill="BFBFBF"/>
          </w:tcPr>
          <w:p>
            <w:pPr>
              <w:spacing w:after="0" w:line="20" w:lineRule="exact"/>
              <w:rPr>
                <w:sz w:val="1"/>
                <w:szCs w:val="1"/>
                <w:color w:val="auto"/>
              </w:rPr>
            </w:pPr>
          </w:p>
        </w:tc>
        <w:tc>
          <w:tcPr>
            <w:tcW w:w="104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​​17,009​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1,519,924</w:t>
            </w:r>
            <w:r>
              <w:rPr>
                <w:rFonts w:ascii="Arial" w:cs="Arial" w:eastAsia="Arial" w:hAnsi="Arial"/>
                <w:sz w:val="14"/>
                <w:szCs w:val="14"/>
                <w:color w:val="0075A8"/>
              </w:rPr>
              <w:t>(5)</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line="20" w:lineRule="exact"/>
              <w:rPr>
                <w:sz w:val="1"/>
                <w:szCs w:val="1"/>
                <w:color w:val="auto"/>
              </w:rPr>
            </w:pPr>
          </w:p>
        </w:tc>
        <w:tc>
          <w:tcPr>
            <w:tcW w:w="126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4"/>
                <w:szCs w:val="14"/>
                <w:color w:val="auto"/>
              </w:rPr>
              <w:t>Reza Kasnavi</w:t>
            </w:r>
          </w:p>
        </w:tc>
        <w:tc>
          <w:tcPr>
            <w:tcW w:w="10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8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80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260" w:type="dxa"/>
            <w:vAlign w:val="bottom"/>
            <w:tcBorders>
              <w:right w:val="single" w:sz="8" w:color="E5E5E5"/>
            </w:tcBorders>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​​240,000​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480,000​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960,000​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00" w:type="dxa"/>
            <w:vAlign w:val="bottom"/>
            <w:shd w:val="clear" w:color="auto" w:fill="E5E5E5"/>
          </w:tcPr>
          <w:p>
            <w:pPr>
              <w:jc w:val="right"/>
              <w:ind w:right="115"/>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​​13,428​</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​​26,857​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67,142​</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2,835,159</w:t>
            </w:r>
            <w:r>
              <w:rPr>
                <w:rFonts w:ascii="Arial" w:cs="Arial" w:eastAsia="Arial" w:hAnsi="Arial"/>
                <w:sz w:val="14"/>
                <w:szCs w:val="14"/>
                <w:color w:val="0075A8"/>
              </w:rPr>
              <w:t>(4)</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700" w:type="dxa"/>
            <w:vAlign w:val="bottom"/>
            <w:gridSpan w:val="2"/>
            <w:shd w:val="clear" w:color="auto" w:fill="BFBFBF"/>
          </w:tcPr>
          <w:p>
            <w:pPr>
              <w:spacing w:after="0" w:line="20" w:lineRule="exact"/>
              <w:rPr>
                <w:sz w:val="1"/>
                <w:szCs w:val="1"/>
                <w:color w:val="auto"/>
              </w:rPr>
            </w:pPr>
          </w:p>
        </w:tc>
        <w:tc>
          <w:tcPr>
            <w:tcW w:w="104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​​17,905​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1,599,991</w:t>
            </w:r>
            <w:r>
              <w:rPr>
                <w:rFonts w:ascii="Arial" w:cs="Arial" w:eastAsia="Arial" w:hAnsi="Arial"/>
                <w:sz w:val="14"/>
                <w:szCs w:val="14"/>
                <w:color w:val="0075A8"/>
              </w:rPr>
              <w:t>(5)</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line="20" w:lineRule="exact"/>
              <w:rPr>
                <w:sz w:val="1"/>
                <w:szCs w:val="1"/>
                <w:color w:val="auto"/>
              </w:rPr>
            </w:pPr>
          </w:p>
        </w:tc>
        <w:tc>
          <w:tcPr>
            <w:tcW w:w="126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4"/>
                <w:szCs w:val="14"/>
                <w:color w:val="auto"/>
              </w:rPr>
              <w:t>Carlos S. Bori</w:t>
            </w:r>
          </w:p>
        </w:tc>
        <w:tc>
          <w:tcPr>
            <w:tcW w:w="10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8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80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260" w:type="dxa"/>
            <w:vAlign w:val="bottom"/>
            <w:tcBorders>
              <w:right w:val="single" w:sz="8" w:color="E5E5E5"/>
            </w:tcBorders>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​​240,000​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480,000​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960,000​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00" w:type="dxa"/>
            <w:vAlign w:val="bottom"/>
            <w:shd w:val="clear" w:color="auto" w:fill="E5E5E5"/>
          </w:tcPr>
          <w:p>
            <w:pPr>
              <w:jc w:val="right"/>
              <w:ind w:right="115"/>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​​13,428​</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​​26,857​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67,142​</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2,835,159</w:t>
            </w:r>
            <w:r>
              <w:rPr>
                <w:rFonts w:ascii="Arial" w:cs="Arial" w:eastAsia="Arial" w:hAnsi="Arial"/>
                <w:sz w:val="14"/>
                <w:szCs w:val="14"/>
                <w:color w:val="0075A8"/>
              </w:rPr>
              <w:t>(4)</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700" w:type="dxa"/>
            <w:vAlign w:val="bottom"/>
            <w:gridSpan w:val="2"/>
            <w:shd w:val="clear" w:color="auto" w:fill="BFBFBF"/>
          </w:tcPr>
          <w:p>
            <w:pPr>
              <w:spacing w:after="0" w:line="20" w:lineRule="exact"/>
              <w:rPr>
                <w:sz w:val="1"/>
                <w:szCs w:val="1"/>
                <w:color w:val="auto"/>
              </w:rPr>
            </w:pPr>
          </w:p>
        </w:tc>
        <w:tc>
          <w:tcPr>
            <w:tcW w:w="104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​​17,905​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1,599,991</w:t>
            </w:r>
            <w:r>
              <w:rPr>
                <w:rFonts w:ascii="Arial" w:cs="Arial" w:eastAsia="Arial" w:hAnsi="Arial"/>
                <w:sz w:val="14"/>
                <w:szCs w:val="14"/>
                <w:color w:val="0075A8"/>
              </w:rPr>
              <w:t>(5)</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line="20" w:lineRule="exact"/>
              <w:rPr>
                <w:sz w:val="1"/>
                <w:szCs w:val="1"/>
                <w:color w:val="auto"/>
              </w:rPr>
            </w:pPr>
          </w:p>
        </w:tc>
        <w:tc>
          <w:tcPr>
            <w:tcW w:w="126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4"/>
                <w:szCs w:val="14"/>
                <w:color w:val="auto"/>
              </w:rPr>
              <w:t>Robert J. Terry</w:t>
            </w:r>
          </w:p>
        </w:tc>
        <w:tc>
          <w:tcPr>
            <w:tcW w:w="10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8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80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vMerge w:val="continue"/>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260" w:type="dxa"/>
            <w:vAlign w:val="bottom"/>
            <w:tcBorders>
              <w:right w:val="single" w:sz="8" w:color="E5E5E5"/>
            </w:tcBorders>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​​224,800​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449,600​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899,200​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00" w:type="dxa"/>
            <w:vAlign w:val="bottom"/>
            <w:shd w:val="clear" w:color="auto" w:fill="E5E5E5"/>
          </w:tcPr>
          <w:p>
            <w:pPr>
              <w:jc w:val="right"/>
              <w:ind w:right="115"/>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xml:space="preserve">​​ ​11/07/2023​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​​11,079​</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​​22,158​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55,395​</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2,339,109</w:t>
            </w:r>
            <w:r>
              <w:rPr>
                <w:rFonts w:ascii="Arial" w:cs="Arial" w:eastAsia="Arial" w:hAnsi="Arial"/>
                <w:sz w:val="14"/>
                <w:szCs w:val="14"/>
                <w:color w:val="0075A8"/>
              </w:rPr>
              <w:t>(4)</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54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100" w:type="dxa"/>
            <w:vAlign w:val="bottom"/>
            <w:gridSpan w:val="2"/>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700" w:type="dxa"/>
            <w:vAlign w:val="bottom"/>
            <w:gridSpan w:val="2"/>
            <w:shd w:val="clear" w:color="auto" w:fill="BFBFBF"/>
          </w:tcPr>
          <w:p>
            <w:pPr>
              <w:spacing w:after="0" w:line="20" w:lineRule="exact"/>
              <w:rPr>
                <w:sz w:val="1"/>
                <w:szCs w:val="1"/>
                <w:color w:val="auto"/>
              </w:rPr>
            </w:pPr>
          </w:p>
        </w:tc>
        <w:tc>
          <w:tcPr>
            <w:tcW w:w="104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bottom w:val="single" w:sz="8" w:color="CCCCCC"/>
            </w:tcBorders>
            <w:vMerge w:val="continue"/>
          </w:tcPr>
          <w:p>
            <w:pPr>
              <w:spacing w:after="0"/>
              <w:rPr>
                <w:sz w:val="16"/>
                <w:szCs w:val="16"/>
                <w:color w:val="auto"/>
              </w:rPr>
            </w:pPr>
          </w:p>
        </w:tc>
        <w:tc>
          <w:tcPr>
            <w:tcW w:w="60" w:type="dxa"/>
            <w:vAlign w:val="bottom"/>
            <w:tcBorders>
              <w:bottom w:val="single" w:sz="8" w:color="CCCCCC"/>
            </w:tcBorders>
          </w:tcPr>
          <w:p>
            <w:pPr>
              <w:spacing w:after="0"/>
              <w:rPr>
                <w:sz w:val="16"/>
                <w:szCs w:val="16"/>
                <w:color w:val="auto"/>
              </w:rPr>
            </w:pPr>
          </w:p>
        </w:tc>
        <w:tc>
          <w:tcPr>
            <w:tcW w:w="1260" w:type="dxa"/>
            <w:vAlign w:val="bottom"/>
            <w:tcBorders>
              <w:bottom w:val="single" w:sz="8" w:color="CCCCCC"/>
            </w:tcBorders>
            <w:vMerge w:val="continue"/>
          </w:tcPr>
          <w:p>
            <w:pPr>
              <w:spacing w:after="0"/>
              <w:rPr>
                <w:sz w:val="16"/>
                <w:szCs w:val="16"/>
                <w:color w:val="auto"/>
              </w:rPr>
            </w:pPr>
          </w:p>
        </w:tc>
        <w:tc>
          <w:tcPr>
            <w:tcW w:w="100" w:type="dxa"/>
            <w:vAlign w:val="bottom"/>
            <w:tcBorders>
              <w:bottom w:val="single" w:sz="8" w:color="CCCCCC"/>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CCCC"/>
            </w:tcBorders>
            <w:gridSpan w:val="2"/>
          </w:tcPr>
          <w:p>
            <w:pPr>
              <w:jc w:val="right"/>
              <w:spacing w:after="0"/>
              <w:rPr>
                <w:sz w:val="20"/>
                <w:szCs w:val="20"/>
                <w:color w:val="auto"/>
              </w:rPr>
            </w:pPr>
            <w:r>
              <w:rPr>
                <w:rFonts w:ascii="Arial" w:cs="Arial" w:eastAsia="Arial" w:hAnsi="Arial"/>
                <w:sz w:val="14"/>
                <w:szCs w:val="14"/>
                <w:color w:val="auto"/>
              </w:rPr>
              <w:t xml:space="preserve">​11/07/2023​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Borders>
              <w:bottom w:val="single" w:sz="8" w:color="CCCCCC"/>
            </w:tcBorders>
          </w:tcPr>
          <w:p>
            <w:pPr>
              <w:spacing w:after="0"/>
              <w:rPr>
                <w:sz w:val="16"/>
                <w:szCs w:val="16"/>
                <w:color w:val="auto"/>
              </w:rPr>
            </w:pPr>
          </w:p>
        </w:tc>
        <w:tc>
          <w:tcPr>
            <w:tcW w:w="2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CCCC"/>
            </w:tcBorders>
          </w:tcPr>
          <w:p>
            <w:pPr>
              <w:spacing w:after="0"/>
              <w:rPr>
                <w:sz w:val="16"/>
                <w:szCs w:val="16"/>
                <w:color w:val="auto"/>
              </w:rPr>
            </w:pP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0" w:type="dxa"/>
            <w:vAlign w:val="bottom"/>
            <w:tcBorders>
              <w:bottom w:val="single" w:sz="8" w:color="CCCCCC"/>
            </w:tcBorders>
          </w:tcPr>
          <w:p>
            <w:pPr>
              <w:ind w:left="1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CCCC"/>
            </w:tcBorders>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CCCC"/>
            </w:tcBorders>
            <w:gridSpan w:val="2"/>
          </w:tcPr>
          <w:p>
            <w:pPr>
              <w:jc w:val="right"/>
              <w:ind w:right="8"/>
              <w:spacing w:after="0"/>
              <w:rPr>
                <w:sz w:val="20"/>
                <w:szCs w:val="20"/>
                <w:color w:val="auto"/>
              </w:rPr>
            </w:pPr>
            <w:r>
              <w:rPr>
                <w:rFonts w:ascii="Arial" w:cs="Arial" w:eastAsia="Arial" w:hAnsi="Arial"/>
                <w:sz w:val="14"/>
                <w:szCs w:val="14"/>
                <w:color w:val="auto"/>
              </w:rPr>
              <w:t>​​14,771​</w:t>
            </w:r>
          </w:p>
        </w:tc>
        <w:tc>
          <w:tcPr>
            <w:tcW w:w="1040" w:type="dxa"/>
            <w:vAlign w:val="bottom"/>
            <w:tcBorders>
              <w:bottom w:val="single" w:sz="8" w:color="CCCCCC"/>
            </w:tcBorders>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1,319,937</w:t>
            </w:r>
            <w:r>
              <w:rPr>
                <w:rFonts w:ascii="Arial" w:cs="Arial" w:eastAsia="Arial" w:hAnsi="Arial"/>
                <w:sz w:val="14"/>
                <w:szCs w:val="14"/>
                <w:color w:val="0075A8"/>
              </w:rPr>
              <w:t>(5)</w:t>
            </w:r>
          </w:p>
        </w:tc>
        <w:tc>
          <w:tcPr>
            <w:tcW w:w="160" w:type="dxa"/>
            <w:vAlign w:val="bottom"/>
            <w:tcBorders>
              <w:bottom w:val="single" w:sz="8" w:color="CCCCCC"/>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-376555</wp:posOffset>
            </wp:positionV>
            <wp:extent cx="8743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-728345</wp:posOffset>
            </wp:positionV>
            <wp:extent cx="8743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-1079500</wp:posOffset>
            </wp:positionV>
            <wp:extent cx="8743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-1430655</wp:posOffset>
            </wp:positionV>
            <wp:extent cx="8743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89" w:lineRule="exact"/>
        <w:rPr>
          <w:sz w:val="20"/>
          <w:szCs w:val="20"/>
          <w:color w:val="auto"/>
        </w:rPr>
      </w:pPr>
    </w:p>
    <w:p>
      <w:pPr>
        <w:ind w:left="1080" w:right="80" w:hanging="354"/>
        <w:spacing w:after="0" w:line="264" w:lineRule="auto"/>
        <w:tabs>
          <w:tab w:leader="none" w:pos="108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the potential value of awards earned under the Incentive Plan. The amounts actually paid to the Named Executive Officers under the Incentive Plan are shown above in the “Summary Compensation Table” under “Non-Equity Incentive Plan Compensation.” For a more complete description of the Incentive Plan, please see description above under “Components of Compensation — Short-Term Incentives.”</w:t>
      </w:r>
    </w:p>
    <w:p>
      <w:pPr>
        <w:jc w:val="both"/>
        <w:ind w:left="1080" w:right="160" w:hanging="354"/>
        <w:spacing w:after="0" w:line="264" w:lineRule="auto"/>
        <w:tabs>
          <w:tab w:leader="none" w:pos="108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shares potentially issuable pursuant to the FY24 PSAs granted on November 7, 2023, under the Company’s Second Amended and Restated 2015 Long-Term Incentive Plan, as described above under “Components of Compensation — Long-Term Stock-Based Compensation.”</w:t>
      </w:r>
    </w:p>
    <w:p>
      <w:pPr>
        <w:ind w:left="1080" w:right="140" w:hanging="354"/>
        <w:spacing w:after="0" w:line="264" w:lineRule="auto"/>
        <w:tabs>
          <w:tab w:leader="none" w:pos="108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underlying RSU awards granted under the Company’s Second Amended and Restated 2015 Long-Term Incentive Plan. Each RSU award vests over four years at a rate of twenty-five percent (25%) per year commencing one year after the grant date and on each subsequent anniversary of the grant date for the following three years, provided the executive remains employed by the Company through each such vesting date.</w:t>
      </w:r>
    </w:p>
    <w:p>
      <w:pPr>
        <w:ind w:left="1080" w:right="60" w:hanging="354"/>
        <w:spacing w:after="0" w:line="261" w:lineRule="auto"/>
        <w:tabs>
          <w:tab w:leader="none" w:pos="108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FY24 PSAs, computed in accordance with the provisions of ASC 718, using (a) a Monte Carlo simulation (which weights the probability of multiple potential outcomes) to value the portion of the award related to TSR percentile ranking, and (b) a price of  $89.36 per share, which was the closing sale price of the Company’s common stock on the Nasdaq Global Select Market on November 7, 2023, to value the portion of the award related to emerging revenue growth and EBITDA margin percentile ranking, assuming performance at the “target” level. For a description of the assumptions used in calculating the fair value of equity awards granted in fiscal year 2024 under ASC 718, see Note 9 of the Company’s financial statements included in the Company’s Annual Report on Form 10-K filed with the SEC on November 15, 2024.</w:t>
      </w:r>
    </w:p>
    <w:p>
      <w:pPr>
        <w:spacing w:after="0" w:line="5" w:lineRule="exact"/>
        <w:rPr>
          <w:rFonts w:ascii="Arial" w:cs="Arial" w:eastAsia="Arial" w:hAnsi="Arial"/>
          <w:sz w:val="16"/>
          <w:szCs w:val="16"/>
          <w:i w:val="1"/>
          <w:iCs w:val="1"/>
          <w:color w:val="auto"/>
        </w:rPr>
      </w:pPr>
    </w:p>
    <w:p>
      <w:pPr>
        <w:ind w:left="1080" w:right="160" w:hanging="354"/>
        <w:spacing w:after="0" w:line="274" w:lineRule="auto"/>
        <w:tabs>
          <w:tab w:leader="none" w:pos="108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November 7, 2023, computed in accordance with the provisions of ASC 718 using a price of  $89.36 per share, which was the closing price of the Company’s common stock on the Nasdaq Global Select Market on November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Outstanding Equity Awards at Fiscal Year End Table</w:t>
      </w:r>
    </w:p>
    <w:p>
      <w:pPr>
        <w:spacing w:after="0" w:line="137" w:lineRule="exact"/>
        <w:rPr>
          <w:sz w:val="20"/>
          <w:szCs w:val="20"/>
          <w:color w:val="auto"/>
        </w:rPr>
      </w:pPr>
    </w:p>
    <w:p>
      <w:pPr>
        <w:ind w:left="660" w:right="180"/>
        <w:spacing w:after="0" w:line="269" w:lineRule="auto"/>
        <w:rPr>
          <w:sz w:val="20"/>
          <w:szCs w:val="20"/>
          <w:color w:val="auto"/>
        </w:rPr>
      </w:pPr>
      <w:r>
        <w:rPr>
          <w:rFonts w:ascii="Arial" w:cs="Arial" w:eastAsia="Arial" w:hAnsi="Arial"/>
          <w:sz w:val="20"/>
          <w:szCs w:val="20"/>
          <w:color w:val="auto"/>
        </w:rPr>
        <w:t>The following table summarizes the unvested stock awards held by the Named Executive Officers as of the end of fiscal year 2024. None of our Named Executive Officers held stock options as of the end of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139700</wp:posOffset>
            </wp:positionV>
            <wp:extent cx="5974715"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00" w:type="dxa"/>
            <w:vAlign w:val="bottom"/>
            <w:shd w:val="clear" w:color="auto" w:fill="0075A8"/>
          </w:tcPr>
          <w:p>
            <w:pPr>
              <w:spacing w:after="0"/>
              <w:rPr>
                <w:sz w:val="20"/>
                <w:szCs w:val="20"/>
                <w:color w:val="auto"/>
              </w:rPr>
            </w:pPr>
            <w:r>
              <w:rPr>
                <w:rFonts w:ascii="Arial" w:cs="Arial" w:eastAsia="Arial" w:hAnsi="Arial"/>
                <w:sz w:val="16"/>
                <w:szCs w:val="16"/>
                <w:b w:val="1"/>
                <w:bCs w:val="1"/>
                <w:color w:val="FFFFFF"/>
              </w:rPr>
              <w:t>​</w:t>
            </w:r>
          </w:p>
        </w:tc>
        <w:tc>
          <w:tcPr>
            <w:tcW w:w="2840" w:type="dxa"/>
            <w:vAlign w:val="bottom"/>
          </w:tcPr>
          <w:p>
            <w:pPr>
              <w:spacing w:after="0"/>
              <w:rPr>
                <w:sz w:val="20"/>
                <w:szCs w:val="20"/>
                <w:color w:val="auto"/>
              </w:rPr>
            </w:pPr>
            <w:r>
              <w:rPr>
                <w:rFonts w:ascii="Arial" w:cs="Arial" w:eastAsia="Arial" w:hAnsi="Arial"/>
                <w:sz w:val="16"/>
                <w:szCs w:val="16"/>
                <w:b w:val="1"/>
                <w:bCs w:val="1"/>
                <w:color w:val="FFFFFF"/>
              </w:rPr>
              <w:t>​</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FFFFFF"/>
              </w:rPr>
              <w:t>​ ​</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8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FFFFFF"/>
              </w:rPr>
              <w:t>Stock Awards</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FFFFFF"/>
                <w:w w:val="98"/>
              </w:rPr>
              <w:t>Equity</w:t>
            </w:r>
          </w:p>
        </w:tc>
        <w:tc>
          <w:tcPr>
            <w:tcW w:w="0" w:type="dxa"/>
            <w:vAlign w:val="bottom"/>
          </w:tcPr>
          <w:p>
            <w:pPr>
              <w:spacing w:after="0"/>
              <w:rPr>
                <w:sz w:val="1"/>
                <w:szCs w:val="1"/>
                <w:color w:val="auto"/>
              </w:rPr>
            </w:pPr>
          </w:p>
        </w:tc>
      </w:tr>
      <w:tr>
        <w:trPr>
          <w:trHeight w:val="156"/>
        </w:trPr>
        <w:tc>
          <w:tcPr>
            <w:tcW w:w="100" w:type="dxa"/>
            <w:vAlign w:val="bottom"/>
            <w:tcBorders>
              <w:top w:val="single" w:sz="8" w:color="0075A8"/>
            </w:tcBorders>
            <w:shd w:val="clear" w:color="auto" w:fill="0075A8"/>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Borders>
              <w:top w:val="single" w:sz="8" w:color="0075A8"/>
            </w:tcBorders>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200"/>
              <w:spacing w:after="0" w:line="162" w:lineRule="exact"/>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FFFFFF"/>
                <w:w w:val="98"/>
              </w:rPr>
              <w:t>Equity</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4"/>
              </w:rPr>
              <w:t>Plan</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9"/>
              </w:rPr>
              <w:t>Number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Incentive</w:t>
            </w:r>
          </w:p>
        </w:tc>
        <w:tc>
          <w:tcPr>
            <w:tcW w:w="420" w:type="dxa"/>
            <w:vAlign w:val="bottom"/>
          </w:tcPr>
          <w:p>
            <w:pPr>
              <w:spacing w:after="0"/>
              <w:rPr>
                <w:sz w:val="14"/>
                <w:szCs w:val="14"/>
                <w:color w:val="auto"/>
              </w:rPr>
            </w:pPr>
          </w:p>
        </w:tc>
        <w:tc>
          <w:tcPr>
            <w:tcW w:w="1000" w:type="dxa"/>
            <w:vAlign w:val="bottom"/>
            <w:gridSpan w:val="2"/>
          </w:tcPr>
          <w:p>
            <w:pPr>
              <w:ind w:left="180"/>
              <w:spacing w:after="0" w:line="162" w:lineRule="exact"/>
              <w:rPr>
                <w:sz w:val="20"/>
                <w:szCs w:val="20"/>
                <w:color w:val="auto"/>
              </w:rPr>
            </w:pPr>
            <w:r>
              <w:rPr>
                <w:rFonts w:ascii="Arial" w:cs="Arial" w:eastAsia="Arial" w:hAnsi="Arial"/>
                <w:sz w:val="16"/>
                <w:szCs w:val="16"/>
                <w:b w:val="1"/>
                <w:bCs w:val="1"/>
                <w:color w:val="FFFFFF"/>
              </w:rPr>
              <w:t>Market or</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19"/>
              <w:spacing w:after="0" w:line="162" w:lineRule="exact"/>
              <w:rPr>
                <w:sz w:val="20"/>
                <w:szCs w:val="20"/>
                <w:color w:val="auto"/>
              </w:rPr>
            </w:pPr>
            <w:r>
              <w:rPr>
                <w:rFonts w:ascii="Arial" w:cs="Arial" w:eastAsia="Arial" w:hAnsi="Arial"/>
                <w:sz w:val="16"/>
                <w:szCs w:val="16"/>
                <w:b w:val="1"/>
                <w:bCs w:val="1"/>
                <w:color w:val="FFFFFF"/>
              </w:rPr>
              <w:t>Plan</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7"/>
              </w:rPr>
              <w:t>Payout</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of Shares</w:t>
            </w:r>
          </w:p>
        </w:tc>
        <w:tc>
          <w:tcPr>
            <w:tcW w:w="440" w:type="dxa"/>
            <w:vAlign w:val="bottom"/>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FFFFFF"/>
                <w:w w:val="99"/>
              </w:rPr>
              <w:t>Market Value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79"/>
              <w:spacing w:after="0" w:line="162" w:lineRule="exact"/>
              <w:rPr>
                <w:sz w:val="20"/>
                <w:szCs w:val="20"/>
                <w:color w:val="auto"/>
              </w:rPr>
            </w:pPr>
            <w:r>
              <w:rPr>
                <w:rFonts w:ascii="Arial" w:cs="Arial" w:eastAsia="Arial" w:hAnsi="Arial"/>
                <w:sz w:val="16"/>
                <w:szCs w:val="16"/>
                <w:b w:val="1"/>
                <w:bCs w:val="1"/>
                <w:color w:val="FFFFFF"/>
                <w:w w:val="98"/>
              </w:rPr>
              <w:t>Awards:</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6"/>
              </w:rPr>
              <w:t>Value of</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9"/>
              </w:rPr>
              <w:t>or Units</w:t>
            </w: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9"/>
              </w:rPr>
              <w:t>Number of</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7"/>
              </w:rPr>
              <w:t>Unearned</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8"/>
              </w:rPr>
              <w:t>of Stock</w:t>
            </w:r>
          </w:p>
        </w:tc>
        <w:tc>
          <w:tcPr>
            <w:tcW w:w="440" w:type="dxa"/>
            <w:vAlign w:val="bottom"/>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of Shares or</w:t>
            </w:r>
          </w:p>
        </w:tc>
        <w:tc>
          <w:tcPr>
            <w:tcW w:w="42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Unearned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6"/>
              </w:rPr>
              <w:t>Shares,</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that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w w:val="97"/>
              </w:rPr>
              <w:t>Units of</w:t>
            </w:r>
          </w:p>
        </w:tc>
        <w:tc>
          <w:tcPr>
            <w:tcW w:w="42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9"/>
              </w:rPr>
              <w:t>Shares, Units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9"/>
              </w:rPr>
              <w:t>Units or</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9"/>
              </w:rPr>
              <w:t>Have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w w:val="96"/>
              </w:rPr>
              <w:t>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FFFFFF"/>
                <w:w w:val="99"/>
              </w:rPr>
              <w:t>or other</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7"/>
              </w:rPr>
              <w:t>other Rights</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7"/>
              </w:rPr>
              <w:t>Not</w:t>
            </w:r>
          </w:p>
        </w:tc>
        <w:tc>
          <w:tcPr>
            <w:tcW w:w="440" w:type="dxa"/>
            <w:vAlign w:val="bottom"/>
          </w:tcPr>
          <w:p>
            <w:pPr>
              <w:spacing w:after="0"/>
              <w:rPr>
                <w:sz w:val="14"/>
                <w:szCs w:val="14"/>
                <w:color w:val="auto"/>
              </w:rPr>
            </w:pPr>
          </w:p>
        </w:tc>
        <w:tc>
          <w:tcPr>
            <w:tcW w:w="1140" w:type="dxa"/>
            <w:vAlign w:val="bottom"/>
            <w:gridSpan w:val="2"/>
          </w:tcPr>
          <w:p>
            <w:pPr>
              <w:ind w:left="200"/>
              <w:spacing w:after="0" w:line="162" w:lineRule="exact"/>
              <w:rPr>
                <w:sz w:val="20"/>
                <w:szCs w:val="20"/>
                <w:color w:val="auto"/>
              </w:rPr>
            </w:pPr>
            <w:r>
              <w:rPr>
                <w:rFonts w:ascii="Arial" w:cs="Arial" w:eastAsia="Arial" w:hAnsi="Arial"/>
                <w:sz w:val="16"/>
                <w:szCs w:val="16"/>
                <w:b w:val="1"/>
                <w:bCs w:val="1"/>
                <w:color w:val="FFFFFF"/>
              </w:rPr>
              <w:t>that Have</w:t>
            </w:r>
          </w:p>
        </w:tc>
        <w:tc>
          <w:tcPr>
            <w:tcW w:w="42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8"/>
              </w:rPr>
              <w:t>Rights that</w:t>
            </w:r>
          </w:p>
        </w:tc>
        <w:tc>
          <w:tcPr>
            <w:tcW w:w="420" w:type="dxa"/>
            <w:vAlign w:val="bottom"/>
          </w:tcPr>
          <w:p>
            <w:pPr>
              <w:spacing w:after="0"/>
              <w:rPr>
                <w:sz w:val="14"/>
                <w:szCs w:val="14"/>
                <w:color w:val="auto"/>
              </w:rPr>
            </w:pPr>
          </w:p>
        </w:tc>
        <w:tc>
          <w:tcPr>
            <w:tcW w:w="1000" w:type="dxa"/>
            <w:vAlign w:val="bottom"/>
            <w:gridSpan w:val="2"/>
          </w:tcPr>
          <w:p>
            <w:pPr>
              <w:ind w:left="180"/>
              <w:spacing w:after="0" w:line="162" w:lineRule="exact"/>
              <w:rPr>
                <w:sz w:val="20"/>
                <w:szCs w:val="20"/>
                <w:color w:val="auto"/>
              </w:rPr>
            </w:pPr>
            <w:r>
              <w:rPr>
                <w:rFonts w:ascii="Arial" w:cs="Arial" w:eastAsia="Arial" w:hAnsi="Arial"/>
                <w:sz w:val="16"/>
                <w:szCs w:val="16"/>
                <w:b w:val="1"/>
                <w:bCs w:val="1"/>
                <w:color w:val="FFFFFF"/>
              </w:rPr>
              <w:t>that Have</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5"/>
              </w:rPr>
              <w:t>Vested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w w:val="97"/>
              </w:rPr>
              <w:t>Not</w:t>
            </w:r>
          </w:p>
        </w:tc>
        <w:tc>
          <w:tcPr>
            <w:tcW w:w="42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Have Not</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Not Vested</w:t>
            </w:r>
          </w:p>
        </w:tc>
        <w:tc>
          <w:tcPr>
            <w:tcW w:w="0" w:type="dxa"/>
            <w:vAlign w:val="bottom"/>
          </w:tcPr>
          <w:p>
            <w:pPr>
              <w:spacing w:after="0"/>
              <w:rPr>
                <w:sz w:val="1"/>
                <w:szCs w:val="1"/>
                <w:color w:val="auto"/>
              </w:rPr>
            </w:pPr>
          </w:p>
        </w:tc>
      </w:tr>
      <w:tr>
        <w:trPr>
          <w:trHeight w:val="196"/>
        </w:trPr>
        <w:tc>
          <w:tcPr>
            <w:tcW w:w="100" w:type="dxa"/>
            <w:vAlign w:val="bottom"/>
            <w:tcBorders>
              <w:bottom w:val="single" w:sz="8" w:color="0075A8"/>
            </w:tcBorders>
            <w:shd w:val="clear" w:color="auto" w:fill="0075A8"/>
          </w:tcPr>
          <w:p>
            <w:pPr>
              <w:ind w:left="40"/>
              <w:spacing w:after="0"/>
              <w:rPr>
                <w:sz w:val="20"/>
                <w:szCs w:val="20"/>
                <w:color w:val="auto"/>
              </w:rPr>
            </w:pPr>
            <w:r>
              <w:rPr>
                <w:rFonts w:ascii="Arial" w:cs="Arial" w:eastAsia="Arial" w:hAnsi="Arial"/>
                <w:sz w:val="16"/>
                <w:szCs w:val="16"/>
                <w:b w:val="1"/>
                <w:bCs w:val="1"/>
                <w:color w:val="FFFFFF"/>
              </w:rPr>
              <w:t>​</w:t>
            </w:r>
          </w:p>
        </w:tc>
        <w:tc>
          <w:tcPr>
            <w:tcW w:w="284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360" w:type="dxa"/>
            <w:vAlign w:val="bottom"/>
            <w:gridSpan w:val="2"/>
          </w:tcPr>
          <w:p>
            <w:pPr>
              <w:ind w:left="40"/>
              <w:spacing w:after="0"/>
              <w:rPr>
                <w:sz w:val="20"/>
                <w:szCs w:val="20"/>
                <w:color w:val="auto"/>
              </w:rPr>
            </w:pPr>
            <w:r>
              <w:rPr>
                <w:rFonts w:ascii="Arial" w:cs="Arial" w:eastAsia="Arial" w:hAnsi="Arial"/>
                <w:sz w:val="16"/>
                <w:szCs w:val="16"/>
                <w:b w:val="1"/>
                <w:bCs w:val="1"/>
                <w:color w:val="FFFFFF"/>
              </w:rPr>
              <w:t>​ ​</w:t>
            </w: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FFFFFF"/>
              </w:rPr>
              <w:t>(#)</w:t>
            </w:r>
          </w:p>
        </w:tc>
        <w:tc>
          <w:tcPr>
            <w:tcW w:w="440" w:type="dxa"/>
            <w:vAlign w:val="bottom"/>
          </w:tcPr>
          <w:p>
            <w:pPr>
              <w:ind w:left="240"/>
              <w:spacing w:after="0"/>
              <w:rPr>
                <w:sz w:val="20"/>
                <w:szCs w:val="20"/>
                <w:color w:val="auto"/>
              </w:rPr>
            </w:pPr>
            <w:r>
              <w:rPr>
                <w:rFonts w:ascii="Arial" w:cs="Arial" w:eastAsia="Arial" w:hAnsi="Arial"/>
                <w:sz w:val="16"/>
                <w:szCs w:val="16"/>
                <w:b w:val="1"/>
                <w:bCs w:val="1"/>
                <w:color w:val="FFFFFF"/>
              </w:rPr>
              <w:t>​ ​</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FFFFFF"/>
              </w:rPr>
              <w:t>Vested ($)(1)</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FFFFFF"/>
              </w:rPr>
              <w:t>​ ​</w:t>
            </w: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FFFFFF"/>
              </w:rPr>
              <w:t>Vested (#)</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FFFFFF"/>
              </w:rPr>
              <w:t>​ ​</w:t>
            </w:r>
          </w:p>
        </w:tc>
        <w:tc>
          <w:tcPr>
            <w:tcW w:w="240" w:type="dxa"/>
            <w:vAlign w:val="bottom"/>
          </w:tcPr>
          <w:p>
            <w:pPr>
              <w:spacing w:after="0"/>
              <w:rPr>
                <w:sz w:val="17"/>
                <w:szCs w:val="17"/>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FFFFFF"/>
              </w:rPr>
              <w:t>($)(1)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840" w:type="dxa"/>
            <w:vAlign w:val="bottom"/>
          </w:tcPr>
          <w:p>
            <w:pPr>
              <w:spacing w:after="0"/>
              <w:rPr>
                <w:sz w:val="20"/>
                <w:szCs w:val="20"/>
                <w:color w:val="auto"/>
              </w:rPr>
            </w:pPr>
            <w:r>
              <w:rPr>
                <w:rFonts w:ascii="Arial" w:cs="Arial" w:eastAsia="Arial" w:hAnsi="Arial"/>
                <w:sz w:val="16"/>
                <w:szCs w:val="16"/>
                <w:color w:val="auto"/>
              </w:rPr>
              <w:t>Liam K. Griffin</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7,645</w:t>
            </w:r>
            <w:r>
              <w:rPr>
                <w:rFonts w:ascii="Arial" w:cs="Arial" w:eastAsia="Arial" w:hAnsi="Arial"/>
                <w:sz w:val="16"/>
                <w:szCs w:val="16"/>
                <w:color w:val="0075A8"/>
              </w:rPr>
              <w:t>(2)</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755,708​</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​11,930</w:t>
            </w:r>
            <w:r>
              <w:rPr>
                <w:rFonts w:ascii="Arial" w:cs="Arial" w:eastAsia="Arial" w:hAnsi="Arial"/>
                <w:sz w:val="16"/>
                <w:szCs w:val="16"/>
                <w:color w:val="0075A8"/>
              </w:rPr>
              <w:t>(8)</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​​1,179,281​</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​15,906</w:t>
            </w:r>
            <w:r>
              <w:rPr>
                <w:rFonts w:ascii="Arial" w:cs="Arial" w:eastAsia="Arial" w:hAnsi="Arial"/>
                <w:sz w:val="16"/>
                <w:szCs w:val="16"/>
                <w:color w:val="0075A8"/>
              </w:rPr>
              <w:t>(3)</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​​1,572,308​</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​43,988</w:t>
            </w:r>
            <w:r>
              <w:rPr>
                <w:rFonts w:ascii="Arial" w:cs="Arial" w:eastAsia="Arial" w:hAnsi="Arial"/>
                <w:sz w:val="16"/>
                <w:szCs w:val="16"/>
                <w:color w:val="0075A8"/>
              </w:rPr>
              <w:t>(9)</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​​4,348,214​</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​43,988</w:t>
            </w:r>
            <w:r>
              <w:rPr>
                <w:rFonts w:ascii="Arial" w:cs="Arial" w:eastAsia="Arial" w:hAnsi="Arial"/>
                <w:sz w:val="16"/>
                <w:szCs w:val="16"/>
                <w:color w:val="0075A8"/>
              </w:rPr>
              <w:t>(4)</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​​4,348,214​</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​47,000</w:t>
            </w:r>
            <w:r>
              <w:rPr>
                <w:rFonts w:ascii="Arial" w:cs="Arial" w:eastAsia="Arial" w:hAnsi="Arial"/>
                <w:sz w:val="16"/>
                <w:szCs w:val="16"/>
                <w:color w:val="0075A8"/>
              </w:rPr>
              <w:t>(10)</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​​4,645,950​</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​62,667</w:t>
            </w:r>
            <w:r>
              <w:rPr>
                <w:rFonts w:ascii="Arial" w:cs="Arial" w:eastAsia="Arial" w:hAnsi="Arial"/>
                <w:sz w:val="16"/>
                <w:szCs w:val="16"/>
                <w:color w:val="0075A8"/>
              </w:rPr>
              <w:t>(5)</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​​6,194,633​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​71,480</w:t>
            </w:r>
            <w:r>
              <w:rPr>
                <w:rFonts w:ascii="Arial" w:cs="Arial" w:eastAsia="Arial" w:hAnsi="Arial"/>
                <w:sz w:val="16"/>
                <w:szCs w:val="16"/>
                <w:color w:val="0075A8"/>
              </w:rPr>
              <w:t>(6)</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​​7,065,798​</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​14,253</w:t>
            </w:r>
            <w:r>
              <w:rPr>
                <w:rFonts w:ascii="Arial" w:cs="Arial" w:eastAsia="Arial" w:hAnsi="Arial"/>
                <w:sz w:val="16"/>
                <w:szCs w:val="16"/>
                <w:color w:val="0075A8"/>
              </w:rPr>
              <w:t>(7)</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​​1,408,909​</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Kris Sennesael</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2,363</w:t>
            </w:r>
            <w:r>
              <w:rPr>
                <w:rFonts w:ascii="Arial" w:cs="Arial" w:eastAsia="Arial" w:hAnsi="Arial"/>
                <w:sz w:val="16"/>
                <w:szCs w:val="16"/>
                <w:color w:val="0075A8"/>
              </w:rPr>
              <w:t>(2)</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233,583​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3,766</w:t>
            </w:r>
            <w:r>
              <w:rPr>
                <w:rFonts w:ascii="Arial" w:cs="Arial" w:eastAsia="Arial" w:hAnsi="Arial"/>
                <w:sz w:val="16"/>
                <w:szCs w:val="16"/>
                <w:color w:val="0075A8"/>
              </w:rPr>
              <w:t>(8)</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372,269​</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5,021</w:t>
            </w:r>
            <w:r>
              <w:rPr>
                <w:rFonts w:ascii="Arial" w:cs="Arial" w:eastAsia="Arial" w:hAnsi="Arial"/>
                <w:sz w:val="16"/>
                <w:szCs w:val="16"/>
                <w:color w:val="0075A8"/>
              </w:rPr>
              <w:t>(3)</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496,326​</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​12,519</w:t>
            </w:r>
            <w:r>
              <w:rPr>
                <w:rFonts w:ascii="Arial" w:cs="Arial" w:eastAsia="Arial" w:hAnsi="Arial"/>
                <w:sz w:val="16"/>
                <w:szCs w:val="16"/>
                <w:color w:val="0075A8"/>
              </w:rPr>
              <w:t>(9)</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​​1,237,503​</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​12,519</w:t>
            </w:r>
            <w:r>
              <w:rPr>
                <w:rFonts w:ascii="Arial" w:cs="Arial" w:eastAsia="Arial" w:hAnsi="Arial"/>
                <w:sz w:val="16"/>
                <w:szCs w:val="16"/>
                <w:color w:val="0075A8"/>
              </w:rPr>
              <w:t>(4)</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​​1,237,503​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​12,757</w:t>
            </w:r>
            <w:r>
              <w:rPr>
                <w:rFonts w:ascii="Arial" w:cs="Arial" w:eastAsia="Arial" w:hAnsi="Arial"/>
                <w:sz w:val="16"/>
                <w:szCs w:val="16"/>
                <w:color w:val="0075A8"/>
              </w:rPr>
              <w:t>(10)</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​​1,261,029​</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​17,009</w:t>
            </w:r>
            <w:r>
              <w:rPr>
                <w:rFonts w:ascii="Arial" w:cs="Arial" w:eastAsia="Arial" w:hAnsi="Arial"/>
                <w:sz w:val="16"/>
                <w:szCs w:val="16"/>
                <w:color w:val="0075A8"/>
              </w:rPr>
              <w:t>(5)</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​​1,681,340​</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​20,345</w:t>
            </w:r>
            <w:r>
              <w:rPr>
                <w:rFonts w:ascii="Arial" w:cs="Arial" w:eastAsia="Arial" w:hAnsi="Arial"/>
                <w:sz w:val="16"/>
                <w:szCs w:val="16"/>
                <w:color w:val="0075A8"/>
              </w:rPr>
              <w:t>(6)</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​​2,011,103​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3,868</w:t>
            </w:r>
            <w:r>
              <w:rPr>
                <w:rFonts w:ascii="Arial" w:cs="Arial" w:eastAsia="Arial" w:hAnsi="Arial"/>
                <w:sz w:val="16"/>
                <w:szCs w:val="16"/>
                <w:color w:val="0075A8"/>
              </w:rPr>
              <w:t>(7)</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382,352​</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Reza Kasnavi</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2,293</w:t>
            </w:r>
            <w:r>
              <w:rPr>
                <w:rFonts w:ascii="Arial" w:cs="Arial" w:eastAsia="Arial" w:hAnsi="Arial"/>
                <w:sz w:val="16"/>
                <w:szCs w:val="16"/>
                <w:color w:val="0075A8"/>
              </w:rPr>
              <w:t>(2)</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226,663​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3,658</w:t>
            </w:r>
            <w:r>
              <w:rPr>
                <w:rFonts w:ascii="Arial" w:cs="Arial" w:eastAsia="Arial" w:hAnsi="Arial"/>
                <w:sz w:val="16"/>
                <w:szCs w:val="16"/>
                <w:color w:val="0075A8"/>
              </w:rPr>
              <w:t>(8)</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361,593​</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4,878</w:t>
            </w:r>
            <w:r>
              <w:rPr>
                <w:rFonts w:ascii="Arial" w:cs="Arial" w:eastAsia="Arial" w:hAnsi="Arial"/>
                <w:sz w:val="16"/>
                <w:szCs w:val="16"/>
                <w:color w:val="0075A8"/>
              </w:rPr>
              <w:t>(3)</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482,190​</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​13,230</w:t>
            </w:r>
            <w:r>
              <w:rPr>
                <w:rFonts w:ascii="Arial" w:cs="Arial" w:eastAsia="Arial" w:hAnsi="Arial"/>
                <w:sz w:val="16"/>
                <w:szCs w:val="16"/>
                <w:color w:val="0075A8"/>
              </w:rPr>
              <w:t>(9)</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​​1,307,786​</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​13,230</w:t>
            </w:r>
            <w:r>
              <w:rPr>
                <w:rFonts w:ascii="Arial" w:cs="Arial" w:eastAsia="Arial" w:hAnsi="Arial"/>
                <w:sz w:val="16"/>
                <w:szCs w:val="16"/>
                <w:color w:val="0075A8"/>
              </w:rPr>
              <w:t>(4)</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​​1,307,786​</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​13,428</w:t>
            </w:r>
            <w:r>
              <w:rPr>
                <w:rFonts w:ascii="Arial" w:cs="Arial" w:eastAsia="Arial" w:hAnsi="Arial"/>
                <w:sz w:val="16"/>
                <w:szCs w:val="16"/>
                <w:color w:val="0075A8"/>
              </w:rPr>
              <w:t>(10)</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​​1,327,358​</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​17,905</w:t>
            </w:r>
            <w:r>
              <w:rPr>
                <w:rFonts w:ascii="Arial" w:cs="Arial" w:eastAsia="Arial" w:hAnsi="Arial"/>
                <w:sz w:val="16"/>
                <w:szCs w:val="16"/>
                <w:color w:val="0075A8"/>
              </w:rPr>
              <w:t>(5)</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​​1,769,909​</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​21,498</w:t>
            </w:r>
            <w:r>
              <w:rPr>
                <w:rFonts w:ascii="Arial" w:cs="Arial" w:eastAsia="Arial" w:hAnsi="Arial"/>
                <w:sz w:val="16"/>
                <w:szCs w:val="16"/>
                <w:color w:val="0075A8"/>
              </w:rPr>
              <w:t>(6)</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​​2,125,077​</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4,072</w:t>
            </w:r>
            <w:r>
              <w:rPr>
                <w:rFonts w:ascii="Arial" w:cs="Arial" w:eastAsia="Arial" w:hAnsi="Arial"/>
                <w:sz w:val="16"/>
                <w:szCs w:val="16"/>
                <w:color w:val="0075A8"/>
              </w:rPr>
              <w:t>(7)</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402,517​</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Carlos S. Bori</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2,015</w:t>
            </w:r>
            <w:r>
              <w:rPr>
                <w:rFonts w:ascii="Arial" w:cs="Arial" w:eastAsia="Arial" w:hAnsi="Arial"/>
                <w:sz w:val="16"/>
                <w:szCs w:val="16"/>
                <w:color w:val="0075A8"/>
              </w:rPr>
              <w:t>(2)</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199,183​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3,658</w:t>
            </w:r>
            <w:r>
              <w:rPr>
                <w:rFonts w:ascii="Arial" w:cs="Arial" w:eastAsia="Arial" w:hAnsi="Arial"/>
                <w:sz w:val="16"/>
                <w:szCs w:val="16"/>
                <w:color w:val="0075A8"/>
              </w:rPr>
              <w:t>(8)</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361,593​</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4,878</w:t>
            </w:r>
            <w:r>
              <w:rPr>
                <w:rFonts w:ascii="Arial" w:cs="Arial" w:eastAsia="Arial" w:hAnsi="Arial"/>
                <w:sz w:val="16"/>
                <w:szCs w:val="16"/>
                <w:color w:val="0075A8"/>
              </w:rPr>
              <w:t>(3)</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482,190​</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​13,230</w:t>
            </w:r>
            <w:r>
              <w:rPr>
                <w:rFonts w:ascii="Arial" w:cs="Arial" w:eastAsia="Arial" w:hAnsi="Arial"/>
                <w:sz w:val="16"/>
                <w:szCs w:val="16"/>
                <w:color w:val="0075A8"/>
              </w:rPr>
              <w:t>(9)</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​​1,307,786​</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​13,230</w:t>
            </w:r>
            <w:r>
              <w:rPr>
                <w:rFonts w:ascii="Arial" w:cs="Arial" w:eastAsia="Arial" w:hAnsi="Arial"/>
                <w:sz w:val="16"/>
                <w:szCs w:val="16"/>
                <w:color w:val="0075A8"/>
              </w:rPr>
              <w:t>(4)</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​​1,307,786​</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​13,428</w:t>
            </w:r>
            <w:r>
              <w:rPr>
                <w:rFonts w:ascii="Arial" w:cs="Arial" w:eastAsia="Arial" w:hAnsi="Arial"/>
                <w:sz w:val="16"/>
                <w:szCs w:val="16"/>
                <w:color w:val="0075A8"/>
              </w:rPr>
              <w:t>(10)</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​​1,327,358​</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​17,905</w:t>
            </w:r>
            <w:r>
              <w:rPr>
                <w:rFonts w:ascii="Arial" w:cs="Arial" w:eastAsia="Arial" w:hAnsi="Arial"/>
                <w:sz w:val="16"/>
                <w:szCs w:val="16"/>
                <w:color w:val="0075A8"/>
              </w:rPr>
              <w:t>(5)</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​​1,769,909​</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​21,498</w:t>
            </w:r>
            <w:r>
              <w:rPr>
                <w:rFonts w:ascii="Arial" w:cs="Arial" w:eastAsia="Arial" w:hAnsi="Arial"/>
                <w:sz w:val="16"/>
                <w:szCs w:val="16"/>
                <w:color w:val="0075A8"/>
              </w:rPr>
              <w:t>(6)</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​​2,125,077​</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4,072</w:t>
            </w:r>
            <w:r>
              <w:rPr>
                <w:rFonts w:ascii="Arial" w:cs="Arial" w:eastAsia="Arial" w:hAnsi="Arial"/>
                <w:sz w:val="16"/>
                <w:szCs w:val="16"/>
                <w:color w:val="0075A8"/>
              </w:rPr>
              <w:t>(7)</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402,517​</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Robert J. Terry</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1,876</w:t>
            </w:r>
            <w:r>
              <w:rPr>
                <w:rFonts w:ascii="Arial" w:cs="Arial" w:eastAsia="Arial" w:hAnsi="Arial"/>
                <w:sz w:val="16"/>
                <w:szCs w:val="16"/>
                <w:color w:val="0075A8"/>
              </w:rPr>
              <w:t>(2)</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185,443​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3,012</w:t>
            </w:r>
            <w:r>
              <w:rPr>
                <w:rFonts w:ascii="Arial" w:cs="Arial" w:eastAsia="Arial" w:hAnsi="Arial"/>
                <w:sz w:val="16"/>
                <w:szCs w:val="16"/>
                <w:color w:val="0075A8"/>
              </w:rPr>
              <w:t>(8)</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297,736​</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4,016</w:t>
            </w:r>
            <w:r>
              <w:rPr>
                <w:rFonts w:ascii="Arial" w:cs="Arial" w:eastAsia="Arial" w:hAnsi="Arial"/>
                <w:sz w:val="16"/>
                <w:szCs w:val="16"/>
                <w:color w:val="0075A8"/>
              </w:rPr>
              <w:t>(3)</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396,982​</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​10,895</w:t>
            </w:r>
            <w:r>
              <w:rPr>
                <w:rFonts w:ascii="Arial" w:cs="Arial" w:eastAsia="Arial" w:hAnsi="Arial"/>
                <w:sz w:val="16"/>
                <w:szCs w:val="16"/>
                <w:color w:val="0075A8"/>
              </w:rPr>
              <w:t>(9)</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​​1,076,971​</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​10,895</w:t>
            </w:r>
            <w:r>
              <w:rPr>
                <w:rFonts w:ascii="Arial" w:cs="Arial" w:eastAsia="Arial" w:hAnsi="Arial"/>
                <w:sz w:val="16"/>
                <w:szCs w:val="16"/>
                <w:color w:val="0075A8"/>
              </w:rPr>
              <w:t>(4)</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​​1,076,971​</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​11,078</w:t>
            </w:r>
            <w:r>
              <w:rPr>
                <w:rFonts w:ascii="Arial" w:cs="Arial" w:eastAsia="Arial" w:hAnsi="Arial"/>
                <w:sz w:val="16"/>
                <w:szCs w:val="16"/>
                <w:color w:val="0075A8"/>
              </w:rPr>
              <w:t>(10)</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​​1,095,060​</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​14,771</w:t>
            </w:r>
            <w:r>
              <w:rPr>
                <w:rFonts w:ascii="Arial" w:cs="Arial" w:eastAsia="Arial" w:hAnsi="Arial"/>
                <w:sz w:val="16"/>
                <w:szCs w:val="16"/>
                <w:color w:val="0075A8"/>
              </w:rPr>
              <w:t>(5)</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​​1,460,113​</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​17,706</w:t>
            </w:r>
            <w:r>
              <w:rPr>
                <w:rFonts w:ascii="Arial" w:cs="Arial" w:eastAsia="Arial" w:hAnsi="Arial"/>
                <w:sz w:val="16"/>
                <w:szCs w:val="16"/>
                <w:color w:val="0075A8"/>
              </w:rPr>
              <w:t>(6)</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​​1,750,238​</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94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center"/>
              <w:spacing w:after="0"/>
              <w:rPr>
                <w:sz w:val="20"/>
                <w:szCs w:val="20"/>
                <w:color w:val="auto"/>
              </w:rPr>
            </w:pPr>
            <w:r>
              <w:rPr>
                <w:rFonts w:ascii="Arial" w:cs="Arial" w:eastAsia="Arial" w:hAnsi="Arial"/>
                <w:sz w:val="16"/>
                <w:szCs w:val="16"/>
                <w:color w:val="auto"/>
              </w:rPr>
              <w:t>​ 3,360</w:t>
            </w:r>
            <w:r>
              <w:rPr>
                <w:rFonts w:ascii="Arial" w:cs="Arial" w:eastAsia="Arial" w:hAnsi="Arial"/>
                <w:sz w:val="16"/>
                <w:szCs w:val="16"/>
                <w:color w:val="0075A8"/>
              </w:rPr>
              <w:t>(7)</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80" w:type="dxa"/>
            <w:vAlign w:val="bottom"/>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332,136​</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-5595620</wp:posOffset>
            </wp:positionV>
            <wp:extent cx="5974715" cy="5623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74715" cy="5623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FFFFFF"/>
        </w:rPr>
        <w:t>​</w:t>
      </w:r>
    </w:p>
    <w:p>
      <w:pPr>
        <w:spacing w:after="0"/>
        <w:rPr>
          <w:sz w:val="20"/>
          <w:szCs w:val="20"/>
          <w:color w:val="auto"/>
        </w:rPr>
      </w:pPr>
      <w:r>
        <w:rPr>
          <w:rFonts w:ascii="Arial" w:cs="Arial" w:eastAsia="Arial" w:hAnsi="Arial"/>
          <w:sz w:val="16"/>
          <w:szCs w:val="16"/>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9" w:lineRule="exact"/>
        <w:rPr>
          <w:sz w:val="20"/>
          <w:szCs w:val="20"/>
          <w:color w:val="auto"/>
        </w:rPr>
      </w:pPr>
    </w:p>
    <w:p>
      <w:pPr>
        <w:sectPr>
          <w:pgSz w:w="11900" w:h="16838" w:orient="portrait"/>
          <w:cols w:equalWidth="0" w:num="2">
            <w:col w:w="9800" w:space="200"/>
            <w:col w:w="100"/>
          </w:cols>
          <w:pgMar w:left="580" w:top="97" w:right="1219" w:bottom="1440" w:gutter="0" w:footer="0" w:header="0"/>
          <w:type w:val="continuous"/>
        </w:sectPr>
      </w:pPr>
    </w:p>
    <w:p>
      <w:pPr>
        <w:ind w:left="1080" w:right="520" w:hanging="354"/>
        <w:spacing w:after="0" w:line="281" w:lineRule="auto"/>
        <w:tabs>
          <w:tab w:leader="none" w:pos="108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 price of  $98.85 per share, which was the closing sale price of the Company’s common stock on the Nasdaq Global Select Market on September 27, 2024.</w:t>
      </w:r>
    </w:p>
    <w:p>
      <w:pPr>
        <w:spacing w:after="0" w:line="1" w:lineRule="exact"/>
        <w:rPr>
          <w:rFonts w:ascii="Arial" w:cs="Arial" w:eastAsia="Arial" w:hAnsi="Arial"/>
          <w:sz w:val="16"/>
          <w:szCs w:val="16"/>
          <w:i w:val="1"/>
          <w:iCs w:val="1"/>
          <w:color w:val="auto"/>
        </w:rPr>
      </w:pPr>
    </w:p>
    <w:p>
      <w:pPr>
        <w:jc w:val="both"/>
        <w:ind w:left="1080" w:right="220" w:hanging="354"/>
        <w:spacing w:after="0" w:line="274" w:lineRule="auto"/>
        <w:tabs>
          <w:tab w:leader="none" w:pos="108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11, 2020, under the Company’s Second Amended and Restated 2015 Long-Term Incentive Plan. The RSU award vested at a rate of 25% per year on each anniversary of the grant date until it became fully vested on November 11, 2024.</w:t>
      </w:r>
    </w:p>
    <w:p>
      <w:pPr>
        <w:spacing w:after="0" w:line="32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200" w:hanging="354"/>
        <w:spacing w:after="0" w:line="264"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10, 2021, under the Company’s Second Amended and Restated 2015 Long-Term Incentive Plan. The RSU award vests at a rate of 25% per year on each anniversary of the grant date through November 10, 2025.</w:t>
      </w:r>
    </w:p>
    <w:p>
      <w:pPr>
        <w:jc w:val="both"/>
        <w:ind w:left="1080" w:right="300" w:hanging="354"/>
        <w:spacing w:after="0" w:line="262"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8, 2022, under the Company’s Second Amended and Restated 2015 Long-Term Incentive Plan. The RSU award vests at a rate of 25% per year on each anniversary of the grant date through November 8, 2026.</w:t>
      </w:r>
    </w:p>
    <w:p>
      <w:pPr>
        <w:spacing w:after="0" w:line="1" w:lineRule="exact"/>
        <w:rPr>
          <w:rFonts w:ascii="Arial" w:cs="Arial" w:eastAsia="Arial" w:hAnsi="Arial"/>
          <w:sz w:val="16"/>
          <w:szCs w:val="16"/>
          <w:i w:val="1"/>
          <w:iCs w:val="1"/>
          <w:color w:val="auto"/>
        </w:rPr>
      </w:pPr>
    </w:p>
    <w:p>
      <w:pPr>
        <w:jc w:val="both"/>
        <w:ind w:left="1080" w:right="300" w:hanging="354"/>
        <w:spacing w:after="0" w:line="264"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7, 2023, under the Company’s Second Amended and Restated 2015 Long-Term Incentive Plan. The RSU award vests at a rate of 25% per year on each anniversary of the grant date through November 7, 2027.</w:t>
      </w:r>
    </w:p>
    <w:p>
      <w:pPr>
        <w:ind w:left="1080" w:right="100" w:hanging="354"/>
        <w:spacing w:after="0" w:line="259"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2023 PSAs (“FY23 PSAs”) (awarded on November 8, 2022) with respect to the emerging revenue growth metric measured over a one-year performance period consisting of the Company’s fiscal year 2023, assuming achievement at the “maximum” level of performance, one hundred percent (100%) of which were issued on November 8, 2024. Also represents shares issuable under the FY23 PSAs with respect to the EBITDA margin percentile ranking metric measured over a two-year performance period consisting of the Company’s fiscal years 2023 and 2024, assuming achievement with respect to such metric of 125% of the target level of performance, one hundred percent (100%) of which were issued on November 8, 2024.</w:t>
      </w:r>
    </w:p>
    <w:p>
      <w:pPr>
        <w:spacing w:after="0" w:line="4" w:lineRule="exact"/>
        <w:rPr>
          <w:rFonts w:ascii="Arial" w:cs="Arial" w:eastAsia="Arial" w:hAnsi="Arial"/>
          <w:sz w:val="16"/>
          <w:szCs w:val="16"/>
          <w:i w:val="1"/>
          <w:iCs w:val="1"/>
          <w:color w:val="auto"/>
        </w:rPr>
      </w:pPr>
    </w:p>
    <w:p>
      <w:pPr>
        <w:ind w:left="1080" w:right="100" w:hanging="354"/>
        <w:spacing w:after="0" w:line="261"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FY24 PSAs (awarded on November 7, 2023, as described above under “Components of Compensation — Long-Term Stock-Based Compensation”) with respect to the emerging revenue growth metric measured over a one-year performance period consisting of the Company’s fiscal year 2024, assuming achievement at 61% of the “target” level of performance. One hundred percent (100%) of the shares to be earned under the FY24 PSAs with respect to this metric will be issued on November 7, 2025, to the extent earned and provided that the executive meets the continued employment condition.</w:t>
      </w:r>
    </w:p>
    <w:p>
      <w:pPr>
        <w:ind w:left="1080" w:right="60" w:hanging="354"/>
        <w:spacing w:after="0" w:line="264"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2022 PSAs (the “FY22 PSAs”) with respect to the TSR percentile ranking metric, assuming achievement at the “threshold” level of performance. This portion of the FY22 PSAs, which was subject to a three-year performance period, would have been issued on November 10, 2024, had it been achieved.</w:t>
      </w:r>
    </w:p>
    <w:p>
      <w:pPr>
        <w:ind w:left="1080" w:right="120" w:hanging="354"/>
        <w:spacing w:after="0" w:line="263"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FY23 PSAs with respect to the TSR percentile ranking metric, assuming achievement at the “target” level of performance. This portion of the FY23 PSAs, which is subject to a three-year performance period, will be issued on November 8, 2025, to the extent earned and provided that the executive meets the continued employment condition.</w:t>
      </w:r>
    </w:p>
    <w:p>
      <w:pPr>
        <w:ind w:left="1080" w:right="100" w:hanging="354"/>
        <w:spacing w:after="0" w:line="262"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FY24 PSAs (awarded on November 7, 2023, as described above under “Components of Compensation — Long-Term Stock-Based Compensation”) with respect to the TSR percentile ranking metric, assuming achievement at the “threshold” level of performance. This portion of the FY24 PSAs, which is subject to a three-year performance period, will be issued on November 7, 2026, to the extent earned and provided that the executive meets the continued employment condition. Also represents shares issuable under the FY24 PSAs with respect to the EBITDA margin percentile ranking metric measured over a two-year performance period consisting of the Company’s fiscal years 2024 and 2025, assuming achievement at the “target” level of performance. This portion of the FY24 PSAs will be issued on November 7, 2025, to the extent earned and provided that the executive meets the continued employment condition.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Option Exercises and Stock Vested Table</w:t>
      </w:r>
    </w:p>
    <w:p>
      <w:pPr>
        <w:spacing w:after="0" w:line="123" w:lineRule="exact"/>
        <w:rPr>
          <w:sz w:val="20"/>
          <w:szCs w:val="20"/>
          <w:color w:val="auto"/>
        </w:rPr>
      </w:pPr>
    </w:p>
    <w:p>
      <w:pPr>
        <w:ind w:left="660" w:right="500"/>
        <w:spacing w:after="0" w:line="271" w:lineRule="auto"/>
        <w:rPr>
          <w:sz w:val="20"/>
          <w:szCs w:val="20"/>
          <w:color w:val="auto"/>
        </w:rPr>
      </w:pPr>
      <w:r>
        <w:rPr>
          <w:rFonts w:ascii="Arial" w:cs="Arial" w:eastAsia="Arial" w:hAnsi="Arial"/>
          <w:sz w:val="20"/>
          <w:szCs w:val="20"/>
          <w:color w:val="auto"/>
        </w:rPr>
        <w:t>The following table summarizes the Named Executive Officers’ option exercises and stock award vesting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146685</wp:posOffset>
            </wp:positionV>
            <wp:extent cx="5974715" cy="7454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74715" cy="745490"/>
                    </a:xfrm>
                    <a:prstGeom prst="rect">
                      <a:avLst/>
                    </a:prstGeom>
                    <a:noFill/>
                  </pic:spPr>
                </pic:pic>
              </a:graphicData>
            </a:graphic>
          </wp:anchor>
        </w:drawing>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83"/>
        </w:trPr>
        <w:tc>
          <w:tcPr>
            <w:tcW w:w="3160" w:type="dxa"/>
            <w:vAlign w:val="bottom"/>
          </w:tcPr>
          <w:p>
            <w:pPr>
              <w:jc w:val="right"/>
              <w:ind w:right="2996"/>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FFFFFF"/>
              </w:rPr>
              <w:t>​</w:t>
            </w:r>
          </w:p>
        </w:tc>
        <w:tc>
          <w:tcPr>
            <w:tcW w:w="22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gridSpan w:val="6"/>
          </w:tcPr>
          <w:p>
            <w:pPr>
              <w:jc w:val="right"/>
              <w:ind w:right="576"/>
              <w:spacing w:after="0"/>
              <w:rPr>
                <w:sz w:val="20"/>
                <w:szCs w:val="20"/>
                <w:color w:val="auto"/>
              </w:rPr>
            </w:pPr>
            <w:r>
              <w:rPr>
                <w:rFonts w:ascii="Arial" w:cs="Arial" w:eastAsia="Arial" w:hAnsi="Arial"/>
                <w:sz w:val="18"/>
                <w:szCs w:val="18"/>
                <w:b w:val="1"/>
                <w:bCs w:val="1"/>
                <w:color w:val="FFFFFF"/>
              </w:rPr>
              <w:t>Option Awards</w:t>
            </w:r>
          </w:p>
        </w:tc>
        <w:tc>
          <w:tcPr>
            <w:tcW w:w="22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ind w:left="160"/>
              <w:spacing w:after="0"/>
              <w:rPr>
                <w:sz w:val="20"/>
                <w:szCs w:val="20"/>
                <w:color w:val="auto"/>
              </w:rPr>
            </w:pPr>
            <w:r>
              <w:rPr>
                <w:rFonts w:ascii="Arial" w:cs="Arial" w:eastAsia="Arial" w:hAnsi="Arial"/>
                <w:sz w:val="18"/>
                <w:szCs w:val="18"/>
                <w:b w:val="1"/>
                <w:bCs w:val="1"/>
                <w:color w:val="FFFFFF"/>
              </w:rPr>
              <w:t>​</w:t>
            </w:r>
          </w:p>
        </w:tc>
        <w:tc>
          <w:tcPr>
            <w:tcW w:w="100" w:type="dxa"/>
            <w:vAlign w:val="bottom"/>
          </w:tcPr>
          <w:p>
            <w:pPr>
              <w:spacing w:after="0"/>
              <w:rPr>
                <w:sz w:val="24"/>
                <w:szCs w:val="24"/>
                <w:color w:val="auto"/>
              </w:rPr>
            </w:pPr>
          </w:p>
        </w:tc>
        <w:tc>
          <w:tcPr>
            <w:tcW w:w="2520" w:type="dxa"/>
            <w:vAlign w:val="bottom"/>
            <w:gridSpan w:val="5"/>
          </w:tcPr>
          <w:p>
            <w:pPr>
              <w:jc w:val="right"/>
              <w:ind w:right="595"/>
              <w:spacing w:after="0"/>
              <w:rPr>
                <w:sz w:val="20"/>
                <w:szCs w:val="20"/>
                <w:color w:val="auto"/>
              </w:rPr>
            </w:pPr>
            <w:r>
              <w:rPr>
                <w:rFonts w:ascii="Arial" w:cs="Arial" w:eastAsia="Arial" w:hAnsi="Arial"/>
                <w:sz w:val="18"/>
                <w:szCs w:val="18"/>
                <w:b w:val="1"/>
                <w:bCs w:val="1"/>
                <w:color w:val="FFFFFF"/>
              </w:rPr>
              <w:t>Stock Awards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40" w:type="dxa"/>
            <w:vAlign w:val="bottom"/>
            <w:tcBorders>
              <w:top w:val="single" w:sz="8" w:color="0075A8"/>
            </w:tcBorders>
          </w:tcPr>
          <w:p>
            <w:pPr>
              <w:spacing w:after="0"/>
              <w:rPr>
                <w:sz w:val="18"/>
                <w:szCs w:val="18"/>
                <w:color w:val="auto"/>
              </w:rPr>
            </w:pPr>
          </w:p>
        </w:tc>
        <w:tc>
          <w:tcPr>
            <w:tcW w:w="220" w:type="dxa"/>
            <w:vAlign w:val="bottom"/>
            <w:tcBorders>
              <w:top w:val="single" w:sz="8" w:color="FEFEFE"/>
            </w:tcBorders>
          </w:tcPr>
          <w:p>
            <w:pPr>
              <w:spacing w:after="0"/>
              <w:rPr>
                <w:sz w:val="18"/>
                <w:szCs w:val="18"/>
                <w:color w:val="auto"/>
              </w:rPr>
            </w:pPr>
          </w:p>
        </w:tc>
        <w:tc>
          <w:tcPr>
            <w:tcW w:w="80" w:type="dxa"/>
            <w:vAlign w:val="bottom"/>
            <w:tcBorders>
              <w:top w:val="single" w:sz="8" w:color="FEFEFE"/>
            </w:tcBorders>
          </w:tcPr>
          <w:p>
            <w:pPr>
              <w:spacing w:after="0"/>
              <w:rPr>
                <w:sz w:val="18"/>
                <w:szCs w:val="18"/>
                <w:color w:val="auto"/>
              </w:rPr>
            </w:pPr>
          </w:p>
        </w:tc>
        <w:tc>
          <w:tcPr>
            <w:tcW w:w="1020" w:type="dxa"/>
            <w:vAlign w:val="bottom"/>
            <w:tcBorders>
              <w:top w:val="single" w:sz="8" w:color="FEFEFE"/>
            </w:tcBorders>
            <w:gridSpan w:val="2"/>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220" w:type="dxa"/>
            <w:vAlign w:val="bottom"/>
            <w:tcBorders>
              <w:top w:val="single" w:sz="8" w:color="FEFEFE"/>
            </w:tcBorders>
          </w:tcPr>
          <w:p>
            <w:pPr>
              <w:spacing w:after="0"/>
              <w:rPr>
                <w:sz w:val="18"/>
                <w:szCs w:val="18"/>
                <w:color w:val="auto"/>
              </w:rPr>
            </w:pPr>
          </w:p>
        </w:tc>
        <w:tc>
          <w:tcPr>
            <w:tcW w:w="240" w:type="dxa"/>
            <w:vAlign w:val="bottom"/>
            <w:tcBorders>
              <w:top w:val="single" w:sz="8" w:color="FEFEFE"/>
            </w:tcBorders>
          </w:tcPr>
          <w:p>
            <w:pPr>
              <w:spacing w:after="0"/>
              <w:rPr>
                <w:sz w:val="18"/>
                <w:szCs w:val="18"/>
                <w:color w:val="auto"/>
              </w:rPr>
            </w:pPr>
          </w:p>
        </w:tc>
        <w:tc>
          <w:tcPr>
            <w:tcW w:w="120" w:type="dxa"/>
            <w:vAlign w:val="bottom"/>
            <w:tcBorders>
              <w:top w:val="single" w:sz="8" w:color="FEFEFE"/>
            </w:tcBorders>
          </w:tcPr>
          <w:p>
            <w:pPr>
              <w:spacing w:after="0"/>
              <w:rPr>
                <w:sz w:val="18"/>
                <w:szCs w:val="18"/>
                <w:color w:val="auto"/>
              </w:rPr>
            </w:pPr>
          </w:p>
        </w:tc>
        <w:tc>
          <w:tcPr>
            <w:tcW w:w="160" w:type="dxa"/>
            <w:vAlign w:val="bottom"/>
            <w:tcBorders>
              <w:top w:val="single" w:sz="8" w:color="FEFEFE"/>
            </w:tcBorders>
          </w:tcPr>
          <w:p>
            <w:pPr>
              <w:spacing w:after="0"/>
              <w:rPr>
                <w:sz w:val="18"/>
                <w:szCs w:val="18"/>
                <w:color w:val="auto"/>
              </w:rPr>
            </w:pPr>
          </w:p>
        </w:tc>
        <w:tc>
          <w:tcPr>
            <w:tcW w:w="780" w:type="dxa"/>
            <w:vAlign w:val="bottom"/>
            <w:tcBorders>
              <w:top w:val="single" w:sz="8" w:color="FEFEFE"/>
            </w:tcBorders>
          </w:tcPr>
          <w:p>
            <w:pPr>
              <w:jc w:val="center"/>
              <w:ind w:right="196"/>
              <w:spacing w:after="0"/>
              <w:rPr>
                <w:sz w:val="20"/>
                <w:szCs w:val="20"/>
                <w:color w:val="auto"/>
              </w:rPr>
            </w:pPr>
            <w:r>
              <w:rPr>
                <w:rFonts w:ascii="Arial" w:cs="Arial" w:eastAsia="Arial" w:hAnsi="Arial"/>
                <w:sz w:val="18"/>
                <w:szCs w:val="18"/>
                <w:b w:val="1"/>
                <w:bCs w:val="1"/>
                <w:color w:val="FFFFFF"/>
                <w:w w:val="95"/>
              </w:rPr>
              <w:t>Value</w:t>
            </w:r>
          </w:p>
        </w:tc>
        <w:tc>
          <w:tcPr>
            <w:tcW w:w="220" w:type="dxa"/>
            <w:vAlign w:val="bottom"/>
            <w:tcBorders>
              <w:top w:val="single" w:sz="8" w:color="FEFEFE"/>
            </w:tcBorders>
          </w:tcPr>
          <w:p>
            <w:pPr>
              <w:spacing w:after="0"/>
              <w:rPr>
                <w:sz w:val="18"/>
                <w:szCs w:val="18"/>
                <w:color w:val="auto"/>
              </w:rPr>
            </w:pPr>
          </w:p>
        </w:tc>
        <w:tc>
          <w:tcPr>
            <w:tcW w:w="240" w:type="dxa"/>
            <w:vAlign w:val="bottom"/>
            <w:tcBorders>
              <w:top w:val="single" w:sz="8" w:color="FEFEFE"/>
            </w:tcBorders>
          </w:tcPr>
          <w:p>
            <w:pPr>
              <w:spacing w:after="0"/>
              <w:rPr>
                <w:sz w:val="18"/>
                <w:szCs w:val="18"/>
                <w:color w:val="auto"/>
              </w:rPr>
            </w:pPr>
          </w:p>
        </w:tc>
        <w:tc>
          <w:tcPr>
            <w:tcW w:w="100" w:type="dxa"/>
            <w:vAlign w:val="bottom"/>
            <w:tcBorders>
              <w:top w:val="single" w:sz="8" w:color="FEFEFE"/>
            </w:tcBorders>
          </w:tcPr>
          <w:p>
            <w:pPr>
              <w:spacing w:after="0"/>
              <w:rPr>
                <w:sz w:val="18"/>
                <w:szCs w:val="18"/>
                <w:color w:val="auto"/>
              </w:rPr>
            </w:pPr>
          </w:p>
        </w:tc>
        <w:tc>
          <w:tcPr>
            <w:tcW w:w="1000" w:type="dxa"/>
            <w:vAlign w:val="bottom"/>
            <w:tcBorders>
              <w:top w:val="single" w:sz="8" w:color="FEFEFE"/>
            </w:tcBorders>
          </w:tcPr>
          <w:p>
            <w:pPr>
              <w:jc w:val="center"/>
              <w:spacing w:after="0"/>
              <w:rPr>
                <w:sz w:val="20"/>
                <w:szCs w:val="20"/>
                <w:color w:val="auto"/>
              </w:rPr>
            </w:pPr>
            <w:r>
              <w:rPr>
                <w:rFonts w:ascii="Arial" w:cs="Arial" w:eastAsia="Arial" w:hAnsi="Arial"/>
                <w:sz w:val="18"/>
                <w:szCs w:val="18"/>
                <w:b w:val="1"/>
                <w:bCs w:val="1"/>
                <w:color w:val="FFFFFF"/>
                <w:w w:val="97"/>
              </w:rPr>
              <w:t>Number of</w:t>
            </w:r>
          </w:p>
        </w:tc>
        <w:tc>
          <w:tcPr>
            <w:tcW w:w="240" w:type="dxa"/>
            <w:vAlign w:val="bottom"/>
            <w:tcBorders>
              <w:top w:val="single" w:sz="8" w:color="FEFEFE"/>
            </w:tcBorders>
          </w:tcPr>
          <w:p>
            <w:pPr>
              <w:spacing w:after="0"/>
              <w:rPr>
                <w:sz w:val="18"/>
                <w:szCs w:val="18"/>
                <w:color w:val="auto"/>
              </w:rPr>
            </w:pPr>
          </w:p>
        </w:tc>
        <w:tc>
          <w:tcPr>
            <w:tcW w:w="240" w:type="dxa"/>
            <w:vAlign w:val="bottom"/>
            <w:tcBorders>
              <w:top w:val="single" w:sz="8" w:color="FEFEFE"/>
            </w:tcBorders>
          </w:tcPr>
          <w:p>
            <w:pPr>
              <w:spacing w:after="0"/>
              <w:rPr>
                <w:sz w:val="18"/>
                <w:szCs w:val="18"/>
                <w:color w:val="auto"/>
              </w:rPr>
            </w:pPr>
          </w:p>
        </w:tc>
        <w:tc>
          <w:tcPr>
            <w:tcW w:w="120" w:type="dxa"/>
            <w:vAlign w:val="bottom"/>
            <w:tcBorders>
              <w:top w:val="single" w:sz="8" w:color="FEFEFE"/>
            </w:tcBorders>
          </w:tcPr>
          <w:p>
            <w:pPr>
              <w:spacing w:after="0"/>
              <w:rPr>
                <w:sz w:val="18"/>
                <w:szCs w:val="18"/>
                <w:color w:val="auto"/>
              </w:rPr>
            </w:pPr>
          </w:p>
        </w:tc>
        <w:tc>
          <w:tcPr>
            <w:tcW w:w="920" w:type="dxa"/>
            <w:vAlign w:val="bottom"/>
            <w:tcBorders>
              <w:top w:val="single" w:sz="8" w:color="FEFEFE"/>
            </w:tcBorders>
          </w:tcPr>
          <w:p>
            <w:pPr>
              <w:jc w:val="center"/>
              <w:ind w:right="15"/>
              <w:spacing w:after="0"/>
              <w:rPr>
                <w:sz w:val="20"/>
                <w:szCs w:val="20"/>
                <w:color w:val="auto"/>
              </w:rPr>
            </w:pPr>
            <w:r>
              <w:rPr>
                <w:rFonts w:ascii="Arial" w:cs="Arial" w:eastAsia="Arial" w:hAnsi="Arial"/>
                <w:sz w:val="18"/>
                <w:szCs w:val="18"/>
                <w:b w:val="1"/>
                <w:bCs w:val="1"/>
                <w:color w:val="FFFFFF"/>
                <w:w w:val="95"/>
              </w:rPr>
              <w:t>Value</w:t>
            </w:r>
          </w:p>
        </w:tc>
        <w:tc>
          <w:tcPr>
            <w:tcW w:w="80" w:type="dxa"/>
            <w:vAlign w:val="bottom"/>
            <w:tcBorders>
              <w:top w:val="single" w:sz="8" w:color="FEFEFE"/>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6"/>
              </w:rPr>
              <w:t>Shares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FFFFFF"/>
                <w:w w:val="97"/>
              </w:rPr>
              <w:t>Realized on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9"/>
              </w:rPr>
              <w:t>Shares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FFFFFF"/>
                <w:w w:val="97"/>
              </w:rPr>
              <w:t>Realized 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FFFFFF"/>
                <w:w w:val="97"/>
              </w:rPr>
              <w:t>Acquired 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
              <w:spacing w:after="0" w:line="202" w:lineRule="exact"/>
              <w:rPr>
                <w:sz w:val="20"/>
                <w:szCs w:val="20"/>
                <w:color w:val="auto"/>
              </w:rPr>
            </w:pPr>
            <w:r>
              <w:rPr>
                <w:rFonts w:ascii="Arial" w:cs="Arial" w:eastAsia="Arial" w:hAnsi="Arial"/>
                <w:sz w:val="18"/>
                <w:szCs w:val="18"/>
                <w:b w:val="1"/>
                <w:bCs w:val="1"/>
                <w:color w:val="FFFFFF"/>
                <w:w w:val="97"/>
              </w:rPr>
              <w:t>Exercise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FFFFFF"/>
                <w:w w:val="98"/>
              </w:rPr>
              <w:t>Acquired on</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
              <w:spacing w:after="0" w:line="202" w:lineRule="exact"/>
              <w:rPr>
                <w:sz w:val="20"/>
                <w:szCs w:val="20"/>
                <w:color w:val="auto"/>
              </w:rPr>
            </w:pPr>
            <w:r>
              <w:rPr>
                <w:rFonts w:ascii="Arial" w:cs="Arial" w:eastAsia="Arial" w:hAnsi="Arial"/>
                <w:sz w:val="18"/>
                <w:szCs w:val="18"/>
                <w:b w:val="1"/>
                <w:bCs w:val="1"/>
                <w:color w:val="FFFFFF"/>
                <w:w w:val="95"/>
              </w:rPr>
              <w:t>Vesting</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160" w:type="dxa"/>
            <w:vAlign w:val="bottom"/>
          </w:tcPr>
          <w:p>
            <w:pPr>
              <w:ind w:left="20"/>
              <w:spacing w:after="0"/>
              <w:rPr>
                <w:sz w:val="20"/>
                <w:szCs w:val="20"/>
                <w:color w:val="auto"/>
              </w:rPr>
            </w:pPr>
            <w:r>
              <w:rPr>
                <w:rFonts w:ascii="Arial" w:cs="Arial" w:eastAsia="Arial" w:hAnsi="Arial"/>
                <w:sz w:val="18"/>
                <w:szCs w:val="18"/>
                <w:b w:val="1"/>
                <w:bCs w:val="1"/>
                <w:color w:val="FFFFFF"/>
              </w:rPr>
              <w:t>​Name</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FFFFFF"/>
              </w:rPr>
              <w:t>​</w:t>
            </w:r>
          </w:p>
        </w:tc>
        <w:tc>
          <w:tcPr>
            <w:tcW w:w="22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8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6"/>
              </w:rPr>
              <w:t>Exercise (#)</w:t>
            </w:r>
          </w:p>
        </w:tc>
        <w:tc>
          <w:tcPr>
            <w:tcW w:w="22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ind w:left="160"/>
              <w:spacing w:after="0"/>
              <w:rPr>
                <w:sz w:val="20"/>
                <w:szCs w:val="20"/>
                <w:color w:val="auto"/>
              </w:rPr>
            </w:pPr>
            <w:r>
              <w:rPr>
                <w:rFonts w:ascii="Arial" w:cs="Arial" w:eastAsia="Arial" w:hAnsi="Arial"/>
                <w:sz w:val="18"/>
                <w:szCs w:val="18"/>
                <w:b w:val="1"/>
                <w:bCs w:val="1"/>
                <w:color w:val="FFFFFF"/>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center"/>
              <w:ind w:right="136"/>
              <w:spacing w:after="0"/>
              <w:rPr>
                <w:sz w:val="20"/>
                <w:szCs w:val="20"/>
                <w:color w:val="auto"/>
              </w:rPr>
            </w:pPr>
            <w:r>
              <w:rPr>
                <w:rFonts w:ascii="Arial" w:cs="Arial" w:eastAsia="Arial" w:hAnsi="Arial"/>
                <w:sz w:val="18"/>
                <w:szCs w:val="18"/>
                <w:b w:val="1"/>
                <w:bCs w:val="1"/>
                <w:color w:val="FFFFFF"/>
                <w:w w:val="99"/>
              </w:rPr>
              <w:t>($)(1)</w:t>
            </w:r>
          </w:p>
        </w:tc>
        <w:tc>
          <w:tcPr>
            <w:tcW w:w="22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ind w:left="160"/>
              <w:spacing w:after="0"/>
              <w:rPr>
                <w:sz w:val="20"/>
                <w:szCs w:val="20"/>
                <w:color w:val="auto"/>
              </w:rPr>
            </w:pPr>
            <w:r>
              <w:rPr>
                <w:rFonts w:ascii="Arial" w:cs="Arial" w:eastAsia="Arial" w:hAnsi="Arial"/>
                <w:sz w:val="18"/>
                <w:szCs w:val="18"/>
                <w:b w:val="1"/>
                <w:bCs w:val="1"/>
                <w:color w:val="FFFFFF"/>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FFFFFF"/>
                <w:w w:val="97"/>
              </w:rPr>
              <w:t>Vesting (#)</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FFFFFF"/>
                <w:w w:val="95"/>
              </w:rPr>
              <w:t>($)(2)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24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80,117​</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7,172,834​</w:t>
            </w: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160" w:type="dxa"/>
            <w:vAlign w:val="bottom"/>
          </w:tcPr>
          <w:p>
            <w:pPr>
              <w:jc w:val="right"/>
              <w:ind w:right="2996"/>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24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37"/>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12,770​</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7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157,227​</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24,828​</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2,223,633​</w:t>
            </w: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160" w:type="dxa"/>
            <w:vAlign w:val="bottom"/>
          </w:tcPr>
          <w:p>
            <w:pPr>
              <w:jc w:val="right"/>
              <w:ind w:right="2996"/>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Arial" w:cs="Arial" w:eastAsia="Arial" w:hAnsi="Arial"/>
                <w:sz w:val="16"/>
                <w:szCs w:val="16"/>
                <w:color w:val="auto"/>
              </w:rPr>
              <w:t>Reza Kasnavi</w:t>
            </w:r>
          </w:p>
        </w:tc>
        <w:tc>
          <w:tcPr>
            <w:tcW w:w="24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24,060​</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2,154,078​</w:t>
            </w: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160" w:type="dxa"/>
            <w:vAlign w:val="bottom"/>
          </w:tcPr>
          <w:p>
            <w:pPr>
              <w:jc w:val="right"/>
              <w:ind w:right="2996"/>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Arial" w:cs="Arial" w:eastAsia="Arial" w:hAnsi="Arial"/>
                <w:sz w:val="16"/>
                <w:szCs w:val="16"/>
                <w:color w:val="auto"/>
              </w:rPr>
              <w:t>Carlos S. Bori</w:t>
            </w:r>
          </w:p>
        </w:tc>
        <w:tc>
          <w:tcPr>
            <w:tcW w:w="24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23,782​</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2,129,361​</w:t>
            </w: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160" w:type="dxa"/>
            <w:vAlign w:val="bottom"/>
          </w:tcPr>
          <w:p>
            <w:pPr>
              <w:jc w:val="right"/>
              <w:ind w:right="2996"/>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6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2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60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78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35"/>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20,183​</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1,807,159​</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-830580</wp:posOffset>
            </wp:positionV>
            <wp:extent cx="5974715"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-504825</wp:posOffset>
            </wp:positionV>
            <wp:extent cx="597471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wp:posOffset>
            </wp:positionV>
            <wp:extent cx="5974715"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103" w:lineRule="exact"/>
        <w:rPr>
          <w:sz w:val="20"/>
          <w:szCs w:val="20"/>
          <w:color w:val="auto"/>
        </w:rPr>
      </w:pPr>
    </w:p>
    <w:p>
      <w:pPr>
        <w:ind w:left="1080" w:right="40" w:hanging="354"/>
        <w:spacing w:after="0" w:line="264"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is based on the amount by which the market price of a share of the Company’s common stock at the time of exercise exceeded the applicable exercise price per share of the exercised option.</w:t>
      </w:r>
    </w:p>
    <w:p>
      <w:pPr>
        <w:jc w:val="both"/>
        <w:ind w:left="1080" w:right="500" w:hanging="354"/>
        <w:spacing w:after="0" w:line="274"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30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5" w:lineRule="exact"/>
        <w:rPr>
          <w:sz w:val="20"/>
          <w:szCs w:val="20"/>
          <w:color w:val="auto"/>
        </w:rPr>
      </w:pPr>
    </w:p>
    <w:p>
      <w:pPr>
        <w:ind w:left="660" w:right="280"/>
        <w:spacing w:after="0" w:line="290" w:lineRule="auto"/>
        <w:rPr>
          <w:sz w:val="20"/>
          <w:szCs w:val="20"/>
          <w:color w:val="auto"/>
        </w:rPr>
      </w:pPr>
      <w:r>
        <w:rPr>
          <w:rFonts w:ascii="Arial" w:cs="Arial" w:eastAsia="Arial" w:hAnsi="Arial"/>
          <w:sz w:val="23"/>
          <w:szCs w:val="23"/>
          <w:b w:val="1"/>
          <w:bCs w:val="1"/>
          <w:i w:val="1"/>
          <w:iCs w:val="1"/>
          <w:color w:val="auto"/>
        </w:rPr>
        <w:t>Potential Payments Upon Termination or Change in Control</w:t>
      </w:r>
    </w:p>
    <w:p>
      <w:pPr>
        <w:ind w:left="660"/>
        <w:spacing w:after="0"/>
        <w:rPr>
          <w:sz w:val="20"/>
          <w:szCs w:val="20"/>
          <w:color w:val="auto"/>
        </w:rPr>
      </w:pPr>
      <w:r>
        <w:rPr>
          <w:rFonts w:ascii="Arial" w:cs="Arial" w:eastAsia="Arial" w:hAnsi="Arial"/>
          <w:sz w:val="22"/>
          <w:szCs w:val="22"/>
          <w:i w:val="1"/>
          <w:iCs w:val="1"/>
          <w:color w:val="0075A8"/>
        </w:rPr>
        <w:t>Mr. Griffin</w:t>
      </w:r>
    </w:p>
    <w:p>
      <w:pPr>
        <w:spacing w:after="0" w:line="143"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On May 10, 2023, in connection with the expiration, in accordance with its terms, of the Amended and Restated Change in Control / Severance Agreement between the Company and Mr. Griffin, the Company entered into a Second Amended and Restated Change in Control / Severance Agreement with Mr. Griffin (the “Griffin Agreement”). The Griffin Agreement sets out severance benefits that become payable if, while employed by the Company, other than following a change in control, Mr. Griffin either</w:t>
      </w:r>
    </w:p>
    <w:p>
      <w:pPr>
        <w:spacing w:after="0" w:line="8" w:lineRule="exact"/>
        <w:rPr>
          <w:sz w:val="20"/>
          <w:szCs w:val="20"/>
          <w:color w:val="auto"/>
        </w:rPr>
      </w:pPr>
    </w:p>
    <w:p>
      <w:pPr>
        <w:ind w:left="660" w:right="20" w:hanging="6"/>
        <w:spacing w:after="0" w:line="267" w:lineRule="auto"/>
        <w:tabs>
          <w:tab w:leader="none" w:pos="883" w:val="left"/>
        </w:tabs>
        <w:numPr>
          <w:ilvl w:val="0"/>
          <w:numId w:val="65"/>
        </w:numPr>
        <w:rPr>
          <w:rFonts w:ascii="Arial" w:cs="Arial" w:eastAsia="Arial" w:hAnsi="Arial"/>
          <w:sz w:val="19"/>
          <w:szCs w:val="19"/>
          <w:color w:val="auto"/>
        </w:rPr>
      </w:pPr>
      <w:r>
        <w:rPr>
          <w:rFonts w:ascii="Arial" w:cs="Arial" w:eastAsia="Arial" w:hAnsi="Arial"/>
          <w:sz w:val="19"/>
          <w:szCs w:val="19"/>
          <w:color w:val="auto"/>
        </w:rPr>
        <w:t>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(including awards of restricted stock units), and the right to receive the number of performance shares under outstanding PSAs that are earned but unissued and that he would have earned had he remained employed through the end of the applicable performance period; and (iii) provided he is eligible for and timely elects to continue receiving group medical coverage (and provided the provision of such payments will not violate any applicable nondiscrimination laws),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200" w:lineRule="exact"/>
        <w:rPr>
          <w:sz w:val="20"/>
          <w:szCs w:val="20"/>
          <w:color w:val="auto"/>
        </w:rPr>
      </w:pPr>
    </w:p>
    <w:p>
      <w:pPr>
        <w:spacing w:after="0" w:line="246"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120"/>
        <w:spacing w:after="0" w:line="259" w:lineRule="auto"/>
        <w:rPr>
          <w:sz w:val="20"/>
          <w:szCs w:val="20"/>
          <w:color w:val="auto"/>
        </w:rPr>
      </w:pPr>
      <w:r>
        <w:rPr>
          <w:rFonts w:ascii="Arial" w:cs="Arial" w:eastAsia="Arial" w:hAnsi="Arial"/>
          <w:sz w:val="19"/>
          <w:szCs w:val="19"/>
          <w:color w:val="auto"/>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w:t>
      </w:r>
    </w:p>
    <w:p>
      <w:pPr>
        <w:spacing w:after="0" w:line="2" w:lineRule="exact"/>
        <w:rPr>
          <w:sz w:val="20"/>
          <w:szCs w:val="20"/>
          <w:color w:val="auto"/>
        </w:rPr>
      </w:pPr>
    </w:p>
    <w:p>
      <w:pPr>
        <w:ind w:left="3" w:right="260" w:hanging="3"/>
        <w:spacing w:after="0" w:line="233" w:lineRule="auto"/>
        <w:tabs>
          <w:tab w:leader="none" w:pos="226"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lump-sum payment equal to two and one-half (2</w:t>
      </w:r>
      <w:r>
        <w:rPr>
          <w:rFonts w:ascii="Arial" w:cs="Arial" w:eastAsia="Arial" w:hAnsi="Arial"/>
          <w:sz w:val="26"/>
          <w:szCs w:val="26"/>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times the sum of (A) his annual base salary immediately prior to the change in control, and</w:t>
      </w:r>
    </w:p>
    <w:p>
      <w:pPr>
        <w:spacing w:after="0" w:line="1" w:lineRule="exact"/>
        <w:rPr>
          <w:rFonts w:ascii="Arial" w:cs="Arial" w:eastAsia="Arial" w:hAnsi="Arial"/>
          <w:sz w:val="19"/>
          <w:szCs w:val="19"/>
          <w:color w:val="auto"/>
        </w:rPr>
      </w:pPr>
    </w:p>
    <w:p>
      <w:pPr>
        <w:ind w:left="3"/>
        <w:spacing w:after="0"/>
        <w:rPr>
          <w:rFonts w:ascii="Arial" w:cs="Arial" w:eastAsia="Arial" w:hAnsi="Arial"/>
          <w:sz w:val="19"/>
          <w:szCs w:val="19"/>
          <w:color w:val="auto"/>
        </w:rPr>
      </w:pPr>
      <w:r>
        <w:rPr>
          <w:rFonts w:ascii="Arial" w:cs="Arial" w:eastAsia="Arial" w:hAnsi="Arial"/>
          <w:sz w:val="20"/>
          <w:szCs w:val="20"/>
          <w:color w:val="auto"/>
        </w:rPr>
        <w:t>(B) the CIC Bonus Amount (as defined below);</w:t>
      </w:r>
    </w:p>
    <w:p>
      <w:pPr>
        <w:ind w:left="3" w:right="80" w:hanging="3"/>
        <w:spacing w:after="0" w:line="256" w:lineRule="auto"/>
        <w:tabs>
          <w:tab w:leader="none" w:pos="268"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w:t>
      </w:r>
    </w:p>
    <w:p>
      <w:pPr>
        <w:spacing w:after="0" w:line="4" w:lineRule="exact"/>
        <w:rPr>
          <w:rFonts w:ascii="Arial" w:cs="Arial" w:eastAsia="Arial" w:hAnsi="Arial"/>
          <w:sz w:val="19"/>
          <w:szCs w:val="19"/>
          <w:color w:val="auto"/>
        </w:rPr>
      </w:pPr>
    </w:p>
    <w:p>
      <w:pPr>
        <w:ind w:left="3" w:right="360"/>
        <w:spacing w:after="0" w:line="253" w:lineRule="auto"/>
        <w:rPr>
          <w:rFonts w:ascii="Arial" w:cs="Arial" w:eastAsia="Arial" w:hAnsi="Arial"/>
          <w:sz w:val="19"/>
          <w:szCs w:val="19"/>
          <w:color w:val="auto"/>
        </w:rPr>
      </w:pPr>
      <w:r>
        <w:rPr>
          <w:rFonts w:ascii="Arial" w:cs="Arial" w:eastAsia="Arial" w:hAnsi="Arial"/>
          <w:sz w:val="20"/>
          <w:szCs w:val="20"/>
          <w:color w:val="auto"/>
        </w:rPr>
        <w:t>(y) the target annual short-term cash incentive award for the year in which the change of control occurs.</w:t>
      </w:r>
    </w:p>
    <w:p>
      <w:pPr>
        <w:spacing w:after="0" w:line="173" w:lineRule="exact"/>
        <w:rPr>
          <w:sz w:val="20"/>
          <w:szCs w:val="20"/>
          <w:color w:val="auto"/>
        </w:rPr>
      </w:pPr>
    </w:p>
    <w:p>
      <w:pPr>
        <w:ind w:left="3" w:right="120"/>
        <w:spacing w:after="0" w:line="259" w:lineRule="auto"/>
        <w:rPr>
          <w:sz w:val="20"/>
          <w:szCs w:val="20"/>
          <w:color w:val="auto"/>
        </w:rPr>
      </w:pPr>
      <w:r>
        <w:rPr>
          <w:rFonts w:ascii="Arial" w:cs="Arial" w:eastAsia="Arial" w:hAnsi="Arial"/>
          <w:sz w:val="19"/>
          <w:szCs w:val="19"/>
          <w:color w:val="auto"/>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applicable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234315</wp:posOffset>
            </wp:positionV>
            <wp:extent cx="779780" cy="2571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2683"/>
        <w:spacing w:after="0"/>
        <w:tabs>
          <w:tab w:leader="none" w:pos="2903" w:val="left"/>
          <w:tab w:leader="none" w:pos="32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right="20"/>
        <w:spacing w:after="0" w:line="247" w:lineRule="auto"/>
        <w:rPr>
          <w:sz w:val="20"/>
          <w:szCs w:val="20"/>
          <w:color w:val="auto"/>
        </w:rPr>
      </w:pPr>
      <w:r>
        <w:rPr>
          <w:rFonts w:ascii="Arial" w:cs="Arial" w:eastAsia="Arial" w:hAnsi="Arial"/>
          <w:sz w:val="20"/>
          <w:szCs w:val="20"/>
          <w:color w:val="auto"/>
        </w:rPr>
        <w:t>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92"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remain exercisable for a period of twelve (12) months following the termination of employment (but not beyond the expiration of their respective maximum terms).</w:t>
      </w:r>
    </w:p>
    <w:p>
      <w:pPr>
        <w:spacing w:after="0" w:line="195" w:lineRule="exact"/>
        <w:rPr>
          <w:sz w:val="20"/>
          <w:szCs w:val="20"/>
          <w:color w:val="auto"/>
        </w:rPr>
      </w:pPr>
    </w:p>
    <w:p>
      <w:pPr>
        <w:ind w:left="660" w:right="140"/>
        <w:spacing w:after="0" w:line="260" w:lineRule="auto"/>
        <w:rPr>
          <w:sz w:val="20"/>
          <w:szCs w:val="20"/>
          <w:color w:val="auto"/>
        </w:rPr>
      </w:pPr>
      <w:r>
        <w:rPr>
          <w:rFonts w:ascii="Arial" w:cs="Arial" w:eastAsia="Arial" w:hAnsi="Arial"/>
          <w:sz w:val="19"/>
          <w:szCs w:val="19"/>
          <w:color w:val="auto"/>
        </w:rPr>
        <w:t>All of Mr. Griffin’s equity awards that were outstanding as of September 27, 2024, are subject to the terms described above for the Griffin Agreement. For the equity awards granted to</w:t>
      </w:r>
    </w:p>
    <w:p>
      <w:pPr>
        <w:spacing w:after="0" w:line="3" w:lineRule="exact"/>
        <w:rPr>
          <w:sz w:val="20"/>
          <w:szCs w:val="20"/>
          <w:color w:val="auto"/>
        </w:rPr>
      </w:pPr>
    </w:p>
    <w:p>
      <w:pPr>
        <w:ind w:left="660" w:right="20"/>
        <w:spacing w:after="0" w:line="259" w:lineRule="auto"/>
        <w:rPr>
          <w:sz w:val="20"/>
          <w:szCs w:val="20"/>
          <w:color w:val="auto"/>
        </w:rPr>
      </w:pPr>
      <w:r>
        <w:rPr>
          <w:rFonts w:ascii="Arial" w:cs="Arial" w:eastAsia="Arial" w:hAnsi="Arial"/>
          <w:sz w:val="19"/>
          <w:szCs w:val="19"/>
          <w:color w:val="auto"/>
        </w:rPr>
        <w:t>Mr. Griffin after September 27, 2024, in connection with a termination without cause or resignation for good reason that is unrelated to a change in control, the terms described above for the Griffin Agreement are not applicable. As previously stated, effective as of February 17, 2025 (“Transition Date”), Mr. Griffin ceased to serve as Chief Executive Officer and President of the Company. Mr. Griffin will remain employed by the Company in a non-executive role for three months following the Transition Date, at which time 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employment with the Company will end. For the period of such employment, he will be paid at the same rate as his base salary immediately prior to the Transition Date. Upon his departure, Mr. Griffin will be entitled to receive separation benefits under the Griffin Agreement in connection with a termination without cause or resignation for good reason that is unrelated to a change in control. With respect to the equity awards granted to Mr. Griffin after September 27, 2024, only a prorated portion, estimated to be approximately 5,934 shares, subject to his fiscal year 2025 RSU award will vest based on a May 16, 2025 termination date, and none of his fiscal year 2025 PSA award will vest.</w:t>
      </w:r>
    </w:p>
    <w:p>
      <w:pPr>
        <w:spacing w:after="0" w:line="16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Griffin Agreement is intended to be exempt from or compliant with Section 409A of the IRC and has an initial two (2) year term from May 10, 2023,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The terms “change in control,” “cause,” and “good reason” are each defined in the Griffin Agreement. Change in control means, in summary: (i) the acquisition by a person or a group of 40% or more of the outstanding stock of the Company; (ii) a change, without approval by the Board, of a majority of the Board of the Company; (iii) the acquisition of the Company by means of a reorganization, merger, consolidation, or asset</w:t>
      </w:r>
    </w:p>
    <w:p>
      <w:pPr>
        <w:spacing w:after="0" w:line="456"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11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120"/>
        <w:spacing w:after="0" w:line="270" w:lineRule="auto"/>
        <w:rPr>
          <w:sz w:val="20"/>
          <w:szCs w:val="20"/>
          <w:color w:val="auto"/>
        </w:rPr>
      </w:pPr>
      <w:r>
        <w:rPr>
          <w:rFonts w:ascii="Arial" w:cs="Arial" w:eastAsia="Arial" w:hAnsi="Arial"/>
          <w:sz w:val="19"/>
          <w:szCs w:val="19"/>
          <w:color w:val="auto"/>
        </w:rPr>
        <w:t>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1" w:lineRule="exact"/>
        <w:rPr>
          <w:sz w:val="20"/>
          <w:szCs w:val="20"/>
          <w:color w:val="auto"/>
        </w:rPr>
      </w:pPr>
    </w:p>
    <w:p>
      <w:pPr>
        <w:ind w:left="660" w:right="20" w:hanging="6"/>
        <w:spacing w:after="0" w:line="254"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(iii) a material change in his office location; or (iv) any action or inaction constituting a material breach by the Company of the terms of the agreement.</w:t>
      </w:r>
    </w:p>
    <w:p>
      <w:pPr>
        <w:spacing w:after="0" w:line="175" w:lineRule="exact"/>
        <w:rPr>
          <w:sz w:val="20"/>
          <w:szCs w:val="20"/>
          <w:color w:val="auto"/>
        </w:rPr>
      </w:pPr>
    </w:p>
    <w:p>
      <w:pPr>
        <w:ind w:left="660" w:right="480"/>
        <w:spacing w:after="0" w:line="259" w:lineRule="auto"/>
        <w:rPr>
          <w:sz w:val="20"/>
          <w:szCs w:val="20"/>
          <w:color w:val="auto"/>
        </w:rPr>
      </w:pPr>
      <w:r>
        <w:rPr>
          <w:rFonts w:ascii="Arial" w:cs="Arial" w:eastAsia="Arial" w:hAnsi="Arial"/>
          <w:sz w:val="22"/>
          <w:szCs w:val="22"/>
          <w:i w:val="1"/>
          <w:iCs w:val="1"/>
          <w:color w:val="0075A8"/>
        </w:rPr>
        <w:t>Mr. Sennesael, Mr. Kasnavi, Mr. Bori, and Mr. Terry</w:t>
      </w:r>
    </w:p>
    <w:p>
      <w:pPr>
        <w:spacing w:after="0" w:line="80" w:lineRule="exact"/>
        <w:rPr>
          <w:sz w:val="20"/>
          <w:szCs w:val="20"/>
          <w:color w:val="auto"/>
        </w:rPr>
      </w:pPr>
    </w:p>
    <w:p>
      <w:pPr>
        <w:ind w:left="660" w:right="80"/>
        <w:spacing w:after="0" w:line="274" w:lineRule="auto"/>
        <w:rPr>
          <w:sz w:val="20"/>
          <w:szCs w:val="20"/>
          <w:color w:val="auto"/>
        </w:rPr>
      </w:pPr>
      <w:r>
        <w:rPr>
          <w:rFonts w:ascii="Arial" w:cs="Arial" w:eastAsia="Arial" w:hAnsi="Arial"/>
          <w:sz w:val="19"/>
          <w:szCs w:val="19"/>
          <w:color w:val="auto"/>
        </w:rPr>
        <w:t>The Company entered into Amended and Restated Change in Control / Severance Agreements with each of Mr. Sennesael, Mr. Kasnavi, Mr. Bori, and Mr. Terry on May 10, 2023, respectively. Each such Amended and Restated Change in Control / Severance Agreement is referred to herein as a “CIC Agreement.”</w:t>
      </w:r>
    </w:p>
    <w:p>
      <w:pPr>
        <w:spacing w:after="0" w:line="171" w:lineRule="exact"/>
        <w:rPr>
          <w:sz w:val="20"/>
          <w:szCs w:val="20"/>
          <w:color w:val="auto"/>
        </w:rPr>
      </w:pPr>
    </w:p>
    <w:p>
      <w:pPr>
        <w:ind w:left="660" w:right="160"/>
        <w:spacing w:after="0" w:line="270" w:lineRule="auto"/>
        <w:rPr>
          <w:sz w:val="20"/>
          <w:szCs w:val="20"/>
          <w:color w:val="auto"/>
        </w:rPr>
      </w:pPr>
      <w:r>
        <w:rPr>
          <w:rFonts w:ascii="Arial" w:cs="Arial" w:eastAsia="Arial" w:hAnsi="Arial"/>
          <w:sz w:val="19"/>
          <w:szCs w:val="19"/>
          <w:color w:val="auto"/>
        </w:rPr>
        <w:t>Each CIC Agreement sets out severance benefits that become payable if the executive officer experiences a Qualifying Termination. The severance benefits provided to the executive in such circumstances would consist of the following:</w:t>
      </w:r>
    </w:p>
    <w:p>
      <w:pPr>
        <w:spacing w:after="0" w:line="4" w:lineRule="exact"/>
        <w:rPr>
          <w:sz w:val="20"/>
          <w:szCs w:val="20"/>
          <w:color w:val="auto"/>
        </w:rPr>
      </w:pPr>
    </w:p>
    <w:p>
      <w:pPr>
        <w:ind w:left="660" w:right="80" w:hanging="6"/>
        <w:spacing w:after="0" w:line="256" w:lineRule="auto"/>
        <w:tabs>
          <w:tab w:leader="none" w:pos="883"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lump sum payment equal to one and one-half (1</w:t>
      </w:r>
      <w:r>
        <w:rPr>
          <w:rFonts w:ascii="Arial" w:cs="Arial" w:eastAsia="Arial" w:hAnsi="Arial"/>
          <w:sz w:val="29"/>
          <w:szCs w:val="29"/>
          <w:color w:val="auto"/>
          <w:vertAlign w:val="superscript"/>
        </w:rPr>
        <w:t>1</w:t>
      </w:r>
      <w:r>
        <w:rPr>
          <w:rFonts w:ascii="Arial" w:cs="Arial" w:eastAsia="Arial" w:hAnsi="Arial"/>
          <w:sz w:val="19"/>
          <w:szCs w:val="19"/>
          <w:color w:val="auto"/>
        </w:rPr>
        <w:t>∕2) times the sum of (A) all of the executive’s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188"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Each CIC Agreement also provides that in the event of a Qualifying Termination, the executive is entitled to full acceleration of the vesting of all</w:t>
      </w:r>
    </w:p>
    <w:p>
      <w:pPr>
        <w:spacing w:after="0" w:line="200" w:lineRule="exact"/>
        <w:rPr>
          <w:sz w:val="20"/>
          <w:szCs w:val="20"/>
          <w:color w:val="auto"/>
        </w:rPr>
      </w:pPr>
    </w:p>
    <w:p>
      <w:pPr>
        <w:spacing w:after="0" w:line="398"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60"/>
        <w:spacing w:after="0" w:line="268" w:lineRule="auto"/>
        <w:rPr>
          <w:sz w:val="20"/>
          <w:szCs w:val="20"/>
          <w:color w:val="auto"/>
        </w:rPr>
      </w:pPr>
      <w:r>
        <w:rPr>
          <w:rFonts w:ascii="Arial" w:cs="Arial" w:eastAsia="Arial" w:hAnsi="Arial"/>
          <w:sz w:val="19"/>
          <w:szCs w:val="19"/>
          <w:color w:val="auto"/>
        </w:rPr>
        <w:t>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90" w:lineRule="exact"/>
        <w:rPr>
          <w:sz w:val="20"/>
          <w:szCs w:val="20"/>
          <w:color w:val="auto"/>
        </w:rPr>
      </w:pPr>
    </w:p>
    <w:p>
      <w:pPr>
        <w:ind w:left="3" w:right="100"/>
        <w:spacing w:after="0" w:line="270" w:lineRule="auto"/>
        <w:rPr>
          <w:sz w:val="20"/>
          <w:szCs w:val="20"/>
          <w:color w:val="auto"/>
        </w:rPr>
      </w:pPr>
      <w:r>
        <w:rPr>
          <w:rFonts w:ascii="Arial" w:cs="Arial" w:eastAsia="Arial" w:hAnsi="Arial"/>
          <w:sz w:val="19"/>
          <w:szCs w:val="19"/>
          <w:color w:val="auto"/>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w:t>
      </w:r>
    </w:p>
    <w:p>
      <w:pPr>
        <w:spacing w:after="0" w:line="1" w:lineRule="exact"/>
        <w:rPr>
          <w:sz w:val="20"/>
          <w:szCs w:val="20"/>
          <w:color w:val="auto"/>
        </w:rPr>
      </w:pPr>
    </w:p>
    <w:p>
      <w:pPr>
        <w:ind w:left="3" w:right="60" w:hanging="3"/>
        <w:spacing w:after="0" w:line="266" w:lineRule="auto"/>
        <w:tabs>
          <w:tab w:leader="none" w:pos="226" w:val="left"/>
        </w:tabs>
        <w:numPr>
          <w:ilvl w:val="0"/>
          <w:numId w:val="69"/>
        </w:numPr>
        <w:rPr>
          <w:rFonts w:ascii="Arial" w:cs="Arial" w:eastAsia="Arial" w:hAnsi="Arial"/>
          <w:sz w:val="19"/>
          <w:szCs w:val="19"/>
          <w:color w:val="auto"/>
        </w:rPr>
      </w:pPr>
      <w:r>
        <w:rPr>
          <w:rFonts w:ascii="Arial" w:cs="Arial" w:eastAsia="Arial" w:hAnsi="Arial"/>
          <w:sz w:val="19"/>
          <w:szCs w:val="19"/>
          <w:color w:val="auto"/>
        </w:rPr>
        <w:t>biweekly compensation continuation payments commencing not more than sixty (60) days after such termination and continuing for a period of twelve (12) months, with each such compensation continuation payment being equal to the aggregate payment amount divided by twenty-six (26), where the aggregate payment is equal to the sum of (x) his then-current annual base salary, and (y) any short-term cash incentive award then due; (ii) all then-vested outstanding stock options would remain exercisable for a period of twelve (12) months after the termination date (but not beyond the expiration of their respective maximum terms); and</w:t>
      </w:r>
    </w:p>
    <w:p>
      <w:pPr>
        <w:spacing w:after="0" w:line="10" w:lineRule="exact"/>
        <w:rPr>
          <w:rFonts w:ascii="Arial" w:cs="Arial" w:eastAsia="Arial" w:hAnsi="Arial"/>
          <w:sz w:val="19"/>
          <w:szCs w:val="19"/>
          <w:color w:val="auto"/>
        </w:rPr>
      </w:pPr>
    </w:p>
    <w:p>
      <w:pPr>
        <w:ind w:left="303" w:hanging="303"/>
        <w:spacing w:after="0"/>
        <w:tabs>
          <w:tab w:leader="none" w:pos="303" w:val="left"/>
        </w:tabs>
        <w:numPr>
          <w:ilvl w:val="0"/>
          <w:numId w:val="70"/>
        </w:numPr>
        <w:rPr>
          <w:rFonts w:ascii="Arial" w:cs="Arial" w:eastAsia="Arial" w:hAnsi="Arial"/>
          <w:sz w:val="20"/>
          <w:szCs w:val="20"/>
          <w:color w:val="auto"/>
        </w:rPr>
      </w:pPr>
      <w:r>
        <w:rPr>
          <w:rFonts w:ascii="Arial" w:cs="Arial" w:eastAsia="Arial" w:hAnsi="Arial"/>
          <w:sz w:val="20"/>
          <w:szCs w:val="20"/>
          <w:color w:val="auto"/>
        </w:rPr>
        <w:t>COBRA</w:t>
      </w:r>
    </w:p>
    <w:p>
      <w:pPr>
        <w:spacing w:after="0" w:line="200" w:lineRule="exact"/>
        <w:rPr>
          <w:rFonts w:ascii="Arial" w:cs="Arial" w:eastAsia="Arial" w:hAnsi="Arial"/>
          <w:sz w:val="20"/>
          <w:szCs w:val="20"/>
          <w:color w:val="auto"/>
        </w:rPr>
      </w:pPr>
    </w:p>
    <w:p>
      <w:pPr>
        <w:spacing w:after="0" w:line="275" w:lineRule="exact"/>
        <w:rPr>
          <w:rFonts w:ascii="Arial" w:cs="Arial" w:eastAsia="Arial" w:hAnsi="Arial"/>
          <w:sz w:val="20"/>
          <w:szCs w:val="20"/>
          <w:color w:val="auto"/>
        </w:rPr>
      </w:pPr>
    </w:p>
    <w:p>
      <w:pPr>
        <w:ind w:left="2923" w:hanging="245"/>
        <w:spacing w:after="0"/>
        <w:tabs>
          <w:tab w:leader="none" w:pos="2923" w:val="left"/>
        </w:tabs>
        <w:numPr>
          <w:ilvl w:val="1"/>
          <w:numId w:val="70"/>
        </w:numPr>
        <w:rPr>
          <w:rFonts w:ascii="Arial" w:cs="Arial" w:eastAsia="Arial" w:hAnsi="Arial"/>
          <w:sz w:val="16"/>
          <w:szCs w:val="16"/>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-175895</wp:posOffset>
            </wp:positionV>
            <wp:extent cx="779780" cy="257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2">
            <w:col w:w="5120" w:space="457"/>
            <w:col w:w="4523"/>
          </w:cols>
          <w:pgMar w:left="580" w:top="97" w:right="12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right="100"/>
        <w:spacing w:after="0" w:line="271" w:lineRule="auto"/>
        <w:rPr>
          <w:sz w:val="20"/>
          <w:szCs w:val="20"/>
          <w:color w:val="auto"/>
        </w:rPr>
      </w:pPr>
      <w:r>
        <w:rPr>
          <w:rFonts w:ascii="Arial" w:cs="Arial" w:eastAsia="Arial" w:hAnsi="Arial"/>
          <w:sz w:val="20"/>
          <w:szCs w:val="20"/>
          <w:color w:val="auto"/>
        </w:rPr>
        <w:t>continuation coverage for up to twelve (12) months after the termination date.</w:t>
      </w:r>
    </w:p>
    <w:p>
      <w:pPr>
        <w:spacing w:after="0" w:line="169" w:lineRule="exact"/>
        <w:rPr>
          <w:sz w:val="20"/>
          <w:szCs w:val="20"/>
          <w:color w:val="auto"/>
        </w:rPr>
      </w:pPr>
    </w:p>
    <w:p>
      <w:pPr>
        <w:ind w:left="660" w:right="20"/>
        <w:spacing w:after="0" w:line="258" w:lineRule="auto"/>
        <w:rPr>
          <w:sz w:val="20"/>
          <w:szCs w:val="20"/>
          <w:color w:val="auto"/>
        </w:rPr>
      </w:pPr>
      <w:r>
        <w:rPr>
          <w:rFonts w:ascii="Arial" w:cs="Arial" w:eastAsia="Arial" w:hAnsi="Arial"/>
          <w:sz w:val="19"/>
          <w:szCs w:val="19"/>
          <w:color w:val="auto"/>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90" w:lineRule="exact"/>
        <w:rPr>
          <w:sz w:val="20"/>
          <w:szCs w:val="20"/>
          <w:color w:val="auto"/>
        </w:rPr>
      </w:pPr>
    </w:p>
    <w:p>
      <w:pPr>
        <w:ind w:left="660" w:right="220"/>
        <w:spacing w:after="0" w:line="248" w:lineRule="auto"/>
        <w:rPr>
          <w:sz w:val="20"/>
          <w:szCs w:val="20"/>
          <w:color w:val="auto"/>
        </w:rPr>
      </w:pPr>
      <w:r>
        <w:rPr>
          <w:rFonts w:ascii="Arial" w:cs="Arial" w:eastAsia="Arial" w:hAnsi="Arial"/>
          <w:sz w:val="20"/>
          <w:szCs w:val="20"/>
          <w:color w:val="auto"/>
        </w:rPr>
        <w:t>All of the equity awards that are outstanding as of the date hereof for each of Mr. Sennesael,</w:t>
      </w:r>
    </w:p>
    <w:p>
      <w:pPr>
        <w:spacing w:after="0" w:line="2" w:lineRule="exact"/>
        <w:rPr>
          <w:sz w:val="20"/>
          <w:szCs w:val="20"/>
          <w:color w:val="auto"/>
        </w:rPr>
      </w:pPr>
    </w:p>
    <w:p>
      <w:pPr>
        <w:ind w:left="660" w:right="20"/>
        <w:spacing w:after="0" w:line="293" w:lineRule="auto"/>
        <w:rPr>
          <w:sz w:val="20"/>
          <w:szCs w:val="20"/>
          <w:color w:val="auto"/>
        </w:rPr>
      </w:pPr>
      <w:r>
        <w:rPr>
          <w:rFonts w:ascii="Arial" w:cs="Arial" w:eastAsia="Arial" w:hAnsi="Arial"/>
          <w:sz w:val="19"/>
          <w:szCs w:val="19"/>
          <w:color w:val="auto"/>
        </w:rPr>
        <w:t>Mr. Kasnavi, Mr. Bori, and Mr. Terry are subject to the terms described above for the CIC Agreements.</w:t>
      </w:r>
    </w:p>
    <w:p>
      <w:pPr>
        <w:spacing w:after="0" w:line="137" w:lineRule="exact"/>
        <w:rPr>
          <w:sz w:val="20"/>
          <w:szCs w:val="20"/>
          <w:color w:val="auto"/>
        </w:rPr>
      </w:pPr>
    </w:p>
    <w:p>
      <w:pPr>
        <w:ind w:left="660"/>
        <w:spacing w:after="0" w:line="260" w:lineRule="auto"/>
        <w:rPr>
          <w:sz w:val="20"/>
          <w:szCs w:val="20"/>
          <w:color w:val="auto"/>
        </w:rPr>
      </w:pPr>
      <w:r>
        <w:rPr>
          <w:rFonts w:ascii="Arial" w:cs="Arial" w:eastAsia="Arial" w:hAnsi="Arial"/>
          <w:sz w:val="19"/>
          <w:szCs w:val="19"/>
          <w:color w:val="auto"/>
        </w:rPr>
        <w:t>Each CIC Agreement is intended to be exempt from or compliant with Section 409A of the IRC and has an initial two (2) year term, and thereafter renews automatically on an annual basis for up to five</w:t>
      </w:r>
    </w:p>
    <w:p>
      <w:pPr>
        <w:spacing w:after="0" w:line="3" w:lineRule="exact"/>
        <w:rPr>
          <w:sz w:val="20"/>
          <w:szCs w:val="20"/>
          <w:color w:val="auto"/>
        </w:rPr>
      </w:pPr>
    </w:p>
    <w:p>
      <w:pPr>
        <w:ind w:left="660" w:right="220" w:hanging="6"/>
        <w:spacing w:after="0" w:line="248" w:lineRule="auto"/>
        <w:tabs>
          <w:tab w:leader="none" w:pos="949" w:val="left"/>
        </w:tabs>
        <w:numPr>
          <w:ilvl w:val="0"/>
          <w:numId w:val="71"/>
        </w:numPr>
        <w:rPr>
          <w:rFonts w:ascii="Arial" w:cs="Arial" w:eastAsia="Arial" w:hAnsi="Arial"/>
          <w:sz w:val="20"/>
          <w:szCs w:val="20"/>
          <w:color w:val="auto"/>
        </w:rPr>
      </w:pPr>
      <w:r>
        <w:rPr>
          <w:rFonts w:ascii="Arial" w:cs="Arial" w:eastAsia="Arial" w:hAnsi="Arial"/>
          <w:sz w:val="20"/>
          <w:szCs w:val="20"/>
          <w:color w:val="auto"/>
        </w:rPr>
        <w:t>additional years unless either the Company or the executive timely provides a notice of non-renewal to the other prior to the end of the then-current term. The payments due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Additionally, each CIC Agreement requires that the executive sign a release of claims in favor of the Company before he is eligible to receive any benefits under the agreement. Each CIC Agreement also contains non-solicitation provisions applicable to the executive while he is employed by the Company and for a period of twelve (12) months following the termination of his employment.</w:t>
      </w:r>
    </w:p>
    <w:p>
      <w:pPr>
        <w:spacing w:after="0" w:line="164"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The terms “change in control,” “cause,” and “good reason” are each defined in the CIC Agreements. Change in control means, in summary: (i) the acquisition by a person or a group of 40% or more of the outstanding stock of the Company; (ii) a change, without approval by the Board, of a majority of the Board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00" w:lineRule="exact"/>
        <w:rPr>
          <w:sz w:val="20"/>
          <w:szCs w:val="20"/>
          <w:color w:val="auto"/>
        </w:rPr>
      </w:pPr>
    </w:p>
    <w:p>
      <w:pPr>
        <w:sectPr>
          <w:pgSz w:w="11900" w:h="16838" w:orient="portrait"/>
          <w:cols w:equalWidth="0" w:num="2">
            <w:col w:w="5100" w:space="48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payments and benefits that would be made by the Company to the</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Named Executive Officers as of September 27, 2024, in the following circumstances as of such date:</w:t>
      </w:r>
    </w:p>
    <w:p>
      <w:pPr>
        <w:spacing w:after="0" w:line="198" w:lineRule="exact"/>
        <w:rPr>
          <w:sz w:val="20"/>
          <w:szCs w:val="20"/>
          <w:color w:val="auto"/>
        </w:rPr>
      </w:pPr>
    </w:p>
    <w:p>
      <w:pPr>
        <w:ind w:left="840" w:hanging="186"/>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termination without cause outside of a change in control;</w:t>
      </w:r>
    </w:p>
    <w:p>
      <w:pPr>
        <w:spacing w:after="0" w:line="31" w:lineRule="exact"/>
        <w:rPr>
          <w:rFonts w:ascii="Arial" w:cs="Arial" w:eastAsia="Arial" w:hAnsi="Arial"/>
          <w:sz w:val="20"/>
          <w:szCs w:val="20"/>
          <w:color w:val="auto"/>
        </w:rPr>
      </w:pPr>
    </w:p>
    <w:p>
      <w:pPr>
        <w:ind w:left="840" w:hanging="186"/>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termination without cause or for good reason in connection with a change in control; and</w:t>
      </w:r>
    </w:p>
    <w:p>
      <w:pPr>
        <w:spacing w:after="0" w:line="26" w:lineRule="exact"/>
        <w:rPr>
          <w:rFonts w:ascii="Arial" w:cs="Arial" w:eastAsia="Arial" w:hAnsi="Arial"/>
          <w:sz w:val="20"/>
          <w:szCs w:val="20"/>
          <w:color w:val="auto"/>
        </w:rPr>
      </w:pPr>
    </w:p>
    <w:p>
      <w:pPr>
        <w:ind w:left="840" w:hanging="186"/>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the event of a termination of employment because of death or disability.</w:t>
      </w:r>
    </w:p>
    <w:p>
      <w:pPr>
        <w:spacing w:after="0" w:line="211" w:lineRule="exact"/>
        <w:rPr>
          <w:sz w:val="20"/>
          <w:szCs w:val="20"/>
          <w:color w:val="auto"/>
        </w:rPr>
      </w:pPr>
    </w:p>
    <w:p>
      <w:pPr>
        <w:ind w:left="660" w:right="80"/>
        <w:spacing w:after="0" w:line="262" w:lineRule="auto"/>
        <w:rPr>
          <w:sz w:val="20"/>
          <w:szCs w:val="20"/>
          <w:color w:val="auto"/>
        </w:rPr>
      </w:pPr>
      <w:r>
        <w:rPr>
          <w:rFonts w:ascii="Arial" w:cs="Arial" w:eastAsia="Arial" w:hAnsi="Arial"/>
          <w:sz w:val="20"/>
          <w:szCs w:val="20"/>
          <w:color w:val="auto"/>
        </w:rPr>
        <w:t>The accelerated equity values in the table reflect a price of $98.85 per share, which was the closing sale price of the Company’s common stock on the Nasdaq Global Select Market on September 27, 2024. The table does not reflect any equity awards made after 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144145</wp:posOffset>
            </wp:positionV>
            <wp:extent cx="5974715" cy="4546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74715" cy="45466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9"/>
              </w:rPr>
              <w:t>Termination w/o Cause</w:t>
            </w:r>
          </w:p>
        </w:tc>
        <w:tc>
          <w:tcPr>
            <w:tcW w:w="2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FFFFFF"/>
                <w:w w:val="99"/>
              </w:rPr>
              <w:t>Termination w/o Cause</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9"/>
              </w:rPr>
              <w:t>or for Good Reason,</w:t>
            </w:r>
          </w:p>
        </w:tc>
        <w:tc>
          <w:tcPr>
            <w:tcW w:w="0" w:type="dxa"/>
            <w:vAlign w:val="bottom"/>
          </w:tcPr>
          <w:p>
            <w:pPr>
              <w:spacing w:after="0"/>
              <w:rPr>
                <w:sz w:val="1"/>
                <w:szCs w:val="1"/>
                <w:color w:val="auto"/>
              </w:rPr>
            </w:pPr>
          </w:p>
        </w:tc>
      </w:tr>
      <w:tr>
        <w:trPr>
          <w:trHeight w:val="162"/>
        </w:trPr>
        <w:tc>
          <w:tcPr>
            <w:tcW w:w="1420" w:type="dxa"/>
            <w:vAlign w:val="bottom"/>
            <w:vMerge w:val="restart"/>
          </w:tcPr>
          <w:p>
            <w:pPr>
              <w:ind w:left="40"/>
              <w:spacing w:after="0"/>
              <w:rPr>
                <w:sz w:val="20"/>
                <w:szCs w:val="20"/>
                <w:color w:val="auto"/>
              </w:rPr>
            </w:pPr>
            <w:r>
              <w:rPr>
                <w:rFonts w:ascii="Arial" w:cs="Arial" w:eastAsia="Arial" w:hAnsi="Arial"/>
                <w:sz w:val="16"/>
                <w:szCs w:val="16"/>
                <w:b w:val="1"/>
                <w:bCs w:val="1"/>
                <w:color w:val="FFFFFF"/>
              </w:rPr>
              <w:t>​Name</w:t>
            </w:r>
          </w:p>
        </w:tc>
        <w:tc>
          <w:tcPr>
            <w:tcW w:w="520" w:type="dxa"/>
            <w:vAlign w:val="bottom"/>
            <w:vMerge w:val="restart"/>
          </w:tcPr>
          <w:p>
            <w:pPr>
              <w:ind w:left="160"/>
              <w:spacing w:after="0"/>
              <w:rPr>
                <w:sz w:val="20"/>
                <w:szCs w:val="20"/>
                <w:color w:val="auto"/>
              </w:rPr>
            </w:pPr>
            <w:r>
              <w:rPr>
                <w:rFonts w:ascii="Arial" w:cs="Arial" w:eastAsia="Arial" w:hAnsi="Arial"/>
                <w:sz w:val="16"/>
                <w:szCs w:val="16"/>
                <w:b w:val="1"/>
                <w:bCs w:val="1"/>
                <w:color w:val="FFFFFF"/>
              </w:rPr>
              <w:t>​​</w:t>
            </w:r>
          </w:p>
        </w:tc>
        <w:tc>
          <w:tcPr>
            <w:tcW w:w="1340" w:type="dxa"/>
            <w:vAlign w:val="bottom"/>
            <w:vMerge w:val="restart"/>
          </w:tcPr>
          <w:p>
            <w:pPr>
              <w:ind w:left="280"/>
              <w:spacing w:after="0"/>
              <w:rPr>
                <w:sz w:val="20"/>
                <w:szCs w:val="20"/>
                <w:color w:val="auto"/>
              </w:rPr>
            </w:pPr>
            <w:r>
              <w:rPr>
                <w:rFonts w:ascii="Arial" w:cs="Arial" w:eastAsia="Arial" w:hAnsi="Arial"/>
                <w:sz w:val="16"/>
                <w:szCs w:val="16"/>
                <w:b w:val="1"/>
                <w:bCs w:val="1"/>
                <w:color w:val="FFFFFF"/>
              </w:rPr>
              <w:t>Benefit</w:t>
            </w:r>
          </w:p>
        </w:tc>
        <w:tc>
          <w:tcPr>
            <w:tcW w:w="200" w:type="dxa"/>
            <w:vAlign w:val="bottom"/>
            <w:vMerge w:val="restart"/>
          </w:tcPr>
          <w:p>
            <w:pPr>
              <w:ind w:left="60"/>
              <w:spacing w:after="0"/>
              <w:rPr>
                <w:sz w:val="20"/>
                <w:szCs w:val="20"/>
                <w:color w:val="auto"/>
              </w:rPr>
            </w:pPr>
            <w:r>
              <w:rPr>
                <w:rFonts w:ascii="Arial" w:cs="Arial" w:eastAsia="Arial" w:hAnsi="Arial"/>
                <w:sz w:val="16"/>
                <w:szCs w:val="16"/>
                <w:b w:val="1"/>
                <w:bCs w:val="1"/>
                <w:color w:val="FFFFFF"/>
              </w:rPr>
              <w:t>​​</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Outside Change in</w:t>
            </w:r>
          </w:p>
        </w:tc>
        <w:tc>
          <w:tcPr>
            <w:tcW w:w="240" w:type="dxa"/>
            <w:vAlign w:val="bottom"/>
            <w:vMerge w:val="restart"/>
          </w:tcPr>
          <w:p>
            <w:pPr>
              <w:ind w:left="100"/>
              <w:spacing w:after="0"/>
              <w:rPr>
                <w:sz w:val="20"/>
                <w:szCs w:val="20"/>
                <w:color w:val="auto"/>
              </w:rPr>
            </w:pPr>
            <w:r>
              <w:rPr>
                <w:rFonts w:ascii="Arial" w:cs="Arial" w:eastAsia="Arial" w:hAnsi="Arial"/>
                <w:sz w:val="16"/>
                <w:szCs w:val="16"/>
                <w:b w:val="1"/>
                <w:bCs w:val="1"/>
                <w:color w:val="FFFFFF"/>
              </w:rPr>
              <w:t>​​</w:t>
            </w: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After</w:t>
            </w:r>
          </w:p>
        </w:tc>
        <w:tc>
          <w:tcPr>
            <w:tcW w:w="0" w:type="dxa"/>
            <w:vAlign w:val="bottom"/>
          </w:tcPr>
          <w:p>
            <w:pPr>
              <w:spacing w:after="0"/>
              <w:rPr>
                <w:sz w:val="1"/>
                <w:szCs w:val="1"/>
                <w:color w:val="auto"/>
              </w:rPr>
            </w:pPr>
          </w:p>
        </w:tc>
      </w:tr>
      <w:tr>
        <w:trPr>
          <w:trHeight w:val="162"/>
        </w:trPr>
        <w:tc>
          <w:tcPr>
            <w:tcW w:w="14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7"/>
              </w:rPr>
              <w:t>Control ($)(1)</w:t>
            </w:r>
          </w:p>
        </w:tc>
        <w:tc>
          <w:tcPr>
            <w:tcW w:w="240" w:type="dxa"/>
            <w:vAlign w:val="bottom"/>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9"/>
              </w:rPr>
              <w:t>Change in Control ($)</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Arial" w:cs="Arial" w:eastAsia="Arial" w:hAnsi="Arial"/>
                <w:sz w:val="16"/>
                <w:szCs w:val="16"/>
                <w:color w:val="auto"/>
              </w:rPr>
              <w:t>​ Liam K. Griffin</w:t>
            </w:r>
            <w:r>
              <w:rPr>
                <w:rFonts w:ascii="Arial" w:cs="Arial" w:eastAsia="Arial" w:hAnsi="Arial"/>
                <w:sz w:val="16"/>
                <w:szCs w:val="16"/>
                <w:color w:val="0075A8"/>
              </w:rPr>
              <w:t>(2)</w:t>
            </w:r>
          </w:p>
        </w:tc>
        <w:tc>
          <w:tcPr>
            <w:tcW w:w="1860" w:type="dxa"/>
            <w:vAlign w:val="bottom"/>
            <w:gridSpan w:val="2"/>
          </w:tcPr>
          <w:p>
            <w:pPr>
              <w:ind w:left="140"/>
              <w:spacing w:after="0"/>
              <w:rPr>
                <w:sz w:val="20"/>
                <w:szCs w:val="20"/>
                <w:color w:val="auto"/>
              </w:rPr>
            </w:pPr>
            <w:r>
              <w:rPr>
                <w:rFonts w:ascii="Arial" w:cs="Arial" w:eastAsia="Arial" w:hAnsi="Arial"/>
                <w:sz w:val="16"/>
                <w:szCs w:val="16"/>
                <w:color w:val="auto"/>
              </w:rPr>
              <w:t>​​Salary and Short-Term</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840" w:type="dxa"/>
            <w:vAlign w:val="bottom"/>
          </w:tcPr>
          <w:p>
            <w:pPr>
              <w:jc w:val="center"/>
              <w:spacing w:after="0"/>
              <w:rPr>
                <w:sz w:val="20"/>
                <w:szCs w:val="20"/>
                <w:color w:val="auto"/>
              </w:rPr>
            </w:pPr>
            <w:r>
              <w:rPr>
                <w:rFonts w:ascii="Arial" w:cs="Arial" w:eastAsia="Arial" w:hAnsi="Arial"/>
                <w:sz w:val="16"/>
                <w:szCs w:val="16"/>
                <w:color w:val="auto"/>
              </w:rPr>
              <w:t>​ 6,119,006</w:t>
            </w:r>
            <w:r>
              <w:rPr>
                <w:rFonts w:ascii="Arial" w:cs="Arial" w:eastAsia="Arial" w:hAnsi="Arial"/>
                <w:sz w:val="16"/>
                <w:szCs w:val="16"/>
                <w:color w:val="0075A8"/>
              </w:rPr>
              <w:t>(3)</w:t>
            </w:r>
          </w:p>
        </w:tc>
        <w:tc>
          <w:tcPr>
            <w:tcW w:w="24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780" w:type="dxa"/>
            <w:vAlign w:val="bottom"/>
          </w:tcPr>
          <w:p>
            <w:pPr>
              <w:jc w:val="center"/>
              <w:spacing w:after="0"/>
              <w:rPr>
                <w:sz w:val="20"/>
                <w:szCs w:val="20"/>
                <w:color w:val="auto"/>
              </w:rPr>
            </w:pPr>
            <w:r>
              <w:rPr>
                <w:rFonts w:ascii="Arial" w:cs="Arial" w:eastAsia="Arial" w:hAnsi="Arial"/>
                <w:sz w:val="16"/>
                <w:szCs w:val="16"/>
                <w:color w:val="auto"/>
              </w:rPr>
              <w:t>​ 7,648,758</w:t>
            </w:r>
            <w:r>
              <w:rPr>
                <w:rFonts w:ascii="Arial" w:cs="Arial" w:eastAsia="Arial" w:hAnsi="Arial"/>
                <w:sz w:val="16"/>
                <w:szCs w:val="16"/>
                <w:color w:val="0075A8"/>
              </w:rPr>
              <w:t>(4)</w:t>
            </w: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Incentive</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-231775</wp:posOffset>
            </wp:positionV>
            <wp:extent cx="5974715" cy="8058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74715"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FFFFFF"/>
                <w:w w:val="99"/>
              </w:rPr>
              <w:t>Death/Disability</w:t>
            </w: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2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559"/>
              <w:spacing w:after="0" w:line="162" w:lineRule="exact"/>
              <w:rPr>
                <w:sz w:val="20"/>
                <w:szCs w:val="20"/>
                <w:color w:val="auto"/>
              </w:rPr>
            </w:pPr>
            <w:r>
              <w:rPr>
                <w:rFonts w:ascii="Arial" w:cs="Arial" w:eastAsia="Arial" w:hAnsi="Arial"/>
                <w:sz w:val="16"/>
                <w:szCs w:val="16"/>
                <w:b w:val="1"/>
                <w:bCs w:val="1"/>
                <w:color w:val="FFFFFF"/>
              </w:rPr>
              <w:t>($)</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4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20" w:type="dxa"/>
            <w:vAlign w:val="bottom"/>
          </w:tcPr>
          <w:p>
            <w:pPr>
              <w:ind w:left="320"/>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2">
            <w:col w:w="8000" w:space="140"/>
            <w:col w:w="196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20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RSUs</w:t>
            </w:r>
          </w:p>
        </w:tc>
        <w:tc>
          <w:tcPr>
            <w:tcW w:w="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​12,870,863​</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​12,870,863​</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gridSpan w:val="2"/>
            <w:shd w:val="clear" w:color="auto" w:fill="E5E5E5"/>
          </w:tcPr>
          <w:p>
            <w:pPr>
              <w:jc w:val="right"/>
              <w:ind w:right="139"/>
              <w:spacing w:after="0"/>
              <w:rPr>
                <w:sz w:val="20"/>
                <w:szCs w:val="20"/>
                <w:color w:val="auto"/>
              </w:rPr>
            </w:pPr>
            <w:r>
              <w:rPr>
                <w:rFonts w:ascii="Arial" w:cs="Arial" w:eastAsia="Arial" w:hAnsi="Arial"/>
                <w:sz w:val="16"/>
                <w:szCs w:val="16"/>
                <w:color w:val="auto"/>
              </w:rPr>
              <w:t>​12,870,863​</w:t>
            </w:r>
          </w:p>
        </w:tc>
        <w:tc>
          <w:tcPr>
            <w:tcW w:w="2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3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​23,064,671​</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​23,064,671​</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tcBorders>
              <w:bottom w:val="single" w:sz="8" w:color="E5E5E5"/>
            </w:tcBorders>
            <w:gridSpan w:val="2"/>
            <w:shd w:val="clear" w:color="auto" w:fill="E5E5E5"/>
          </w:tcPr>
          <w:p>
            <w:pPr>
              <w:jc w:val="right"/>
              <w:ind w:right="139"/>
              <w:spacing w:after="0"/>
              <w:rPr>
                <w:sz w:val="20"/>
                <w:szCs w:val="20"/>
                <w:color w:val="auto"/>
              </w:rPr>
            </w:pPr>
            <w:r>
              <w:rPr>
                <w:rFonts w:ascii="Arial" w:cs="Arial" w:eastAsia="Arial" w:hAnsi="Arial"/>
                <w:sz w:val="16"/>
                <w:szCs w:val="16"/>
                <w:color w:val="auto"/>
              </w:rPr>
              <w:t>​23,064,671​</w:t>
            </w:r>
          </w:p>
        </w:tc>
        <w:tc>
          <w:tcPr>
            <w:tcW w:w="2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20"/>
                <w:szCs w:val="20"/>
                <w:color w:val="auto"/>
              </w:rPr>
            </w:pPr>
            <w:r>
              <w:rPr>
                <w:rFonts w:ascii="Arial" w:cs="Arial" w:eastAsia="Arial" w:hAnsi="Arial"/>
                <w:sz w:val="16"/>
                <w:szCs w:val="16"/>
                <w:color w:val="auto"/>
              </w:rPr>
              <w:t>Medical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37,903​</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45,483​</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line="20" w:lineRule="exact"/>
              <w:rPr>
                <w:sz w:val="1"/>
                <w:szCs w:val="1"/>
                <w:color w:val="auto"/>
              </w:rPr>
            </w:pPr>
          </w:p>
        </w:tc>
        <w:tc>
          <w:tcPr>
            <w:tcW w:w="164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1500" w:type="dxa"/>
            <w:vAlign w:val="bottom"/>
            <w:gridSpan w:val="2"/>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500" w:type="dxa"/>
            <w:vAlign w:val="bottom"/>
            <w:gridSpan w:val="2"/>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32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Borders>
              <w:bottom w:val="single" w:sz="8" w:color="BFBFBF"/>
            </w:tcBorders>
            <w:vMerge w:val="continue"/>
          </w:tcPr>
          <w:p>
            <w:pPr>
              <w:spacing w:after="0"/>
              <w:rPr>
                <w:sz w:val="18"/>
                <w:szCs w:val="18"/>
                <w:color w:val="auto"/>
              </w:rPr>
            </w:pPr>
          </w:p>
        </w:tc>
        <w:tc>
          <w:tcPr>
            <w:tcW w:w="1460" w:type="dxa"/>
            <w:vAlign w:val="bottom"/>
            <w:tcBorders>
              <w:bottom w:val="single" w:sz="8" w:color="BFBFBF"/>
            </w:tcBorders>
            <w:vMerge w:val="continue"/>
            <w:shd w:val="clear" w:color="auto" w:fill="E5E5E5"/>
          </w:tcPr>
          <w:p>
            <w:pPr>
              <w:spacing w:after="0"/>
              <w:rPr>
                <w:sz w:val="18"/>
                <w:szCs w:val="18"/>
                <w:color w:val="auto"/>
              </w:rPr>
            </w:pPr>
          </w:p>
        </w:tc>
        <w:tc>
          <w:tcPr>
            <w:tcW w:w="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BFBFBF"/>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​42,092,443​</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​43,629,775​</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tcBorders>
              <w:bottom w:val="single" w:sz="8" w:color="BFBFBF"/>
            </w:tcBorders>
            <w:gridSpan w:val="2"/>
            <w:shd w:val="clear" w:color="auto" w:fill="E5E5E5"/>
          </w:tcPr>
          <w:p>
            <w:pPr>
              <w:jc w:val="right"/>
              <w:ind w:right="139"/>
              <w:spacing w:after="0"/>
              <w:rPr>
                <w:sz w:val="20"/>
                <w:szCs w:val="20"/>
                <w:color w:val="auto"/>
              </w:rPr>
            </w:pPr>
            <w:r>
              <w:rPr>
                <w:rFonts w:ascii="Arial" w:cs="Arial" w:eastAsia="Arial" w:hAnsi="Arial"/>
                <w:sz w:val="16"/>
                <w:szCs w:val="16"/>
                <w:color w:val="auto"/>
              </w:rPr>
              <w:t>​35,935,534​</w:t>
            </w:r>
          </w:p>
        </w:tc>
        <w:tc>
          <w:tcPr>
            <w:tcW w:w="26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62" w:lineRule="exact"/>
              <w:rPr>
                <w:sz w:val="20"/>
                <w:szCs w:val="20"/>
                <w:color w:val="auto"/>
              </w:rPr>
            </w:pPr>
            <w:r>
              <w:rPr>
                <w:rFonts w:ascii="Arial" w:cs="Arial" w:eastAsia="Arial" w:hAnsi="Arial"/>
                <w:sz w:val="16"/>
                <w:szCs w:val="16"/>
                <w:color w:val="auto"/>
              </w:rPr>
              <w:t>​ Kris Sennesael</w:t>
            </w:r>
            <w:r>
              <w:rPr>
                <w:rFonts w:ascii="Arial" w:cs="Arial" w:eastAsia="Arial" w:hAnsi="Arial"/>
                <w:sz w:val="16"/>
                <w:szCs w:val="16"/>
                <w:color w:val="0075A8"/>
              </w:rPr>
              <w:t>(2)</w:t>
            </w:r>
          </w:p>
        </w:tc>
        <w:tc>
          <w:tcPr>
            <w:tcW w:w="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1640" w:type="dxa"/>
            <w:vAlign w:val="bottom"/>
          </w:tcPr>
          <w:p>
            <w:pPr>
              <w:spacing w:after="0" w:line="162" w:lineRule="exact"/>
              <w:rPr>
                <w:sz w:val="20"/>
                <w:szCs w:val="20"/>
                <w:color w:val="auto"/>
              </w:rPr>
            </w:pPr>
            <w:r>
              <w:rPr>
                <w:rFonts w:ascii="Arial" w:cs="Arial" w:eastAsia="Arial" w:hAnsi="Arial"/>
                <w:sz w:val="16"/>
                <w:szCs w:val="16"/>
                <w:color w:val="auto"/>
              </w:rPr>
              <w:t>Salary and Short-Term</w:t>
            </w:r>
          </w:p>
        </w:tc>
        <w:tc>
          <w:tcPr>
            <w:tcW w:w="380" w:type="dxa"/>
            <w:vAlign w:val="bottom"/>
          </w:tcPr>
          <w:p>
            <w:pPr>
              <w:ind w:left="40"/>
              <w:spacing w:after="0" w:line="162" w:lineRule="exact"/>
              <w:rPr>
                <w:sz w:val="20"/>
                <w:szCs w:val="20"/>
                <w:color w:val="auto"/>
              </w:rPr>
            </w:pPr>
            <w:r>
              <w:rPr>
                <w:rFonts w:ascii="Arial" w:cs="Arial" w:eastAsia="Arial" w:hAnsi="Arial"/>
                <w:sz w:val="16"/>
                <w:szCs w:val="16"/>
                <w:color w:val="auto"/>
              </w:rPr>
              <w:t>​​</w:t>
            </w:r>
          </w:p>
        </w:tc>
        <w:tc>
          <w:tcPr>
            <w:tcW w:w="38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630,000</w:t>
            </w:r>
            <w:r>
              <w:rPr>
                <w:rFonts w:ascii="Arial" w:cs="Arial" w:eastAsia="Arial" w:hAnsi="Arial"/>
                <w:sz w:val="16"/>
                <w:szCs w:val="16"/>
                <w:color w:val="0075A8"/>
              </w:rPr>
              <w:t>(6)</w:t>
            </w:r>
          </w:p>
        </w:tc>
        <w:tc>
          <w:tcPr>
            <w:tcW w:w="58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1,890,000</w:t>
            </w:r>
            <w:r>
              <w:rPr>
                <w:rFonts w:ascii="Arial" w:cs="Arial" w:eastAsia="Arial" w:hAnsi="Arial"/>
                <w:sz w:val="16"/>
                <w:szCs w:val="16"/>
                <w:color w:val="0075A8"/>
              </w:rPr>
              <w:t>(7)</w:t>
            </w:r>
          </w:p>
        </w:tc>
        <w:tc>
          <w:tcPr>
            <w:tcW w:w="58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ind w:left="22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Incentive</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60" w:type="dxa"/>
            <w:vAlign w:val="bottom"/>
            <w:gridSpan w:val="2"/>
          </w:tcPr>
          <w:p>
            <w:pPr>
              <w:spacing w:after="0"/>
              <w:rPr>
                <w:sz w:val="20"/>
                <w:szCs w:val="20"/>
                <w:color w:val="auto"/>
              </w:rPr>
            </w:pPr>
            <w:r>
              <w:rPr>
                <w:rFonts w:ascii="Arial" w:cs="Arial" w:eastAsia="Arial" w:hAnsi="Arial"/>
                <w:sz w:val="16"/>
                <w:szCs w:val="16"/>
                <w:color w:val="auto"/>
              </w:rPr>
              <w:t>​ ​</w:t>
            </w:r>
          </w:p>
        </w:tc>
        <w:tc>
          <w:tcPr>
            <w:tcW w:w="172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3,648,751​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3,648,751​</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560" w:type="dxa"/>
            <w:vAlign w:val="bottom"/>
            <w:gridSpan w:val="2"/>
          </w:tcPr>
          <w:p>
            <w:pPr>
              <w:spacing w:after="0"/>
              <w:rPr>
                <w:sz w:val="20"/>
                <w:szCs w:val="20"/>
                <w:color w:val="auto"/>
              </w:rPr>
            </w:pPr>
            <w:r>
              <w:rPr>
                <w:rFonts w:ascii="Arial" w:cs="Arial" w:eastAsia="Arial" w:hAnsi="Arial"/>
                <w:sz w:val="16"/>
                <w:szCs w:val="16"/>
                <w:color w:val="auto"/>
              </w:rPr>
              <w:t>​ ​</w:t>
            </w:r>
          </w:p>
        </w:tc>
        <w:tc>
          <w:tcPr>
            <w:tcW w:w="1720" w:type="dxa"/>
            <w:vAlign w:val="bottom"/>
            <w:gridSpan w:val="2"/>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6,515,302​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6,515,302​</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1560" w:type="dxa"/>
            <w:vAlign w:val="bottom"/>
            <w:gridSpan w:val="2"/>
          </w:tcPr>
          <w:p>
            <w:pPr>
              <w:spacing w:after="0"/>
              <w:rPr>
                <w:sz w:val="20"/>
                <w:szCs w:val="20"/>
                <w:color w:val="auto"/>
              </w:rPr>
            </w:pPr>
            <w:r>
              <w:rPr>
                <w:rFonts w:ascii="Arial" w:cs="Arial" w:eastAsia="Arial" w:hAnsi="Arial"/>
                <w:sz w:val="16"/>
                <w:szCs w:val="16"/>
                <w:color w:val="auto"/>
              </w:rPr>
              <w:t>​ ​</w:t>
            </w:r>
          </w:p>
        </w:tc>
        <w:tc>
          <w:tcPr>
            <w:tcW w:w="172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19,569​</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29,354​</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
        </w:trPr>
        <w:tc>
          <w:tcPr>
            <w:tcW w:w="156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80" w:type="dxa"/>
            <w:vAlign w:val="bottom"/>
            <w:tcBorders>
              <w:right w:val="single" w:sz="8" w:color="BFBFBF"/>
            </w:tcBorders>
          </w:tcPr>
          <w:p>
            <w:pPr>
              <w:spacing w:after="0"/>
              <w:rPr>
                <w:sz w:val="2"/>
                <w:szCs w:val="2"/>
                <w:color w:val="auto"/>
              </w:rPr>
            </w:pPr>
          </w:p>
        </w:tc>
        <w:tc>
          <w:tcPr>
            <w:tcW w:w="164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2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320" w:type="dxa"/>
            <w:vAlign w:val="bottom"/>
            <w:gridSpan w:val="2"/>
            <w:shd w:val="clear" w:color="auto" w:fill="BFBFBF"/>
          </w:tcPr>
          <w:p>
            <w:pPr>
              <w:spacing w:after="0"/>
              <w:rPr>
                <w:sz w:val="2"/>
                <w:szCs w:val="2"/>
                <w:color w:val="auto"/>
              </w:rPr>
            </w:pPr>
          </w:p>
        </w:tc>
        <w:tc>
          <w:tcPr>
            <w:tcW w:w="280" w:type="dxa"/>
            <w:vAlign w:val="bottom"/>
            <w:gridSpan w:val="2"/>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60" w:type="dxa"/>
            <w:vAlign w:val="bottom"/>
            <w:gridSpan w:val="2"/>
            <w:vMerge w:val="continue"/>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​​TOTAL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649,569​</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gridSpan w:val="2"/>
          </w:tcPr>
          <w:p>
            <w:pPr>
              <w:ind w:left="240"/>
              <w:spacing w:after="0"/>
              <w:rPr>
                <w:sz w:val="20"/>
                <w:szCs w:val="20"/>
                <w:color w:val="auto"/>
              </w:rPr>
            </w:pPr>
            <w:r>
              <w:rPr>
                <w:rFonts w:ascii="Arial" w:cs="Arial" w:eastAsia="Arial" w:hAnsi="Arial"/>
                <w:sz w:val="16"/>
                <w:szCs w:val="16"/>
                <w:color w:val="auto"/>
              </w:rPr>
              <w:t>​12,083,407​</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gridSpan w:val="2"/>
          </w:tcPr>
          <w:p>
            <w:pPr>
              <w:jc w:val="right"/>
              <w:ind w:right="139"/>
              <w:spacing w:after="0"/>
              <w:rPr>
                <w:sz w:val="20"/>
                <w:szCs w:val="20"/>
                <w:color w:val="auto"/>
              </w:rPr>
            </w:pPr>
            <w:r>
              <w:rPr>
                <w:rFonts w:ascii="Arial" w:cs="Arial" w:eastAsia="Arial" w:hAnsi="Arial"/>
                <w:sz w:val="16"/>
                <w:szCs w:val="16"/>
                <w:color w:val="auto"/>
              </w:rPr>
              <w:t>​10,164,053​</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10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w:t>
            </w:r>
          </w:p>
        </w:tc>
        <w:tc>
          <w:tcPr>
            <w:tcW w:w="146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Reza Kasnavi</w:t>
            </w:r>
            <w:r>
              <w:rPr>
                <w:rFonts w:ascii="Arial" w:cs="Arial" w:eastAsia="Arial" w:hAnsi="Arial"/>
                <w:sz w:val="16"/>
                <w:szCs w:val="16"/>
                <w:color w:val="0075A8"/>
              </w:rPr>
              <w:t>(2)</w:t>
            </w:r>
          </w:p>
        </w:tc>
        <w:tc>
          <w:tcPr>
            <w:tcW w:w="1720" w:type="dxa"/>
            <w:vAlign w:val="bottom"/>
            <w:tcBorders>
              <w:top w:val="single" w:sz="8" w:color="BFBFBF"/>
            </w:tcBorders>
            <w:gridSpan w:val="2"/>
            <w:shd w:val="clear" w:color="auto" w:fill="E5E5E5"/>
          </w:tcPr>
          <w:p>
            <w:pPr>
              <w:spacing w:after="0" w:line="162" w:lineRule="exact"/>
              <w:rPr>
                <w:sz w:val="20"/>
                <w:szCs w:val="20"/>
                <w:color w:val="auto"/>
              </w:rPr>
            </w:pPr>
            <w:r>
              <w:rPr>
                <w:rFonts w:ascii="Arial" w:cs="Arial" w:eastAsia="Arial" w:hAnsi="Arial"/>
                <w:sz w:val="16"/>
                <w:szCs w:val="16"/>
                <w:color w:val="auto"/>
              </w:rPr>
              <w:t>​​Salary and Short-Term</w:t>
            </w:r>
          </w:p>
        </w:tc>
        <w:tc>
          <w:tcPr>
            <w:tcW w:w="380" w:type="dxa"/>
            <w:vAlign w:val="bottom"/>
            <w:tcBorders>
              <w:top w:val="single" w:sz="8" w:color="BFBFBF"/>
            </w:tcBorders>
            <w:shd w:val="clear" w:color="auto" w:fill="E5E5E5"/>
          </w:tcPr>
          <w:p>
            <w:pPr>
              <w:ind w:left="40"/>
              <w:spacing w:after="0" w:line="162"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BFBFBF"/>
            </w:tcBorders>
            <w:shd w:val="clear" w:color="auto" w:fill="E5E5E5"/>
          </w:tcPr>
          <w:p>
            <w:pPr>
              <w:jc w:val="right"/>
              <w:ind w:right="159"/>
              <w:spacing w:after="0" w:line="162" w:lineRule="exact"/>
              <w:rPr>
                <w:sz w:val="20"/>
                <w:szCs w:val="20"/>
                <w:color w:val="auto"/>
              </w:rPr>
            </w:pPr>
            <w:r>
              <w:rPr>
                <w:rFonts w:ascii="Arial" w:cs="Arial" w:eastAsia="Arial" w:hAnsi="Arial"/>
                <w:sz w:val="16"/>
                <w:szCs w:val="16"/>
                <w:color w:val="auto"/>
              </w:rPr>
              <w:t>600,000</w:t>
            </w:r>
            <w:r>
              <w:rPr>
                <w:rFonts w:ascii="Arial" w:cs="Arial" w:eastAsia="Arial" w:hAnsi="Arial"/>
                <w:sz w:val="16"/>
                <w:szCs w:val="16"/>
                <w:color w:val="0075A8"/>
              </w:rPr>
              <w:t>(6)</w:t>
            </w:r>
          </w:p>
        </w:tc>
        <w:tc>
          <w:tcPr>
            <w:tcW w:w="5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FBFBF"/>
            </w:tcBorders>
            <w:shd w:val="clear" w:color="auto" w:fill="E5E5E5"/>
          </w:tcPr>
          <w:p>
            <w:pPr>
              <w:jc w:val="right"/>
              <w:ind w:right="159"/>
              <w:spacing w:after="0" w:line="162" w:lineRule="exact"/>
              <w:rPr>
                <w:sz w:val="20"/>
                <w:szCs w:val="20"/>
                <w:color w:val="auto"/>
              </w:rPr>
            </w:pPr>
            <w:r>
              <w:rPr>
                <w:rFonts w:ascii="Arial" w:cs="Arial" w:eastAsia="Arial" w:hAnsi="Arial"/>
                <w:sz w:val="16"/>
                <w:szCs w:val="16"/>
                <w:color w:val="auto"/>
              </w:rPr>
              <w:t>1,620,000</w:t>
            </w:r>
            <w:r>
              <w:rPr>
                <w:rFonts w:ascii="Arial" w:cs="Arial" w:eastAsia="Arial" w:hAnsi="Arial"/>
                <w:sz w:val="16"/>
                <w:szCs w:val="16"/>
                <w:color w:val="0075A8"/>
              </w:rPr>
              <w:t>(7)</w:t>
            </w:r>
          </w:p>
        </w:tc>
        <w:tc>
          <w:tcPr>
            <w:tcW w:w="5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20"/>
              <w:spacing w:after="0" w:line="16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BFBFBF"/>
            </w:tcBorders>
            <w:shd w:val="clear" w:color="auto" w:fill="E5E5E5"/>
          </w:tcPr>
          <w:p>
            <w:pPr>
              <w:jc w:val="right"/>
              <w:ind w:right="139"/>
              <w:spacing w:after="0" w:line="162"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BFBFBF"/>
            </w:tcBorders>
            <w:shd w:val="clear" w:color="auto" w:fill="E5E5E5"/>
          </w:tcPr>
          <w:p>
            <w:pPr>
              <w:ind w:left="22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80" w:type="dxa"/>
            <w:vAlign w:val="bottom"/>
            <w:tcBorders>
              <w:right w:val="single" w:sz="8" w:color="E5E5E5"/>
            </w:tcBorders>
            <w:shd w:val="clear" w:color="auto" w:fill="E5E5E5"/>
          </w:tcPr>
          <w:p>
            <w:pPr>
              <w:spacing w:after="0"/>
              <w:rPr>
                <w:sz w:val="17"/>
                <w:szCs w:val="17"/>
                <w:color w:val="auto"/>
              </w:rPr>
            </w:pPr>
          </w:p>
        </w:tc>
        <w:tc>
          <w:tcPr>
            <w:tcW w:w="1640" w:type="dxa"/>
            <w:vAlign w:val="bottom"/>
            <w:shd w:val="clear" w:color="auto" w:fill="E5E5E5"/>
          </w:tcPr>
          <w:p>
            <w:pPr>
              <w:spacing w:after="0"/>
              <w:rPr>
                <w:sz w:val="20"/>
                <w:szCs w:val="20"/>
                <w:color w:val="auto"/>
              </w:rPr>
            </w:pPr>
            <w:r>
              <w:rPr>
                <w:rFonts w:ascii="Arial" w:cs="Arial" w:eastAsia="Arial" w:hAnsi="Arial"/>
                <w:sz w:val="16"/>
                <w:szCs w:val="16"/>
                <w:color w:val="auto"/>
              </w:rPr>
              <w:t>Incentive</w:t>
            </w:r>
          </w:p>
        </w:tc>
        <w:tc>
          <w:tcPr>
            <w:tcW w:w="3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RSUs</w:t>
            </w:r>
          </w:p>
        </w:tc>
        <w:tc>
          <w:tcPr>
            <w:tcW w:w="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3,786,548​</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3,786,548​</w:t>
            </w:r>
          </w:p>
        </w:tc>
        <w:tc>
          <w:tcPr>
            <w:tcW w:w="2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3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6,810,963​</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6,810,963​</w:t>
            </w:r>
          </w:p>
        </w:tc>
        <w:tc>
          <w:tcPr>
            <w:tcW w:w="2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20"/>
                <w:szCs w:val="20"/>
                <w:color w:val="auto"/>
              </w:rPr>
            </w:pPr>
            <w:r>
              <w:rPr>
                <w:rFonts w:ascii="Arial" w:cs="Arial" w:eastAsia="Arial" w:hAnsi="Arial"/>
                <w:sz w:val="16"/>
                <w:szCs w:val="16"/>
                <w:color w:val="auto"/>
              </w:rPr>
              <w:t>Medical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9,485​</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14,227​</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4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2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320" w:type="dxa"/>
            <w:vAlign w:val="bottom"/>
            <w:gridSpan w:val="2"/>
            <w:shd w:val="clear" w:color="auto" w:fill="BFBFBF"/>
          </w:tcPr>
          <w:p>
            <w:pPr>
              <w:spacing w:after="0"/>
              <w:rPr>
                <w:sz w:val="2"/>
                <w:szCs w:val="2"/>
                <w:color w:val="auto"/>
              </w:rPr>
            </w:pPr>
          </w:p>
        </w:tc>
        <w:tc>
          <w:tcPr>
            <w:tcW w:w="26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Borders>
              <w:bottom w:val="single" w:sz="8" w:color="BFBFBF"/>
            </w:tcBorders>
            <w:vMerge w:val="continue"/>
            <w:shd w:val="clear" w:color="auto" w:fill="E5E5E5"/>
          </w:tcPr>
          <w:p>
            <w:pPr>
              <w:spacing w:after="0"/>
              <w:rPr>
                <w:sz w:val="19"/>
                <w:szCs w:val="19"/>
                <w:color w:val="auto"/>
              </w:rPr>
            </w:pPr>
          </w:p>
        </w:tc>
        <w:tc>
          <w:tcPr>
            <w:tcW w:w="1460" w:type="dxa"/>
            <w:vAlign w:val="bottom"/>
            <w:tcBorders>
              <w:bottom w:val="single" w:sz="8" w:color="BFBFBF"/>
            </w:tcBorders>
            <w:vMerge w:val="continue"/>
            <w:shd w:val="clear" w:color="auto" w:fill="E5E5E5"/>
          </w:tcPr>
          <w:p>
            <w:pPr>
              <w:spacing w:after="0"/>
              <w:rPr>
                <w:sz w:val="19"/>
                <w:szCs w:val="19"/>
                <w:color w:val="auto"/>
              </w:rPr>
            </w:pPr>
          </w:p>
        </w:tc>
        <w:tc>
          <w:tcPr>
            <w:tcW w:w="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BFBFBF"/>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E5E5E5"/>
          </w:tcPr>
          <w:p>
            <w:pPr>
              <w:jc w:val="right"/>
              <w:ind w:right="319"/>
              <w:spacing w:after="0"/>
              <w:rPr>
                <w:sz w:val="20"/>
                <w:szCs w:val="20"/>
                <w:color w:val="auto"/>
              </w:rPr>
            </w:pPr>
            <w:r>
              <w:rPr>
                <w:rFonts w:ascii="Arial" w:cs="Arial" w:eastAsia="Arial" w:hAnsi="Arial"/>
                <w:sz w:val="16"/>
                <w:szCs w:val="16"/>
                <w:color w:val="auto"/>
              </w:rPr>
              <w:t>609,485​</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​12,231,738​</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tcBorders>
              <w:bottom w:val="single" w:sz="8" w:color="BFBFBF"/>
            </w:tcBorders>
            <w:gridSpan w:val="2"/>
            <w:shd w:val="clear" w:color="auto" w:fill="E5E5E5"/>
          </w:tcPr>
          <w:p>
            <w:pPr>
              <w:jc w:val="right"/>
              <w:ind w:right="139"/>
              <w:spacing w:after="0"/>
              <w:rPr>
                <w:sz w:val="20"/>
                <w:szCs w:val="20"/>
                <w:color w:val="auto"/>
              </w:rPr>
            </w:pPr>
            <w:r>
              <w:rPr>
                <w:rFonts w:ascii="Arial" w:cs="Arial" w:eastAsia="Arial" w:hAnsi="Arial"/>
                <w:sz w:val="16"/>
                <w:szCs w:val="16"/>
                <w:color w:val="auto"/>
              </w:rPr>
              <w:t>​10,597,511​</w:t>
            </w:r>
          </w:p>
        </w:tc>
        <w:tc>
          <w:tcPr>
            <w:tcW w:w="26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62" w:lineRule="exact"/>
              <w:rPr>
                <w:sz w:val="20"/>
                <w:szCs w:val="20"/>
                <w:color w:val="auto"/>
              </w:rPr>
            </w:pPr>
            <w:r>
              <w:rPr>
                <w:rFonts w:ascii="Arial" w:cs="Arial" w:eastAsia="Arial" w:hAnsi="Arial"/>
                <w:sz w:val="16"/>
                <w:szCs w:val="16"/>
                <w:color w:val="auto"/>
              </w:rPr>
              <w:t>​ Carlos S. Bori</w:t>
            </w:r>
            <w:r>
              <w:rPr>
                <w:rFonts w:ascii="Arial" w:cs="Arial" w:eastAsia="Arial" w:hAnsi="Arial"/>
                <w:sz w:val="16"/>
                <w:szCs w:val="16"/>
                <w:color w:val="0075A8"/>
              </w:rPr>
              <w:t>(2)</w:t>
            </w:r>
          </w:p>
        </w:tc>
        <w:tc>
          <w:tcPr>
            <w:tcW w:w="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1640" w:type="dxa"/>
            <w:vAlign w:val="bottom"/>
          </w:tcPr>
          <w:p>
            <w:pPr>
              <w:spacing w:after="0" w:line="162" w:lineRule="exact"/>
              <w:rPr>
                <w:sz w:val="20"/>
                <w:szCs w:val="20"/>
                <w:color w:val="auto"/>
              </w:rPr>
            </w:pPr>
            <w:r>
              <w:rPr>
                <w:rFonts w:ascii="Arial" w:cs="Arial" w:eastAsia="Arial" w:hAnsi="Arial"/>
                <w:sz w:val="16"/>
                <w:szCs w:val="16"/>
                <w:color w:val="auto"/>
              </w:rPr>
              <w:t>Salary and Short-Term</w:t>
            </w:r>
          </w:p>
        </w:tc>
        <w:tc>
          <w:tcPr>
            <w:tcW w:w="380" w:type="dxa"/>
            <w:vAlign w:val="bottom"/>
          </w:tcPr>
          <w:p>
            <w:pPr>
              <w:ind w:left="40"/>
              <w:spacing w:after="0" w:line="162" w:lineRule="exact"/>
              <w:rPr>
                <w:sz w:val="20"/>
                <w:szCs w:val="20"/>
                <w:color w:val="auto"/>
              </w:rPr>
            </w:pPr>
            <w:r>
              <w:rPr>
                <w:rFonts w:ascii="Arial" w:cs="Arial" w:eastAsia="Arial" w:hAnsi="Arial"/>
                <w:sz w:val="16"/>
                <w:szCs w:val="16"/>
                <w:color w:val="auto"/>
              </w:rPr>
              <w:t>​​</w:t>
            </w:r>
          </w:p>
        </w:tc>
        <w:tc>
          <w:tcPr>
            <w:tcW w:w="38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600,000</w:t>
            </w:r>
            <w:r>
              <w:rPr>
                <w:rFonts w:ascii="Arial" w:cs="Arial" w:eastAsia="Arial" w:hAnsi="Arial"/>
                <w:sz w:val="16"/>
                <w:szCs w:val="16"/>
                <w:color w:val="0075A8"/>
              </w:rPr>
              <w:t>(6)</w:t>
            </w:r>
          </w:p>
        </w:tc>
        <w:tc>
          <w:tcPr>
            <w:tcW w:w="58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1,620,000</w:t>
            </w:r>
            <w:r>
              <w:rPr>
                <w:rFonts w:ascii="Arial" w:cs="Arial" w:eastAsia="Arial" w:hAnsi="Arial"/>
                <w:sz w:val="16"/>
                <w:szCs w:val="16"/>
                <w:color w:val="0075A8"/>
              </w:rPr>
              <w:t>(7)</w:t>
            </w:r>
          </w:p>
        </w:tc>
        <w:tc>
          <w:tcPr>
            <w:tcW w:w="58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ind w:left="22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Incentive</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6"/>
                <w:szCs w:val="16"/>
                <w:color w:val="auto"/>
              </w:rPr>
              <w:t>​ ​</w:t>
            </w:r>
          </w:p>
        </w:tc>
        <w:tc>
          <w:tcPr>
            <w:tcW w:w="172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3,759,068​</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3,759,068​</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560" w:type="dxa"/>
            <w:vAlign w:val="bottom"/>
            <w:gridSpan w:val="2"/>
          </w:tcPr>
          <w:p>
            <w:pPr>
              <w:spacing w:after="0"/>
              <w:rPr>
                <w:sz w:val="20"/>
                <w:szCs w:val="20"/>
                <w:color w:val="auto"/>
              </w:rPr>
            </w:pPr>
            <w:r>
              <w:rPr>
                <w:rFonts w:ascii="Arial" w:cs="Arial" w:eastAsia="Arial" w:hAnsi="Arial"/>
                <w:sz w:val="16"/>
                <w:szCs w:val="16"/>
                <w:color w:val="auto"/>
              </w:rPr>
              <w:t>​ ​</w:t>
            </w:r>
          </w:p>
        </w:tc>
        <w:tc>
          <w:tcPr>
            <w:tcW w:w="1720" w:type="dxa"/>
            <w:vAlign w:val="bottom"/>
            <w:gridSpan w:val="2"/>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6,810,963​</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6,810,963​</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1560" w:type="dxa"/>
            <w:vAlign w:val="bottom"/>
            <w:gridSpan w:val="2"/>
          </w:tcPr>
          <w:p>
            <w:pPr>
              <w:spacing w:after="0"/>
              <w:rPr>
                <w:sz w:val="20"/>
                <w:szCs w:val="20"/>
                <w:color w:val="auto"/>
              </w:rPr>
            </w:pPr>
            <w:r>
              <w:rPr>
                <w:rFonts w:ascii="Arial" w:cs="Arial" w:eastAsia="Arial" w:hAnsi="Arial"/>
                <w:sz w:val="16"/>
                <w:szCs w:val="16"/>
                <w:color w:val="auto"/>
              </w:rPr>
              <w:t>​ ​</w:t>
            </w:r>
          </w:p>
        </w:tc>
        <w:tc>
          <w:tcPr>
            <w:tcW w:w="172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30,322​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45,483​</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
        </w:trPr>
        <w:tc>
          <w:tcPr>
            <w:tcW w:w="156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80" w:type="dxa"/>
            <w:vAlign w:val="bottom"/>
            <w:tcBorders>
              <w:right w:val="single" w:sz="8" w:color="BFBFBF"/>
            </w:tcBorders>
          </w:tcPr>
          <w:p>
            <w:pPr>
              <w:spacing w:after="0"/>
              <w:rPr>
                <w:sz w:val="2"/>
                <w:szCs w:val="2"/>
                <w:color w:val="auto"/>
              </w:rPr>
            </w:pPr>
          </w:p>
        </w:tc>
        <w:tc>
          <w:tcPr>
            <w:tcW w:w="164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2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320" w:type="dxa"/>
            <w:vAlign w:val="bottom"/>
            <w:gridSpan w:val="2"/>
            <w:shd w:val="clear" w:color="auto" w:fill="BFBFBF"/>
          </w:tcPr>
          <w:p>
            <w:pPr>
              <w:spacing w:after="0"/>
              <w:rPr>
                <w:sz w:val="2"/>
                <w:szCs w:val="2"/>
                <w:color w:val="auto"/>
              </w:rPr>
            </w:pPr>
          </w:p>
        </w:tc>
        <w:tc>
          <w:tcPr>
            <w:tcW w:w="280" w:type="dxa"/>
            <w:vAlign w:val="bottom"/>
            <w:gridSpan w:val="2"/>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60" w:type="dxa"/>
            <w:vAlign w:val="bottom"/>
            <w:gridSpan w:val="2"/>
            <w:vMerge w:val="continue"/>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​​TOTAL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630,322​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gridSpan w:val="2"/>
          </w:tcPr>
          <w:p>
            <w:pPr>
              <w:ind w:left="240"/>
              <w:spacing w:after="0"/>
              <w:rPr>
                <w:sz w:val="20"/>
                <w:szCs w:val="20"/>
                <w:color w:val="auto"/>
              </w:rPr>
            </w:pPr>
            <w:r>
              <w:rPr>
                <w:rFonts w:ascii="Arial" w:cs="Arial" w:eastAsia="Arial" w:hAnsi="Arial"/>
                <w:sz w:val="16"/>
                <w:szCs w:val="16"/>
                <w:color w:val="auto"/>
              </w:rPr>
              <w:t>​12,235,514​</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gridSpan w:val="2"/>
          </w:tcPr>
          <w:p>
            <w:pPr>
              <w:jc w:val="right"/>
              <w:ind w:right="139"/>
              <w:spacing w:after="0"/>
              <w:rPr>
                <w:sz w:val="20"/>
                <w:szCs w:val="20"/>
                <w:color w:val="auto"/>
              </w:rPr>
            </w:pPr>
            <w:r>
              <w:rPr>
                <w:rFonts w:ascii="Arial" w:cs="Arial" w:eastAsia="Arial" w:hAnsi="Arial"/>
                <w:sz w:val="16"/>
                <w:szCs w:val="16"/>
                <w:color w:val="auto"/>
              </w:rPr>
              <w:t>​10,570,031​</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10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w:t>
            </w:r>
          </w:p>
        </w:tc>
        <w:tc>
          <w:tcPr>
            <w:tcW w:w="146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Robert J. Terry</w:t>
            </w:r>
            <w:r>
              <w:rPr>
                <w:rFonts w:ascii="Arial" w:cs="Arial" w:eastAsia="Arial" w:hAnsi="Arial"/>
                <w:sz w:val="16"/>
                <w:szCs w:val="16"/>
                <w:color w:val="0075A8"/>
              </w:rPr>
              <w:t>(2)</w:t>
            </w:r>
          </w:p>
        </w:tc>
        <w:tc>
          <w:tcPr>
            <w:tcW w:w="1720" w:type="dxa"/>
            <w:vAlign w:val="bottom"/>
            <w:tcBorders>
              <w:top w:val="single" w:sz="8" w:color="BFBFBF"/>
            </w:tcBorders>
            <w:gridSpan w:val="2"/>
            <w:shd w:val="clear" w:color="auto" w:fill="E5E5E5"/>
          </w:tcPr>
          <w:p>
            <w:pPr>
              <w:spacing w:after="0" w:line="162" w:lineRule="exact"/>
              <w:rPr>
                <w:sz w:val="20"/>
                <w:szCs w:val="20"/>
                <w:color w:val="auto"/>
              </w:rPr>
            </w:pPr>
            <w:r>
              <w:rPr>
                <w:rFonts w:ascii="Arial" w:cs="Arial" w:eastAsia="Arial" w:hAnsi="Arial"/>
                <w:sz w:val="16"/>
                <w:szCs w:val="16"/>
                <w:color w:val="auto"/>
              </w:rPr>
              <w:t>​​Salary and Short-Term</w:t>
            </w:r>
          </w:p>
        </w:tc>
        <w:tc>
          <w:tcPr>
            <w:tcW w:w="380" w:type="dxa"/>
            <w:vAlign w:val="bottom"/>
            <w:tcBorders>
              <w:top w:val="single" w:sz="8" w:color="BFBFBF"/>
            </w:tcBorders>
            <w:shd w:val="clear" w:color="auto" w:fill="E5E5E5"/>
          </w:tcPr>
          <w:p>
            <w:pPr>
              <w:ind w:left="40"/>
              <w:spacing w:after="0" w:line="162"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BFBFBF"/>
            </w:tcBorders>
            <w:shd w:val="clear" w:color="auto" w:fill="E5E5E5"/>
          </w:tcPr>
          <w:p>
            <w:pPr>
              <w:jc w:val="right"/>
              <w:ind w:right="159"/>
              <w:spacing w:after="0" w:line="162" w:lineRule="exact"/>
              <w:rPr>
                <w:sz w:val="20"/>
                <w:szCs w:val="20"/>
                <w:color w:val="auto"/>
              </w:rPr>
            </w:pPr>
            <w:r>
              <w:rPr>
                <w:rFonts w:ascii="Arial" w:cs="Arial" w:eastAsia="Arial" w:hAnsi="Arial"/>
                <w:sz w:val="16"/>
                <w:szCs w:val="16"/>
                <w:color w:val="auto"/>
              </w:rPr>
              <w:t>562,000</w:t>
            </w:r>
            <w:r>
              <w:rPr>
                <w:rFonts w:ascii="Arial" w:cs="Arial" w:eastAsia="Arial" w:hAnsi="Arial"/>
                <w:sz w:val="16"/>
                <w:szCs w:val="16"/>
                <w:color w:val="0075A8"/>
              </w:rPr>
              <w:t>(6)</w:t>
            </w:r>
          </w:p>
        </w:tc>
        <w:tc>
          <w:tcPr>
            <w:tcW w:w="5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FBFBF"/>
            </w:tcBorders>
            <w:shd w:val="clear" w:color="auto" w:fill="E5E5E5"/>
          </w:tcPr>
          <w:p>
            <w:pPr>
              <w:jc w:val="right"/>
              <w:ind w:right="159"/>
              <w:spacing w:after="0" w:line="162" w:lineRule="exact"/>
              <w:rPr>
                <w:sz w:val="20"/>
                <w:szCs w:val="20"/>
                <w:color w:val="auto"/>
              </w:rPr>
            </w:pPr>
            <w:r>
              <w:rPr>
                <w:rFonts w:ascii="Arial" w:cs="Arial" w:eastAsia="Arial" w:hAnsi="Arial"/>
                <w:sz w:val="16"/>
                <w:szCs w:val="16"/>
                <w:color w:val="auto"/>
              </w:rPr>
              <w:t>1,517,400</w:t>
            </w:r>
            <w:r>
              <w:rPr>
                <w:rFonts w:ascii="Arial" w:cs="Arial" w:eastAsia="Arial" w:hAnsi="Arial"/>
                <w:sz w:val="16"/>
                <w:szCs w:val="16"/>
                <w:color w:val="0075A8"/>
              </w:rPr>
              <w:t>(7)</w:t>
            </w:r>
          </w:p>
        </w:tc>
        <w:tc>
          <w:tcPr>
            <w:tcW w:w="5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20"/>
              <w:spacing w:after="0" w:line="16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BFBFBF"/>
            </w:tcBorders>
            <w:shd w:val="clear" w:color="auto" w:fill="E5E5E5"/>
          </w:tcPr>
          <w:p>
            <w:pPr>
              <w:jc w:val="right"/>
              <w:ind w:right="139"/>
              <w:spacing w:after="0" w:line="162"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BFBFBF"/>
            </w:tcBorders>
            <w:shd w:val="clear" w:color="auto" w:fill="E5E5E5"/>
          </w:tcPr>
          <w:p>
            <w:pPr>
              <w:ind w:left="22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80" w:type="dxa"/>
            <w:vAlign w:val="bottom"/>
            <w:tcBorders>
              <w:right w:val="single" w:sz="8" w:color="E5E5E5"/>
            </w:tcBorders>
            <w:shd w:val="clear" w:color="auto" w:fill="E5E5E5"/>
          </w:tcPr>
          <w:p>
            <w:pPr>
              <w:spacing w:after="0"/>
              <w:rPr>
                <w:sz w:val="17"/>
                <w:szCs w:val="17"/>
                <w:color w:val="auto"/>
              </w:rPr>
            </w:pPr>
          </w:p>
        </w:tc>
        <w:tc>
          <w:tcPr>
            <w:tcW w:w="1640" w:type="dxa"/>
            <w:vAlign w:val="bottom"/>
            <w:shd w:val="clear" w:color="auto" w:fill="E5E5E5"/>
          </w:tcPr>
          <w:p>
            <w:pPr>
              <w:spacing w:after="0"/>
              <w:rPr>
                <w:sz w:val="20"/>
                <w:szCs w:val="20"/>
                <w:color w:val="auto"/>
              </w:rPr>
            </w:pPr>
            <w:r>
              <w:rPr>
                <w:rFonts w:ascii="Arial" w:cs="Arial" w:eastAsia="Arial" w:hAnsi="Arial"/>
                <w:sz w:val="16"/>
                <w:szCs w:val="16"/>
                <w:color w:val="auto"/>
              </w:rPr>
              <w:t>Incentive</w:t>
            </w:r>
          </w:p>
        </w:tc>
        <w:tc>
          <w:tcPr>
            <w:tcW w:w="3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RSUs</w:t>
            </w:r>
          </w:p>
        </w:tc>
        <w:tc>
          <w:tcPr>
            <w:tcW w:w="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3,119,508​</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3,119,508​</w:t>
            </w:r>
          </w:p>
        </w:tc>
        <w:tc>
          <w:tcPr>
            <w:tcW w:w="2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3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5,613,098​</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5,613,098​</w:t>
            </w:r>
          </w:p>
        </w:tc>
        <w:tc>
          <w:tcPr>
            <w:tcW w:w="2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20"/>
                <w:szCs w:val="20"/>
                <w:color w:val="auto"/>
              </w:rPr>
            </w:pPr>
            <w:r>
              <w:rPr>
                <w:rFonts w:ascii="Arial" w:cs="Arial" w:eastAsia="Arial" w:hAnsi="Arial"/>
                <w:sz w:val="16"/>
                <w:szCs w:val="16"/>
                <w:color w:val="auto"/>
              </w:rPr>
              <w:t>Medical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30,322​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45,483​</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4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2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6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100" w:type="dxa"/>
            <w:vAlign w:val="bottom"/>
            <w:tcBorders>
              <w:bottom w:val="single" w:sz="8" w:color="E5E5E5"/>
            </w:tcBorders>
            <w:vMerge w:val="continue"/>
            <w:shd w:val="clear" w:color="auto" w:fill="E5E5E5"/>
          </w:tcPr>
          <w:p>
            <w:pPr>
              <w:spacing w:after="0"/>
              <w:rPr>
                <w:sz w:val="24"/>
                <w:szCs w:val="24"/>
                <w:color w:val="auto"/>
              </w:rPr>
            </w:pPr>
          </w:p>
        </w:tc>
        <w:tc>
          <w:tcPr>
            <w:tcW w:w="1460" w:type="dxa"/>
            <w:vAlign w:val="bottom"/>
            <w:tcBorders>
              <w:bottom w:val="single" w:sz="8" w:color="E5E5E5"/>
            </w:tcBorders>
            <w:vMerge w:val="continue"/>
            <w:shd w:val="clear" w:color="auto" w:fill="E5E5E5"/>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592,322​</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​10,295,489​</w:t>
            </w:r>
          </w:p>
        </w:tc>
        <w:tc>
          <w:tcPr>
            <w:tcW w:w="5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8,732,606​</w:t>
            </w:r>
          </w:p>
        </w:tc>
        <w:tc>
          <w:tcPr>
            <w:tcW w:w="2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E5E5E5"/>
            </w:tcBorders>
            <w:shd w:val="clear" w:color="auto" w:fill="CCCCCC"/>
          </w:tcPr>
          <w:p>
            <w:pPr>
              <w:spacing w:after="0" w:line="20" w:lineRule="exact"/>
              <w:rPr>
                <w:sz w:val="1"/>
                <w:szCs w:val="1"/>
                <w:color w:val="auto"/>
              </w:rPr>
            </w:pPr>
          </w:p>
        </w:tc>
        <w:tc>
          <w:tcPr>
            <w:tcW w:w="1460" w:type="dxa"/>
            <w:vAlign w:val="bottom"/>
            <w:tcBorders>
              <w:top w:val="single" w:sz="8" w:color="E5E5E5"/>
            </w:tcBorders>
            <w:shd w:val="clear" w:color="auto" w:fill="CCCCCC"/>
          </w:tcPr>
          <w:p>
            <w:pPr>
              <w:spacing w:after="0" w:line="20" w:lineRule="exact"/>
              <w:rPr>
                <w:sz w:val="1"/>
                <w:szCs w:val="1"/>
                <w:color w:val="auto"/>
              </w:rPr>
            </w:pPr>
          </w:p>
        </w:tc>
        <w:tc>
          <w:tcPr>
            <w:tcW w:w="80" w:type="dxa"/>
            <w:vAlign w:val="bottom"/>
            <w:tcBorders>
              <w:top w:val="single" w:sz="8" w:color="E5E5E5"/>
              <w:right w:val="single" w:sz="8" w:color="CCCCCC"/>
            </w:tcBorders>
            <w:shd w:val="clear" w:color="auto" w:fill="CCCCCC"/>
          </w:tcPr>
          <w:p>
            <w:pPr>
              <w:spacing w:after="0" w:line="20" w:lineRule="exact"/>
              <w:rPr>
                <w:sz w:val="1"/>
                <w:szCs w:val="1"/>
                <w:color w:val="auto"/>
              </w:rPr>
            </w:pPr>
          </w:p>
        </w:tc>
        <w:tc>
          <w:tcPr>
            <w:tcW w:w="1640" w:type="dxa"/>
            <w:vAlign w:val="bottom"/>
            <w:tcBorders>
              <w:top w:val="single" w:sz="8" w:color="BFBFBF"/>
            </w:tcBorders>
            <w:shd w:val="clear" w:color="auto" w:fill="CCCCCC"/>
          </w:tcPr>
          <w:p>
            <w:pPr>
              <w:spacing w:after="0" w:line="20" w:lineRule="exact"/>
              <w:rPr>
                <w:sz w:val="1"/>
                <w:szCs w:val="1"/>
                <w:color w:val="auto"/>
              </w:rPr>
            </w:pPr>
          </w:p>
        </w:tc>
        <w:tc>
          <w:tcPr>
            <w:tcW w:w="380" w:type="dxa"/>
            <w:vAlign w:val="bottom"/>
            <w:tcBorders>
              <w:top w:val="single" w:sz="8" w:color="BFBFBF"/>
            </w:tcBorders>
            <w:shd w:val="clear" w:color="auto" w:fill="CCCCCC"/>
          </w:tcPr>
          <w:p>
            <w:pPr>
              <w:spacing w:after="0" w:line="20" w:lineRule="exact"/>
              <w:rPr>
                <w:sz w:val="1"/>
                <w:szCs w:val="1"/>
                <w:color w:val="auto"/>
              </w:rPr>
            </w:pPr>
          </w:p>
        </w:tc>
        <w:tc>
          <w:tcPr>
            <w:tcW w:w="380" w:type="dxa"/>
            <w:vAlign w:val="bottom"/>
            <w:tcBorders>
              <w:top w:val="single" w:sz="8" w:color="BFBFBF"/>
            </w:tcBorders>
            <w:shd w:val="clear" w:color="auto" w:fill="CCCCCC"/>
          </w:tcPr>
          <w:p>
            <w:pPr>
              <w:spacing w:after="0" w:line="20" w:lineRule="exact"/>
              <w:rPr>
                <w:sz w:val="1"/>
                <w:szCs w:val="1"/>
                <w:color w:val="auto"/>
              </w:rPr>
            </w:pPr>
          </w:p>
        </w:tc>
        <w:tc>
          <w:tcPr>
            <w:tcW w:w="1120" w:type="dxa"/>
            <w:vAlign w:val="bottom"/>
            <w:tcBorders>
              <w:top w:val="single" w:sz="8" w:color="BFBFBF"/>
            </w:tcBorders>
            <w:shd w:val="clear" w:color="auto" w:fill="CCCCCC"/>
          </w:tcPr>
          <w:p>
            <w:pPr>
              <w:spacing w:after="0" w:line="20" w:lineRule="exact"/>
              <w:rPr>
                <w:sz w:val="1"/>
                <w:szCs w:val="1"/>
                <w:color w:val="auto"/>
              </w:rPr>
            </w:pPr>
          </w:p>
        </w:tc>
        <w:tc>
          <w:tcPr>
            <w:tcW w:w="580" w:type="dxa"/>
            <w:vAlign w:val="bottom"/>
            <w:tcBorders>
              <w:top w:val="single" w:sz="8" w:color="BFBFBF"/>
            </w:tcBorders>
            <w:shd w:val="clear" w:color="auto" w:fill="CCCCCC"/>
          </w:tcPr>
          <w:p>
            <w:pPr>
              <w:spacing w:after="0" w:line="20" w:lineRule="exact"/>
              <w:rPr>
                <w:sz w:val="1"/>
                <w:szCs w:val="1"/>
                <w:color w:val="auto"/>
              </w:rPr>
            </w:pPr>
          </w:p>
        </w:tc>
        <w:tc>
          <w:tcPr>
            <w:tcW w:w="300" w:type="dxa"/>
            <w:vAlign w:val="bottom"/>
            <w:tcBorders>
              <w:top w:val="single" w:sz="8" w:color="BFBFBF"/>
            </w:tcBorders>
            <w:shd w:val="clear" w:color="auto" w:fill="CCCCCC"/>
          </w:tcPr>
          <w:p>
            <w:pPr>
              <w:spacing w:after="0" w:line="20" w:lineRule="exact"/>
              <w:rPr>
                <w:sz w:val="1"/>
                <w:szCs w:val="1"/>
                <w:color w:val="auto"/>
              </w:rPr>
            </w:pPr>
          </w:p>
        </w:tc>
        <w:tc>
          <w:tcPr>
            <w:tcW w:w="1200" w:type="dxa"/>
            <w:vAlign w:val="bottom"/>
            <w:tcBorders>
              <w:top w:val="single" w:sz="8" w:color="BFBFBF"/>
            </w:tcBorders>
            <w:shd w:val="clear" w:color="auto" w:fill="CCCCCC"/>
          </w:tcPr>
          <w:p>
            <w:pPr>
              <w:spacing w:after="0" w:line="20" w:lineRule="exact"/>
              <w:rPr>
                <w:sz w:val="1"/>
                <w:szCs w:val="1"/>
                <w:color w:val="auto"/>
              </w:rPr>
            </w:pPr>
          </w:p>
        </w:tc>
        <w:tc>
          <w:tcPr>
            <w:tcW w:w="580" w:type="dxa"/>
            <w:vAlign w:val="bottom"/>
            <w:tcBorders>
              <w:top w:val="single" w:sz="8" w:color="BFBFBF"/>
            </w:tcBorders>
            <w:shd w:val="clear" w:color="auto" w:fill="CCCCCC"/>
          </w:tcPr>
          <w:p>
            <w:pPr>
              <w:spacing w:after="0" w:line="20" w:lineRule="exact"/>
              <w:rPr>
                <w:sz w:val="1"/>
                <w:szCs w:val="1"/>
                <w:color w:val="auto"/>
              </w:rPr>
            </w:pPr>
          </w:p>
        </w:tc>
        <w:tc>
          <w:tcPr>
            <w:tcW w:w="300" w:type="dxa"/>
            <w:vAlign w:val="bottom"/>
            <w:tcBorders>
              <w:top w:val="single" w:sz="8" w:color="BFBFBF"/>
            </w:tcBorders>
            <w:shd w:val="clear" w:color="auto" w:fill="CCCCCC"/>
          </w:tcPr>
          <w:p>
            <w:pPr>
              <w:spacing w:after="0" w:line="20" w:lineRule="exact"/>
              <w:rPr>
                <w:sz w:val="1"/>
                <w:szCs w:val="1"/>
                <w:color w:val="auto"/>
              </w:rPr>
            </w:pPr>
          </w:p>
        </w:tc>
        <w:tc>
          <w:tcPr>
            <w:tcW w:w="1020" w:type="dxa"/>
            <w:vAlign w:val="bottom"/>
            <w:tcBorders>
              <w:top w:val="single" w:sz="8" w:color="BFBFBF"/>
            </w:tcBorders>
            <w:shd w:val="clear" w:color="auto" w:fill="CCCCCC"/>
          </w:tcPr>
          <w:p>
            <w:pPr>
              <w:spacing w:after="0" w:line="20" w:lineRule="exact"/>
              <w:rPr>
                <w:sz w:val="1"/>
                <w:szCs w:val="1"/>
                <w:color w:val="auto"/>
              </w:rPr>
            </w:pPr>
          </w:p>
        </w:tc>
        <w:tc>
          <w:tcPr>
            <w:tcW w:w="260" w:type="dxa"/>
            <w:vAlign w:val="bottom"/>
            <w:tcBorders>
              <w:top w:val="single" w:sz="8" w:color="BFBFBF"/>
            </w:tcBorders>
            <w:shd w:val="clear" w:color="auto" w:fill="CCCC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-2185670</wp:posOffset>
            </wp:positionV>
            <wp:extent cx="4980305" cy="2177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80305" cy="2177415"/>
                    </a:xfrm>
                    <a:prstGeom prst="rect">
                      <a:avLst/>
                    </a:prstGeom>
                    <a:noFill/>
                  </pic:spPr>
                </pic:pic>
              </a:graphicData>
            </a:graphic>
          </wp:anchor>
        </w:drawing>
      </w:r>
    </w:p>
    <w:p>
      <w:pPr>
        <w:spacing w:after="0" w:line="116" w:lineRule="exact"/>
        <w:rPr>
          <w:sz w:val="20"/>
          <w:szCs w:val="20"/>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For Mr. Griffin, includes amounts payable pursuant to a termination for good reason outside of a change in control.</w:t>
      </w:r>
    </w:p>
    <w:p>
      <w:pPr>
        <w:spacing w:after="0" w:line="3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value of accrued vacation/paid time off required by law to be paid upon termination.</w:t>
      </w:r>
    </w:p>
    <w:p>
      <w:pPr>
        <w:spacing w:after="0" w:line="3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(2) times the sum of  (A) Mr. Griffin’s annual base salary as of September 27, 2024, and</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(B) an Incentive Plan payment, which is equal to the three (3) year average of the actual incentive payments made to</w:t>
      </w:r>
    </w:p>
    <w:p>
      <w:pPr>
        <w:spacing w:after="0" w:line="9" w:lineRule="exact"/>
        <w:rPr>
          <w:sz w:val="20"/>
          <w:szCs w:val="20"/>
          <w:color w:val="auto"/>
        </w:rPr>
      </w:pPr>
    </w:p>
    <w:p>
      <w:pPr>
        <w:ind w:left="1080" w:right="280"/>
        <w:spacing w:after="0" w:line="263" w:lineRule="auto"/>
        <w:rPr>
          <w:sz w:val="20"/>
          <w:szCs w:val="20"/>
          <w:color w:val="auto"/>
        </w:rPr>
      </w:pPr>
      <w:r>
        <w:rPr>
          <w:rFonts w:ascii="Arial" w:cs="Arial" w:eastAsia="Arial" w:hAnsi="Arial"/>
          <w:sz w:val="16"/>
          <w:szCs w:val="16"/>
          <w:i w:val="1"/>
          <w:iCs w:val="1"/>
          <w:color w:val="auto"/>
        </w:rPr>
        <w:t>Mr. Griffin for the Company’s fiscal year ended October 1, 2021 (“fiscal year 2021”), fiscal year 2022, and fiscal year 2023, since such average is greater than the “target” short-term cash incentive award for fiscal year 2024.</w:t>
      </w:r>
    </w:p>
    <w:p>
      <w:pPr>
        <w:spacing w:after="0" w:line="1" w:lineRule="exact"/>
        <w:rPr>
          <w:sz w:val="20"/>
          <w:szCs w:val="20"/>
          <w:color w:val="auto"/>
        </w:rPr>
      </w:pPr>
    </w:p>
    <w:p>
      <w:pPr>
        <w:ind w:left="1080" w:right="40" w:hanging="354"/>
        <w:spacing w:after="0" w:line="245" w:lineRule="auto"/>
        <w:tabs>
          <w:tab w:leader="none" w:pos="108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and one-half  (2</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1"/>
          <w:szCs w:val="11"/>
          <w:i w:val="1"/>
          <w:iCs w:val="1"/>
          <w:color w:val="auto"/>
        </w:rPr>
        <w:t>2</w:t>
      </w:r>
      <w:r>
        <w:rPr>
          <w:rFonts w:ascii="Arial" w:cs="Arial" w:eastAsia="Arial" w:hAnsi="Arial"/>
          <w:sz w:val="16"/>
          <w:szCs w:val="16"/>
          <w:i w:val="1"/>
          <w:iCs w:val="1"/>
          <w:color w:val="auto"/>
        </w:rPr>
        <w:t>) times the sum of  (A) Mr. Griffin’s annual base salary as of September 27, 2024, and (B) an Incentive Plan payment, which is equal to the three (3) year average of the actual incentive payments made to Mr. Griffin for fiscal years 2021, 2022, and 2023, since such average is greater than the “target” short-term cash incentive award for fiscal year 2024.</w:t>
      </w:r>
    </w:p>
    <w:p>
      <w:pPr>
        <w:spacing w:after="0" w:line="33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80" w:hanging="354"/>
        <w:spacing w:after="0" w:line="260" w:lineRule="auto"/>
        <w:tabs>
          <w:tab w:leader="none" w:pos="1080"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value of PSAs that were unvested and outstanding as of September 27, 2024, in accordance with Item 402(j) of Regulation S-K, using the following assumptions: (a) achievement at the “target” level of performance for the FY22 PSAs (3-year TSR percentile ranking metric) scheduled to vest on November 10, 2024, based on the Company’s TSR relative to the applicable peer group for fiscal years 2022 and 2023 tracking below the “target” level of performance; (b) achievement at 200% of the “target” level of performance for the FY23 PSAs emerging revenue growth metric scheduled to vest on November 8, 2024, based on the Company’s actual achievement at the “maximum” level of performance with respect to the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performance metric measured over a one-year performance period consisting of the Company’s fiscal year 2023;</w:t>
      </w:r>
    </w:p>
    <w:p>
      <w:pPr>
        <w:spacing w:after="0" w:line="9" w:lineRule="exact"/>
        <w:rPr>
          <w:sz w:val="20"/>
          <w:szCs w:val="20"/>
          <w:color w:val="auto"/>
        </w:rPr>
      </w:pPr>
    </w:p>
    <w:p>
      <w:pPr>
        <w:ind w:left="1080" w:right="40"/>
        <w:spacing w:after="0" w:line="258" w:lineRule="auto"/>
        <w:rPr>
          <w:sz w:val="20"/>
          <w:szCs w:val="20"/>
          <w:color w:val="auto"/>
        </w:rPr>
      </w:pPr>
      <w:r>
        <w:rPr>
          <w:rFonts w:ascii="Arial" w:cs="Arial" w:eastAsia="Arial" w:hAnsi="Arial"/>
          <w:sz w:val="16"/>
          <w:szCs w:val="16"/>
          <w:i w:val="1"/>
          <w:iCs w:val="1"/>
          <w:color w:val="auto"/>
        </w:rPr>
        <w:t>(c) achievement at 125% of the “target” level of performance for the FY23 PSAs EBITDA margin percentile ranking metric scheduled to vest on November 8, 2024, based on the Company’s tracking of achievement between the “target” and “maximum” levels of performance with respect to the metric measured over a two-year performance period consisting of the Company’s fiscal year 2023 and fiscal year 2024; (d) achievement at the “target” level of performance for the FY23 PSAs (3-year TSR percentile ranking metric) scheduled to vest on November 8, 2025, based on the Company’s TSR relative to the applicable peer group for fiscal year 2023 tracking below the “target” level of performance; (e) achievement at 100% of the “target” level of performance for the FY24 PSAs emerging revenue growth metric scheduled to vest on November 7, 2025, based on the Company’s actual achievement at 61% of the “target” level of performance with respect to the performance metric measured over a one-year performance period consisting of the Company’s fiscal year 2024; (f) achievement at 100% of the “target” level of performance for the FY24 PSAs (EBITDA margin percentile ranking metric) scheduled to vest on November 7, 2025, based on the Company’s tracking of achievement between the “threshold” and “target” levels of performance with respect to the metric measured over a two-year performance period consisting of the Company’s fiscal year 2024 and fiscal year 2025; and (g) achievement at the “target” level of performance for the FY24 PSAs (3-year TSR percentile ranking metric) scheduled to vest on November 7, 2026, based on the Company’s TSR relative to the applicable peer group for fiscal year 2024 tracking below the “target” level of performance.</w:t>
      </w:r>
    </w:p>
    <w:p>
      <w:pPr>
        <w:spacing w:after="0" w:line="2" w:lineRule="exact"/>
        <w:rPr>
          <w:sz w:val="20"/>
          <w:szCs w:val="20"/>
          <w:color w:val="auto"/>
        </w:rPr>
      </w:pPr>
    </w:p>
    <w:p>
      <w:pPr>
        <w:ind w:left="1080" w:hanging="354"/>
        <w:spacing w:after="0"/>
        <w:tabs>
          <w:tab w:leader="none" w:pos="1080"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the Named Executive Officer’s annual base salary as of September 27, 2024.</w:t>
      </w:r>
    </w:p>
    <w:p>
      <w:pPr>
        <w:spacing w:after="0" w:line="32" w:lineRule="exact"/>
        <w:rPr>
          <w:rFonts w:ascii="Arial" w:cs="Arial" w:eastAsia="Arial" w:hAnsi="Arial"/>
          <w:sz w:val="16"/>
          <w:szCs w:val="16"/>
          <w:i w:val="1"/>
          <w:iCs w:val="1"/>
          <w:color w:val="auto"/>
        </w:rPr>
      </w:pPr>
    </w:p>
    <w:p>
      <w:pPr>
        <w:ind w:left="1080" w:right="120" w:hanging="354"/>
        <w:spacing w:after="0" w:line="245" w:lineRule="auto"/>
        <w:tabs>
          <w:tab w:leader="none" w:pos="1080"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one and one-half  (1</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1"/>
          <w:szCs w:val="11"/>
          <w:i w:val="1"/>
          <w:iCs w:val="1"/>
          <w:color w:val="auto"/>
        </w:rPr>
        <w:t>2</w:t>
      </w:r>
      <w:r>
        <w:rPr>
          <w:rFonts w:ascii="Arial" w:cs="Arial" w:eastAsia="Arial" w:hAnsi="Arial"/>
          <w:sz w:val="16"/>
          <w:szCs w:val="16"/>
          <w:i w:val="1"/>
          <w:iCs w:val="1"/>
          <w:color w:val="auto"/>
        </w:rPr>
        <w:t>) times the sum of  (A) the Named Executive Officer’s annual base salary as of September 27, 2024, and (B) an Incentive Plan payment, which is equal to the Named Executive Officer’s “target” short-term cash incentive award for fiscal year 2024, since such amount is greater than the three (3) year average of the actual incentive payments made to the Named Executive Officer for fiscal years 2021, 2022,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CEO Pay Ratio</w:t>
      </w:r>
    </w:p>
    <w:p>
      <w:pPr>
        <w:spacing w:after="0" w:line="137" w:lineRule="exact"/>
        <w:rPr>
          <w:sz w:val="20"/>
          <w:szCs w:val="20"/>
          <w:color w:val="auto"/>
        </w:rPr>
      </w:pPr>
    </w:p>
    <w:p>
      <w:pPr>
        <w:ind w:left="660" w:right="40"/>
        <w:spacing w:after="0" w:line="261" w:lineRule="auto"/>
        <w:rPr>
          <w:sz w:val="20"/>
          <w:szCs w:val="20"/>
          <w:color w:val="auto"/>
        </w:rPr>
      </w:pPr>
      <w:r>
        <w:rPr>
          <w:rFonts w:ascii="Arial" w:cs="Arial" w:eastAsia="Arial" w:hAnsi="Arial"/>
          <w:sz w:val="20"/>
          <w:szCs w:val="20"/>
          <w:color w:val="auto"/>
        </w:rPr>
        <w:t>Following is an estimate, prepared under applicable SEC rules, of the ratio of the annual total compensation of our Chief Executive Officer to the median of the annual total compensation of our other employees. For fiscal year 2024:</w:t>
      </w:r>
    </w:p>
    <w:p>
      <w:pPr>
        <w:spacing w:after="0" w:line="180" w:lineRule="exact"/>
        <w:rPr>
          <w:sz w:val="20"/>
          <w:szCs w:val="20"/>
          <w:color w:val="auto"/>
        </w:rPr>
      </w:pPr>
    </w:p>
    <w:p>
      <w:pPr>
        <w:ind w:left="840" w:right="580" w:hanging="186"/>
        <w:spacing w:after="0" w:line="263" w:lineRule="auto"/>
        <w:tabs>
          <w:tab w:leader="none" w:pos="8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annual total compensation of our Chief Executive Officer was $18,096,527.</w:t>
      </w:r>
    </w:p>
    <w:p>
      <w:pPr>
        <w:ind w:left="840" w:right="400" w:hanging="186"/>
        <w:spacing w:after="0" w:line="281" w:lineRule="auto"/>
        <w:tabs>
          <w:tab w:leader="none" w:pos="8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annual total compensation of our median compensated employee was $31,541.</w:t>
      </w:r>
    </w:p>
    <w:p>
      <w:pPr>
        <w:spacing w:after="0" w:line="1" w:lineRule="exact"/>
        <w:rPr>
          <w:rFonts w:ascii="Arial" w:cs="Arial" w:eastAsia="Arial" w:hAnsi="Arial"/>
          <w:sz w:val="19"/>
          <w:szCs w:val="19"/>
          <w:color w:val="auto"/>
        </w:rPr>
      </w:pPr>
    </w:p>
    <w:p>
      <w:pPr>
        <w:ind w:left="840" w:right="140" w:hanging="186"/>
        <w:spacing w:after="0" w:line="267" w:lineRule="auto"/>
        <w:tabs>
          <w:tab w:leader="none" w:pos="8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the foregoing, we estimate that our Chief Executive Officer’s total annual compensation was approximately 574 times that of our median employee.</w:t>
      </w:r>
    </w:p>
    <w:p>
      <w:pPr>
        <w:spacing w:after="0" w:line="187" w:lineRule="exact"/>
        <w:rPr>
          <w:sz w:val="20"/>
          <w:szCs w:val="20"/>
          <w:color w:val="auto"/>
        </w:rPr>
      </w:pPr>
    </w:p>
    <w:p>
      <w:pPr>
        <w:ind w:left="660" w:right="240"/>
        <w:spacing w:after="0" w:line="290" w:lineRule="auto"/>
        <w:rPr>
          <w:sz w:val="20"/>
          <w:szCs w:val="20"/>
          <w:color w:val="auto"/>
        </w:rPr>
      </w:pPr>
      <w:r>
        <w:rPr>
          <w:rFonts w:ascii="Arial" w:cs="Arial" w:eastAsia="Arial" w:hAnsi="Arial"/>
          <w:sz w:val="19"/>
          <w:szCs w:val="19"/>
          <w:color w:val="auto"/>
        </w:rPr>
        <w:t>To determine the median of the annual total compensation of our employees, we applied the following methodology and material assumptions:</w:t>
      </w:r>
    </w:p>
    <w:p>
      <w:pPr>
        <w:spacing w:after="0" w:line="139" w:lineRule="exact"/>
        <w:rPr>
          <w:sz w:val="20"/>
          <w:szCs w:val="20"/>
          <w:color w:val="auto"/>
        </w:rPr>
      </w:pPr>
    </w:p>
    <w:p>
      <w:pPr>
        <w:ind w:left="840" w:hanging="186"/>
        <w:spacing w:after="0" w:line="277" w:lineRule="auto"/>
        <w:tabs>
          <w:tab w:leader="none" w:pos="8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We did not use the de minimis exception to exclude any non-U.S. employees. We have a globally diverse workforce with total headcount of approximately 10,100 as of September 27, 2024, of which approximately 75% are located outside the United States, primarily in locations employing large direct labor forces such as Mexico and Singapore where wages are significantly lower than in the United States. The median employee within our employee population was identified, consistent with prior years, as of the last day of our fiscal year, or September 27, 2024, and is a full-time employee in our Mexicali, Mexico facility.</w:t>
      </w:r>
    </w:p>
    <w:p>
      <w:pPr>
        <w:spacing w:after="0" w:line="6" w:lineRule="exact"/>
        <w:rPr>
          <w:rFonts w:ascii="Arial" w:cs="Arial" w:eastAsia="Arial" w:hAnsi="Arial"/>
          <w:sz w:val="19"/>
          <w:szCs w:val="19"/>
          <w:color w:val="auto"/>
        </w:rPr>
      </w:pPr>
    </w:p>
    <w:p>
      <w:pPr>
        <w:ind w:left="840" w:right="160" w:hanging="186"/>
        <w:spacing w:after="0" w:line="274" w:lineRule="auto"/>
        <w:tabs>
          <w:tab w:leader="none" w:pos="8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identify the median employee, we used a consistently applied compensation measure that included total taxable earnings paid 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3" w:right="40"/>
        <w:spacing w:after="0" w:line="254" w:lineRule="auto"/>
        <w:rPr>
          <w:sz w:val="20"/>
          <w:szCs w:val="20"/>
          <w:color w:val="auto"/>
        </w:rPr>
      </w:pPr>
      <w:r>
        <w:rPr>
          <w:rFonts w:ascii="Arial" w:cs="Arial" w:eastAsia="Arial" w:hAnsi="Arial"/>
          <w:sz w:val="20"/>
          <w:szCs w:val="20"/>
          <w:color w:val="auto"/>
        </w:rPr>
        <w:t>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1" w:lineRule="exact"/>
        <w:rPr>
          <w:sz w:val="20"/>
          <w:szCs w:val="20"/>
          <w:color w:val="auto"/>
        </w:rPr>
      </w:pPr>
    </w:p>
    <w:p>
      <w:pPr>
        <w:ind w:left="183" w:right="180" w:hanging="183"/>
        <w:spacing w:after="0" w:line="275" w:lineRule="auto"/>
        <w:tabs>
          <w:tab w:leader="none" w:pos="183" w:val="left"/>
        </w:tabs>
        <w:numPr>
          <w:ilvl w:val="0"/>
          <w:numId w:val="79"/>
        </w:numPr>
        <w:rPr>
          <w:rFonts w:ascii="Arial" w:cs="Arial" w:eastAsia="Arial" w:hAnsi="Arial"/>
          <w:sz w:val="19"/>
          <w:szCs w:val="19"/>
          <w:color w:val="auto"/>
        </w:rPr>
      </w:pPr>
      <w:r>
        <w:rPr>
          <w:rFonts w:ascii="Arial" w:cs="Arial" w:eastAsia="Arial" w:hAnsi="Arial"/>
          <w:sz w:val="19"/>
          <w:szCs w:val="19"/>
          <w:color w:val="auto"/>
        </w:rPr>
        <w:t>Using this consistently applied compensation measure, we identified an employee at the median and calculated such employee’s total compensation for fiscal year 2024 in accordance with Item 402(c)(2)(x) of Regulation S-K.</w:t>
      </w:r>
    </w:p>
    <w:p>
      <w:pPr>
        <w:spacing w:after="0" w:line="3" w:lineRule="exact"/>
        <w:rPr>
          <w:rFonts w:ascii="Arial" w:cs="Arial" w:eastAsia="Arial" w:hAnsi="Arial"/>
          <w:sz w:val="19"/>
          <w:szCs w:val="19"/>
          <w:color w:val="auto"/>
        </w:rPr>
      </w:pPr>
    </w:p>
    <w:p>
      <w:pPr>
        <w:ind w:left="183" w:right="240" w:hanging="183"/>
        <w:spacing w:after="0" w:line="260" w:lineRule="auto"/>
        <w:tabs>
          <w:tab w:leader="none" w:pos="183" w:val="left"/>
        </w:tabs>
        <w:numPr>
          <w:ilvl w:val="0"/>
          <w:numId w:val="79"/>
        </w:numPr>
        <w:rPr>
          <w:rFonts w:ascii="Arial" w:cs="Arial" w:eastAsia="Arial" w:hAnsi="Arial"/>
          <w:sz w:val="20"/>
          <w:szCs w:val="20"/>
          <w:color w:val="auto"/>
        </w:rPr>
      </w:pPr>
      <w:r>
        <w:rPr>
          <w:rFonts w:ascii="Arial" w:cs="Arial" w:eastAsia="Arial" w:hAnsi="Arial"/>
          <w:sz w:val="20"/>
          <w:szCs w:val="20"/>
          <w:color w:val="auto"/>
        </w:rPr>
        <w:t>We did not use any cost-of-living adjustments in identifying the median employee.</w:t>
      </w:r>
    </w:p>
    <w:p>
      <w:pPr>
        <w:spacing w:after="0" w:line="1" w:lineRule="exact"/>
        <w:rPr>
          <w:rFonts w:ascii="Arial" w:cs="Arial" w:eastAsia="Arial" w:hAnsi="Arial"/>
          <w:sz w:val="20"/>
          <w:szCs w:val="20"/>
          <w:color w:val="auto"/>
        </w:rPr>
      </w:pPr>
    </w:p>
    <w:p>
      <w:pPr>
        <w:ind w:left="183" w:right="360" w:hanging="183"/>
        <w:spacing w:after="0" w:line="267" w:lineRule="auto"/>
        <w:tabs>
          <w:tab w:leader="none" w:pos="183"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annual total compensation of our Chief Executive Officer is the amount reported in the “Total” column of our Summary Compensation Table for fiscal year 2024.</w:t>
      </w:r>
    </w:p>
    <w:p>
      <w:pPr>
        <w:spacing w:after="0" w:line="187" w:lineRule="exact"/>
        <w:rPr>
          <w:sz w:val="20"/>
          <w:szCs w:val="20"/>
          <w:color w:val="auto"/>
        </w:rPr>
      </w:pPr>
    </w:p>
    <w:p>
      <w:pPr>
        <w:ind w:left="3" w:right="140"/>
        <w:spacing w:after="0" w:line="270" w:lineRule="auto"/>
        <w:rPr>
          <w:sz w:val="20"/>
          <w:szCs w:val="20"/>
          <w:color w:val="auto"/>
        </w:rPr>
      </w:pPr>
      <w:r>
        <w:rPr>
          <w:rFonts w:ascii="Arial" w:cs="Arial" w:eastAsia="Arial" w:hAnsi="Arial"/>
          <w:sz w:val="19"/>
          <w:szCs w:val="19"/>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ectPr>
          <w:pgSz w:w="11900" w:h="16838" w:orient="portrait"/>
          <w:cols w:equalWidth="0" w:num="2">
            <w:col w:w="5120" w:space="457"/>
            <w:col w:w="4523"/>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Pay Versus Performance</w:t>
      </w:r>
    </w:p>
    <w:p>
      <w:pPr>
        <w:spacing w:after="0" w:line="110"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following tables and related disclosures provide information about (i) the “total compensation” of our principal executive officer (“PEO”) and, on average, our other named executive officers (the “Other NEOs”) as presented in the Summary Compensation Table (the “SCT Amounts”), (ii) the “compensation actually paid” to our PEO and our Other NEOs, as calculated pursuant to the SEC’s pay-versus-performance rules (the “CAP Amounts”),</w:t>
      </w:r>
    </w:p>
    <w:p>
      <w:pPr>
        <w:spacing w:after="0" w:line="1" w:lineRule="exact"/>
        <w:rPr>
          <w:sz w:val="20"/>
          <w:szCs w:val="20"/>
          <w:color w:val="auto"/>
        </w:rPr>
      </w:pPr>
    </w:p>
    <w:p>
      <w:pPr>
        <w:ind w:left="960" w:hanging="306"/>
        <w:spacing w:after="0"/>
        <w:tabs>
          <w:tab w:leader="none" w:pos="9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certain financial performance measures, and</w:t>
      </w:r>
    </w:p>
    <w:p>
      <w:pPr>
        <w:spacing w:after="0" w:line="13" w:lineRule="exact"/>
        <w:rPr>
          <w:rFonts w:ascii="Arial" w:cs="Arial" w:eastAsia="Arial" w:hAnsi="Arial"/>
          <w:sz w:val="20"/>
          <w:szCs w:val="20"/>
          <w:color w:val="auto"/>
        </w:rPr>
      </w:pPr>
    </w:p>
    <w:p>
      <w:pPr>
        <w:ind w:left="660" w:right="300" w:hanging="6"/>
        <w:spacing w:after="0" w:line="267" w:lineRule="auto"/>
        <w:tabs>
          <w:tab w:leader="none" w:pos="9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relationship of the CAP Amounts to those financial performance measures.</w:t>
      </w:r>
    </w:p>
    <w:p>
      <w:pPr>
        <w:spacing w:after="0" w:line="172"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This disclosure has been prepared in accordance with Item 402(v) of Regulation S-K under the Exchange Act and does not necessarily reflect value actually realized by the executives or how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74" w:lineRule="auto"/>
        <w:rPr>
          <w:sz w:val="20"/>
          <w:szCs w:val="20"/>
          <w:color w:val="auto"/>
        </w:rPr>
      </w:pPr>
      <w:r>
        <w:rPr>
          <w:rFonts w:ascii="Arial" w:cs="Arial" w:eastAsia="Arial" w:hAnsi="Arial"/>
          <w:sz w:val="19"/>
          <w:szCs w:val="19"/>
          <w:color w:val="auto"/>
        </w:rPr>
        <w:t>our Compensation Committee evaluates compensation decisions in light of Company or individual performance. For further discussion of how our Compensation Committee seeks to align pay with performance when making compensation decisions, please review the Compensation Discussion and Analysis section of this report.</w:t>
      </w:r>
    </w:p>
    <w:p>
      <w:pPr>
        <w:spacing w:after="0" w:line="171"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color w:val="auto"/>
        </w:rPr>
        <w:t>The Company’s executive compensation program reflects our pay-for-performance philosophy. Overall, our executive compensation is closely aligned with stockholder returns, as a substantial portion of compensation to our PEO and Other NEOs is in the form of long-term stock-based compensation awards, where the potential value that may be earned fluctuates depending on the movement of our stock price and/or the achievement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130175</wp:posOffset>
            </wp:positionV>
            <wp:extent cx="1440180" cy="8743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40180" cy="8743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400" w:type="dxa"/>
            <w:vAlign w:val="bottom"/>
            <w:shd w:val="clear" w:color="auto" w:fill="0075A8"/>
          </w:tcPr>
          <w:p>
            <w:pPr>
              <w:spacing w:after="0"/>
              <w:rPr>
                <w:sz w:val="15"/>
                <w:szCs w:val="15"/>
                <w:color w:val="auto"/>
              </w:rPr>
            </w:pPr>
          </w:p>
        </w:tc>
        <w:tc>
          <w:tcPr>
            <w:tcW w:w="160" w:type="dxa"/>
            <w:vAlign w:val="bottom"/>
            <w:shd w:val="clear" w:color="auto" w:fill="0075A8"/>
          </w:tcPr>
          <w:p>
            <w:pPr>
              <w:spacing w:after="0"/>
              <w:rPr>
                <w:sz w:val="15"/>
                <w:szCs w:val="15"/>
                <w:color w:val="auto"/>
              </w:rPr>
            </w:pPr>
          </w:p>
        </w:tc>
        <w:tc>
          <w:tcPr>
            <w:tcW w:w="960" w:type="dxa"/>
            <w:vAlign w:val="bottom"/>
            <w:shd w:val="clear" w:color="auto" w:fill="0075A8"/>
          </w:tcPr>
          <w:p>
            <w:pPr>
              <w:spacing w:after="0"/>
              <w:rPr>
                <w:sz w:val="15"/>
                <w:szCs w:val="15"/>
                <w:color w:val="auto"/>
              </w:rPr>
            </w:pPr>
          </w:p>
        </w:tc>
        <w:tc>
          <w:tcPr>
            <w:tcW w:w="360" w:type="dxa"/>
            <w:vAlign w:val="bottom"/>
            <w:shd w:val="clear" w:color="auto" w:fill="0075A8"/>
          </w:tcPr>
          <w:p>
            <w:pPr>
              <w:spacing w:after="0"/>
              <w:rPr>
                <w:sz w:val="15"/>
                <w:szCs w:val="15"/>
                <w:color w:val="auto"/>
              </w:rPr>
            </w:pPr>
          </w:p>
        </w:tc>
        <w:tc>
          <w:tcPr>
            <w:tcW w:w="800" w:type="dxa"/>
            <w:vAlign w:val="bottom"/>
            <w:shd w:val="clear" w:color="auto" w:fill="0075A8"/>
          </w:tcPr>
          <w:p>
            <w:pPr>
              <w:spacing w:after="0"/>
              <w:rPr>
                <w:sz w:val="15"/>
                <w:szCs w:val="15"/>
                <w:color w:val="auto"/>
              </w:rPr>
            </w:pPr>
          </w:p>
        </w:tc>
        <w:tc>
          <w:tcPr>
            <w:tcW w:w="220" w:type="dxa"/>
            <w:vAlign w:val="bottom"/>
            <w:shd w:val="clear" w:color="auto" w:fill="0075A8"/>
          </w:tcPr>
          <w:p>
            <w:pPr>
              <w:spacing w:after="0"/>
              <w:rPr>
                <w:sz w:val="15"/>
                <w:szCs w:val="15"/>
                <w:color w:val="auto"/>
              </w:rPr>
            </w:pPr>
          </w:p>
        </w:tc>
        <w:tc>
          <w:tcPr>
            <w:tcW w:w="940" w:type="dxa"/>
            <w:vAlign w:val="bottom"/>
            <w:shd w:val="clear" w:color="auto" w:fill="0075A8"/>
          </w:tcPr>
          <w:p>
            <w:pPr>
              <w:jc w:val="center"/>
              <w:spacing w:after="0"/>
              <w:rPr>
                <w:sz w:val="20"/>
                <w:szCs w:val="20"/>
                <w:color w:val="auto"/>
              </w:rPr>
            </w:pPr>
            <w:r>
              <w:rPr>
                <w:rFonts w:ascii="Arial" w:cs="Arial" w:eastAsia="Arial" w:hAnsi="Arial"/>
                <w:sz w:val="14"/>
                <w:szCs w:val="14"/>
                <w:b w:val="1"/>
                <w:bCs w:val="1"/>
                <w:color w:val="FFFFFF"/>
              </w:rPr>
              <w:t>Average</w:t>
            </w:r>
          </w:p>
        </w:tc>
        <w:tc>
          <w:tcPr>
            <w:tcW w:w="240" w:type="dxa"/>
            <w:vAlign w:val="bottom"/>
            <w:shd w:val="clear" w:color="auto" w:fill="0075A8"/>
          </w:tcPr>
          <w:p>
            <w:pPr>
              <w:spacing w:after="0"/>
              <w:rPr>
                <w:sz w:val="15"/>
                <w:szCs w:val="15"/>
                <w:color w:val="auto"/>
              </w:rPr>
            </w:pPr>
          </w:p>
        </w:tc>
        <w:tc>
          <w:tcPr>
            <w:tcW w:w="920" w:type="dxa"/>
            <w:vAlign w:val="bottom"/>
            <w:shd w:val="clear" w:color="auto" w:fill="0075A8"/>
          </w:tcPr>
          <w:p>
            <w:pPr>
              <w:jc w:val="center"/>
              <w:ind w:right="8"/>
              <w:spacing w:after="0"/>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0075A8"/>
          </w:tcPr>
          <w:p>
            <w:pPr>
              <w:spacing w:after="0"/>
              <w:rPr>
                <w:sz w:val="15"/>
                <w:szCs w:val="15"/>
                <w:color w:val="auto"/>
              </w:rPr>
            </w:pPr>
          </w:p>
        </w:tc>
        <w:tc>
          <w:tcPr>
            <w:tcW w:w="60" w:type="dxa"/>
            <w:vAlign w:val="bottom"/>
            <w:shd w:val="clear" w:color="auto" w:fill="0075A8"/>
          </w:tcPr>
          <w:p>
            <w:pPr>
              <w:spacing w:after="0"/>
              <w:rPr>
                <w:sz w:val="15"/>
                <w:szCs w:val="15"/>
                <w:color w:val="auto"/>
              </w:rPr>
            </w:pPr>
          </w:p>
        </w:tc>
        <w:tc>
          <w:tcPr>
            <w:tcW w:w="240" w:type="dxa"/>
            <w:vAlign w:val="bottom"/>
            <w:shd w:val="clear" w:color="auto" w:fill="0075A8"/>
          </w:tcPr>
          <w:p>
            <w:pPr>
              <w:spacing w:after="0"/>
              <w:rPr>
                <w:sz w:val="15"/>
                <w:szCs w:val="15"/>
                <w:color w:val="auto"/>
              </w:rPr>
            </w:pPr>
          </w:p>
        </w:tc>
        <w:tc>
          <w:tcPr>
            <w:tcW w:w="1640" w:type="dxa"/>
            <w:vAlign w:val="bottom"/>
            <w:gridSpan w:val="3"/>
            <w:shd w:val="clear" w:color="auto" w:fill="0075A8"/>
          </w:tcPr>
          <w:p>
            <w:pPr>
              <w:jc w:val="center"/>
              <w:ind w:right="188"/>
              <w:spacing w:after="0"/>
              <w:rPr>
                <w:sz w:val="20"/>
                <w:szCs w:val="20"/>
                <w:color w:val="auto"/>
              </w:rPr>
            </w:pPr>
            <w:r>
              <w:rPr>
                <w:rFonts w:ascii="Arial" w:cs="Arial" w:eastAsia="Arial" w:hAnsi="Arial"/>
                <w:sz w:val="14"/>
                <w:szCs w:val="14"/>
                <w:b w:val="1"/>
                <w:bCs w:val="1"/>
                <w:color w:val="FFFFFF"/>
                <w:w w:val="98"/>
              </w:rPr>
              <w:t>Value of Initial</w:t>
            </w:r>
          </w:p>
        </w:tc>
        <w:tc>
          <w:tcPr>
            <w:tcW w:w="100" w:type="dxa"/>
            <w:vAlign w:val="bottom"/>
            <w:shd w:val="clear" w:color="auto" w:fill="0075A8"/>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0075A8"/>
          </w:tcPr>
          <w:p>
            <w:pPr>
              <w:spacing w:after="0"/>
              <w:rPr>
                <w:sz w:val="12"/>
                <w:szCs w:val="12"/>
                <w:color w:val="auto"/>
              </w:rPr>
            </w:pPr>
          </w:p>
        </w:tc>
        <w:tc>
          <w:tcPr>
            <w:tcW w:w="160" w:type="dxa"/>
            <w:vAlign w:val="bottom"/>
            <w:shd w:val="clear" w:color="auto" w:fill="0075A8"/>
          </w:tcPr>
          <w:p>
            <w:pPr>
              <w:spacing w:after="0"/>
              <w:rPr>
                <w:sz w:val="12"/>
                <w:szCs w:val="12"/>
                <w:color w:val="auto"/>
              </w:rPr>
            </w:pPr>
          </w:p>
        </w:tc>
        <w:tc>
          <w:tcPr>
            <w:tcW w:w="960" w:type="dxa"/>
            <w:vAlign w:val="bottom"/>
            <w:shd w:val="clear" w:color="auto" w:fill="0075A8"/>
          </w:tcPr>
          <w:p>
            <w:pPr>
              <w:spacing w:after="0"/>
              <w:rPr>
                <w:sz w:val="12"/>
                <w:szCs w:val="12"/>
                <w:color w:val="auto"/>
              </w:rPr>
            </w:pPr>
          </w:p>
        </w:tc>
        <w:tc>
          <w:tcPr>
            <w:tcW w:w="360" w:type="dxa"/>
            <w:vAlign w:val="bottom"/>
            <w:shd w:val="clear" w:color="auto" w:fill="0075A8"/>
          </w:tcPr>
          <w:p>
            <w:pPr>
              <w:spacing w:after="0"/>
              <w:rPr>
                <w:sz w:val="12"/>
                <w:szCs w:val="12"/>
                <w:color w:val="auto"/>
              </w:rPr>
            </w:pPr>
          </w:p>
        </w:tc>
        <w:tc>
          <w:tcPr>
            <w:tcW w:w="800" w:type="dxa"/>
            <w:vAlign w:val="bottom"/>
            <w:shd w:val="clear" w:color="auto" w:fill="0075A8"/>
          </w:tcPr>
          <w:p>
            <w:pPr>
              <w:spacing w:after="0"/>
              <w:rPr>
                <w:sz w:val="12"/>
                <w:szCs w:val="12"/>
                <w:color w:val="auto"/>
              </w:rPr>
            </w:pPr>
          </w:p>
        </w:tc>
        <w:tc>
          <w:tcPr>
            <w:tcW w:w="220" w:type="dxa"/>
            <w:vAlign w:val="bottom"/>
            <w:shd w:val="clear" w:color="auto" w:fill="0075A8"/>
          </w:tcPr>
          <w:p>
            <w:pPr>
              <w:spacing w:after="0"/>
              <w:rPr>
                <w:sz w:val="12"/>
                <w:szCs w:val="12"/>
                <w:color w:val="auto"/>
              </w:rPr>
            </w:pPr>
          </w:p>
        </w:tc>
        <w:tc>
          <w:tcPr>
            <w:tcW w:w="940" w:type="dxa"/>
            <w:vAlign w:val="bottom"/>
            <w:shd w:val="clear" w:color="auto" w:fill="0075A8"/>
          </w:tcPr>
          <w:p>
            <w:pPr>
              <w:jc w:val="center"/>
              <w:spacing w:after="0" w:line="149" w:lineRule="exact"/>
              <w:rPr>
                <w:sz w:val="20"/>
                <w:szCs w:val="20"/>
                <w:color w:val="auto"/>
              </w:rPr>
            </w:pPr>
            <w:r>
              <w:rPr>
                <w:rFonts w:ascii="Arial" w:cs="Arial" w:eastAsia="Arial" w:hAnsi="Arial"/>
                <w:sz w:val="14"/>
                <w:szCs w:val="14"/>
                <w:b w:val="1"/>
                <w:bCs w:val="1"/>
                <w:color w:val="FFFFFF"/>
              </w:rPr>
              <w:t>Summary</w:t>
            </w:r>
          </w:p>
        </w:tc>
        <w:tc>
          <w:tcPr>
            <w:tcW w:w="1160" w:type="dxa"/>
            <w:vAlign w:val="bottom"/>
            <w:gridSpan w:val="2"/>
            <w:shd w:val="clear" w:color="auto" w:fill="0075A8"/>
          </w:tcPr>
          <w:p>
            <w:pPr>
              <w:jc w:val="center"/>
              <w:ind w:left="89"/>
              <w:spacing w:after="0" w:line="149" w:lineRule="exact"/>
              <w:rPr>
                <w:sz w:val="20"/>
                <w:szCs w:val="20"/>
                <w:color w:val="auto"/>
              </w:rPr>
            </w:pPr>
            <w:r>
              <w:rPr>
                <w:rFonts w:ascii="Arial" w:cs="Arial" w:eastAsia="Arial" w:hAnsi="Arial"/>
                <w:sz w:val="14"/>
                <w:szCs w:val="14"/>
                <w:b w:val="1"/>
                <w:bCs w:val="1"/>
                <w:color w:val="FFFFFF"/>
              </w:rPr>
              <w:t>Compensation</w:t>
            </w:r>
          </w:p>
        </w:tc>
        <w:tc>
          <w:tcPr>
            <w:tcW w:w="100" w:type="dxa"/>
            <w:vAlign w:val="bottom"/>
            <w:shd w:val="clear" w:color="auto" w:fill="0075A8"/>
          </w:tcPr>
          <w:p>
            <w:pPr>
              <w:spacing w:after="0"/>
              <w:rPr>
                <w:sz w:val="12"/>
                <w:szCs w:val="12"/>
                <w:color w:val="auto"/>
              </w:rPr>
            </w:pPr>
          </w:p>
        </w:tc>
        <w:tc>
          <w:tcPr>
            <w:tcW w:w="60" w:type="dxa"/>
            <w:vAlign w:val="bottom"/>
            <w:vMerge w:val="restart"/>
            <w:shd w:val="clear" w:color="auto" w:fill="0075A8"/>
          </w:tcPr>
          <w:p>
            <w:pPr>
              <w:jc w:val="right"/>
              <w:spacing w:after="0"/>
              <w:rPr>
                <w:sz w:val="20"/>
                <w:szCs w:val="20"/>
                <w:color w:val="auto"/>
              </w:rPr>
            </w:pPr>
            <w:r>
              <w:rPr>
                <w:rFonts w:ascii="Arial" w:cs="Arial" w:eastAsia="Arial" w:hAnsi="Arial"/>
                <w:sz w:val="14"/>
                <w:szCs w:val="14"/>
                <w:b w:val="1"/>
                <w:bCs w:val="1"/>
                <w:color w:val="FFFFFF"/>
              </w:rPr>
              <w:t>​</w:t>
            </w:r>
          </w:p>
        </w:tc>
        <w:tc>
          <w:tcPr>
            <w:tcW w:w="1880" w:type="dxa"/>
            <w:vAlign w:val="bottom"/>
            <w:gridSpan w:val="4"/>
            <w:shd w:val="clear" w:color="auto" w:fill="0075A8"/>
          </w:tcPr>
          <w:p>
            <w:pPr>
              <w:jc w:val="center"/>
              <w:spacing w:after="0" w:line="149" w:lineRule="exact"/>
              <w:rPr>
                <w:sz w:val="20"/>
                <w:szCs w:val="20"/>
                <w:color w:val="auto"/>
              </w:rPr>
            </w:pPr>
            <w:r>
              <w:rPr>
                <w:rFonts w:ascii="Arial" w:cs="Arial" w:eastAsia="Arial" w:hAnsi="Arial"/>
                <w:sz w:val="14"/>
                <w:szCs w:val="14"/>
                <w:b w:val="1"/>
                <w:bCs w:val="1"/>
                <w:color w:val="FFFFFF"/>
              </w:rPr>
              <w:t>Fixed $100 Investment</w:t>
            </w:r>
          </w:p>
        </w:tc>
        <w:tc>
          <w:tcPr>
            <w:tcW w:w="100" w:type="dxa"/>
            <w:vAlign w:val="bottom"/>
            <w:vMerge w:val="restart"/>
            <w:shd w:val="clear" w:color="auto" w:fill="0075A8"/>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0075A8"/>
          </w:tcPr>
          <w:p>
            <w:pPr>
              <w:spacing w:after="0"/>
              <w:rPr>
                <w:sz w:val="12"/>
                <w:szCs w:val="12"/>
                <w:color w:val="auto"/>
              </w:rPr>
            </w:pPr>
          </w:p>
        </w:tc>
        <w:tc>
          <w:tcPr>
            <w:tcW w:w="160" w:type="dxa"/>
            <w:vAlign w:val="bottom"/>
            <w:shd w:val="clear" w:color="auto" w:fill="0075A8"/>
          </w:tcPr>
          <w:p>
            <w:pPr>
              <w:spacing w:after="0"/>
              <w:rPr>
                <w:sz w:val="12"/>
                <w:szCs w:val="12"/>
                <w:color w:val="auto"/>
              </w:rPr>
            </w:pPr>
          </w:p>
        </w:tc>
        <w:tc>
          <w:tcPr>
            <w:tcW w:w="960" w:type="dxa"/>
            <w:vAlign w:val="bottom"/>
            <w:shd w:val="clear" w:color="auto" w:fill="0075A8"/>
          </w:tcPr>
          <w:p>
            <w:pPr>
              <w:spacing w:after="0"/>
              <w:rPr>
                <w:sz w:val="12"/>
                <w:szCs w:val="12"/>
                <w:color w:val="auto"/>
              </w:rPr>
            </w:pPr>
          </w:p>
        </w:tc>
        <w:tc>
          <w:tcPr>
            <w:tcW w:w="360" w:type="dxa"/>
            <w:vAlign w:val="bottom"/>
            <w:shd w:val="clear" w:color="auto" w:fill="0075A8"/>
          </w:tcPr>
          <w:p>
            <w:pPr>
              <w:spacing w:after="0"/>
              <w:rPr>
                <w:sz w:val="12"/>
                <w:szCs w:val="12"/>
                <w:color w:val="auto"/>
              </w:rPr>
            </w:pPr>
          </w:p>
        </w:tc>
        <w:tc>
          <w:tcPr>
            <w:tcW w:w="800" w:type="dxa"/>
            <w:vAlign w:val="bottom"/>
            <w:shd w:val="clear" w:color="auto" w:fill="0075A8"/>
          </w:tcPr>
          <w:p>
            <w:pPr>
              <w:spacing w:after="0"/>
              <w:rPr>
                <w:sz w:val="12"/>
                <w:szCs w:val="12"/>
                <w:color w:val="auto"/>
              </w:rPr>
            </w:pPr>
          </w:p>
        </w:tc>
        <w:tc>
          <w:tcPr>
            <w:tcW w:w="1160" w:type="dxa"/>
            <w:vAlign w:val="bottom"/>
            <w:gridSpan w:val="2"/>
            <w:shd w:val="clear" w:color="auto" w:fill="0075A8"/>
          </w:tcPr>
          <w:p>
            <w:pPr>
              <w:jc w:val="center"/>
              <w:ind w:left="93"/>
              <w:spacing w:after="0" w:line="149" w:lineRule="exact"/>
              <w:rPr>
                <w:sz w:val="20"/>
                <w:szCs w:val="20"/>
                <w:color w:val="auto"/>
              </w:rPr>
            </w:pPr>
            <w:r>
              <w:rPr>
                <w:rFonts w:ascii="Arial" w:cs="Arial" w:eastAsia="Arial" w:hAnsi="Arial"/>
                <w:sz w:val="14"/>
                <w:szCs w:val="14"/>
                <w:b w:val="1"/>
                <w:bCs w:val="1"/>
                <w:color w:val="FFFFFF"/>
              </w:rPr>
              <w:t>Compensation</w:t>
            </w:r>
          </w:p>
        </w:tc>
        <w:tc>
          <w:tcPr>
            <w:tcW w:w="240" w:type="dxa"/>
            <w:vAlign w:val="bottom"/>
            <w:shd w:val="clear" w:color="auto" w:fill="0075A8"/>
          </w:tcPr>
          <w:p>
            <w:pPr>
              <w:spacing w:after="0"/>
              <w:rPr>
                <w:sz w:val="12"/>
                <w:szCs w:val="12"/>
                <w:color w:val="auto"/>
              </w:rPr>
            </w:pPr>
          </w:p>
        </w:tc>
        <w:tc>
          <w:tcPr>
            <w:tcW w:w="920" w:type="dxa"/>
            <w:vAlign w:val="bottom"/>
            <w:shd w:val="clear" w:color="auto" w:fill="0075A8"/>
          </w:tcPr>
          <w:p>
            <w:pPr>
              <w:jc w:val="center"/>
              <w:ind w:right="8"/>
              <w:spacing w:after="0" w:line="149" w:lineRule="exact"/>
              <w:rPr>
                <w:sz w:val="20"/>
                <w:szCs w:val="20"/>
                <w:color w:val="auto"/>
              </w:rPr>
            </w:pPr>
            <w:r>
              <w:rPr>
                <w:rFonts w:ascii="Arial" w:cs="Arial" w:eastAsia="Arial" w:hAnsi="Arial"/>
                <w:sz w:val="14"/>
                <w:szCs w:val="14"/>
                <w:b w:val="1"/>
                <w:bCs w:val="1"/>
                <w:color w:val="FFFFFF"/>
              </w:rPr>
              <w:t>Actually</w:t>
            </w:r>
          </w:p>
        </w:tc>
        <w:tc>
          <w:tcPr>
            <w:tcW w:w="100" w:type="dxa"/>
            <w:vAlign w:val="bottom"/>
            <w:shd w:val="clear" w:color="auto" w:fill="0075A8"/>
          </w:tcPr>
          <w:p>
            <w:pPr>
              <w:spacing w:after="0"/>
              <w:rPr>
                <w:sz w:val="12"/>
                <w:szCs w:val="12"/>
                <w:color w:val="auto"/>
              </w:rPr>
            </w:pPr>
          </w:p>
        </w:tc>
        <w:tc>
          <w:tcPr>
            <w:tcW w:w="60" w:type="dxa"/>
            <w:vAlign w:val="bottom"/>
            <w:vMerge w:val="continue"/>
            <w:shd w:val="clear" w:color="auto" w:fill="0075A8"/>
          </w:tcPr>
          <w:p>
            <w:pPr>
              <w:spacing w:after="0"/>
              <w:rPr>
                <w:sz w:val="12"/>
                <w:szCs w:val="12"/>
                <w:color w:val="auto"/>
              </w:rPr>
            </w:pPr>
          </w:p>
        </w:tc>
        <w:tc>
          <w:tcPr>
            <w:tcW w:w="240" w:type="dxa"/>
            <w:vAlign w:val="bottom"/>
            <w:shd w:val="clear" w:color="auto" w:fill="0075A8"/>
          </w:tcPr>
          <w:p>
            <w:pPr>
              <w:spacing w:after="0"/>
              <w:rPr>
                <w:sz w:val="12"/>
                <w:szCs w:val="12"/>
                <w:color w:val="auto"/>
              </w:rPr>
            </w:pPr>
          </w:p>
        </w:tc>
        <w:tc>
          <w:tcPr>
            <w:tcW w:w="1640" w:type="dxa"/>
            <w:vAlign w:val="bottom"/>
            <w:gridSpan w:val="3"/>
            <w:shd w:val="clear" w:color="auto" w:fill="0075A8"/>
          </w:tcPr>
          <w:p>
            <w:pPr>
              <w:jc w:val="center"/>
              <w:ind w:right="148"/>
              <w:spacing w:after="0" w:line="149" w:lineRule="exact"/>
              <w:rPr>
                <w:sz w:val="20"/>
                <w:szCs w:val="20"/>
                <w:color w:val="auto"/>
              </w:rPr>
            </w:pPr>
            <w:r>
              <w:rPr>
                <w:rFonts w:ascii="Arial" w:cs="Arial" w:eastAsia="Arial" w:hAnsi="Arial"/>
                <w:sz w:val="14"/>
                <w:szCs w:val="14"/>
                <w:b w:val="1"/>
                <w:bCs w:val="1"/>
                <w:color w:val="FFFFFF"/>
              </w:rPr>
              <w:t>Based on:</w:t>
            </w:r>
          </w:p>
        </w:tc>
        <w:tc>
          <w:tcPr>
            <w:tcW w:w="100" w:type="dxa"/>
            <w:vAlign w:val="bottom"/>
            <w:vMerge w:val="continue"/>
            <w:shd w:val="clear" w:color="auto" w:fill="0075A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00" w:type="dxa"/>
            <w:vAlign w:val="bottom"/>
            <w:shd w:val="clear" w:color="auto" w:fill="0075A8"/>
          </w:tcPr>
          <w:p>
            <w:pPr>
              <w:spacing w:after="0"/>
              <w:rPr>
                <w:sz w:val="6"/>
                <w:szCs w:val="6"/>
                <w:color w:val="auto"/>
              </w:rPr>
            </w:pPr>
          </w:p>
        </w:tc>
        <w:tc>
          <w:tcPr>
            <w:tcW w:w="160" w:type="dxa"/>
            <w:vAlign w:val="bottom"/>
            <w:shd w:val="clear" w:color="auto" w:fill="0075A8"/>
          </w:tcPr>
          <w:p>
            <w:pPr>
              <w:spacing w:after="0"/>
              <w:rPr>
                <w:sz w:val="6"/>
                <w:szCs w:val="6"/>
                <w:color w:val="auto"/>
              </w:rPr>
            </w:pPr>
          </w:p>
        </w:tc>
        <w:tc>
          <w:tcPr>
            <w:tcW w:w="9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c>
          <w:tcPr>
            <w:tcW w:w="800" w:type="dxa"/>
            <w:vAlign w:val="bottom"/>
            <w:shd w:val="clear" w:color="auto" w:fill="0075A8"/>
          </w:tcPr>
          <w:p>
            <w:pPr>
              <w:spacing w:after="0"/>
              <w:rPr>
                <w:sz w:val="6"/>
                <w:szCs w:val="6"/>
                <w:color w:val="auto"/>
              </w:rPr>
            </w:pPr>
          </w:p>
        </w:tc>
        <w:tc>
          <w:tcPr>
            <w:tcW w:w="220" w:type="dxa"/>
            <w:vAlign w:val="bottom"/>
            <w:shd w:val="clear" w:color="auto" w:fill="0075A8"/>
          </w:tcPr>
          <w:p>
            <w:pPr>
              <w:spacing w:after="0"/>
              <w:rPr>
                <w:sz w:val="6"/>
                <w:szCs w:val="6"/>
                <w:color w:val="auto"/>
              </w:rPr>
            </w:pPr>
          </w:p>
        </w:tc>
        <w:tc>
          <w:tcPr>
            <w:tcW w:w="940" w:type="dxa"/>
            <w:vAlign w:val="bottom"/>
            <w:vMerge w:val="restart"/>
            <w:shd w:val="clear" w:color="auto" w:fill="0075A8"/>
          </w:tcPr>
          <w:p>
            <w:pPr>
              <w:jc w:val="center"/>
              <w:spacing w:after="0" w:line="135" w:lineRule="exact"/>
              <w:rPr>
                <w:sz w:val="20"/>
                <w:szCs w:val="20"/>
                <w:color w:val="auto"/>
              </w:rPr>
            </w:pPr>
            <w:r>
              <w:rPr>
                <w:rFonts w:ascii="Arial" w:cs="Arial" w:eastAsia="Arial" w:hAnsi="Arial"/>
                <w:sz w:val="14"/>
                <w:szCs w:val="14"/>
                <w:b w:val="1"/>
                <w:bCs w:val="1"/>
                <w:color w:val="FFFFFF"/>
                <w:w w:val="97"/>
              </w:rPr>
              <w:t>Table Total</w:t>
            </w:r>
          </w:p>
        </w:tc>
        <w:tc>
          <w:tcPr>
            <w:tcW w:w="240" w:type="dxa"/>
            <w:vAlign w:val="bottom"/>
            <w:shd w:val="clear" w:color="auto" w:fill="0075A8"/>
          </w:tcPr>
          <w:p>
            <w:pPr>
              <w:spacing w:after="0"/>
              <w:rPr>
                <w:sz w:val="6"/>
                <w:szCs w:val="6"/>
                <w:color w:val="auto"/>
              </w:rPr>
            </w:pPr>
          </w:p>
        </w:tc>
        <w:tc>
          <w:tcPr>
            <w:tcW w:w="920" w:type="dxa"/>
            <w:vAlign w:val="bottom"/>
            <w:vMerge w:val="restart"/>
            <w:shd w:val="clear" w:color="auto" w:fill="0075A8"/>
          </w:tcPr>
          <w:p>
            <w:pPr>
              <w:jc w:val="center"/>
              <w:ind w:right="8"/>
              <w:spacing w:after="0" w:line="135" w:lineRule="exact"/>
              <w:rPr>
                <w:sz w:val="20"/>
                <w:szCs w:val="20"/>
                <w:color w:val="auto"/>
              </w:rPr>
            </w:pPr>
            <w:r>
              <w:rPr>
                <w:rFonts w:ascii="Arial" w:cs="Arial" w:eastAsia="Arial" w:hAnsi="Arial"/>
                <w:sz w:val="14"/>
                <w:szCs w:val="14"/>
                <w:b w:val="1"/>
                <w:bCs w:val="1"/>
                <w:color w:val="FFFFFF"/>
              </w:rPr>
              <w:t>Paid to</w:t>
            </w:r>
          </w:p>
        </w:tc>
        <w:tc>
          <w:tcPr>
            <w:tcW w:w="100" w:type="dxa"/>
            <w:vAlign w:val="bottom"/>
            <w:shd w:val="clear" w:color="auto" w:fill="0075A8"/>
          </w:tcPr>
          <w:p>
            <w:pPr>
              <w:spacing w:after="0"/>
              <w:rPr>
                <w:sz w:val="6"/>
                <w:szCs w:val="6"/>
                <w:color w:val="auto"/>
              </w:rPr>
            </w:pPr>
          </w:p>
        </w:tc>
        <w:tc>
          <w:tcPr>
            <w:tcW w:w="60" w:type="dxa"/>
            <w:vAlign w:val="bottom"/>
            <w:shd w:val="clear" w:color="auto" w:fill="0075A8"/>
          </w:tcPr>
          <w:p>
            <w:pPr>
              <w:spacing w:after="0"/>
              <w:rPr>
                <w:sz w:val="6"/>
                <w:szCs w:val="6"/>
                <w:color w:val="auto"/>
              </w:rPr>
            </w:pPr>
          </w:p>
        </w:tc>
        <w:tc>
          <w:tcPr>
            <w:tcW w:w="240" w:type="dxa"/>
            <w:vAlign w:val="bottom"/>
            <w:shd w:val="clear" w:color="auto" w:fill="0075A8"/>
          </w:tcPr>
          <w:p>
            <w:pPr>
              <w:spacing w:after="0"/>
              <w:rPr>
                <w:sz w:val="6"/>
                <w:szCs w:val="6"/>
                <w:color w:val="auto"/>
              </w:rPr>
            </w:pPr>
          </w:p>
        </w:tc>
        <w:tc>
          <w:tcPr>
            <w:tcW w:w="600" w:type="dxa"/>
            <w:vAlign w:val="bottom"/>
            <w:shd w:val="clear" w:color="auto" w:fill="0075A8"/>
          </w:tcPr>
          <w:p>
            <w:pPr>
              <w:spacing w:after="0"/>
              <w:rPr>
                <w:sz w:val="6"/>
                <w:szCs w:val="6"/>
                <w:color w:val="auto"/>
              </w:rPr>
            </w:pPr>
          </w:p>
        </w:tc>
        <w:tc>
          <w:tcPr>
            <w:tcW w:w="260" w:type="dxa"/>
            <w:vAlign w:val="bottom"/>
            <w:shd w:val="clear" w:color="auto" w:fill="0075A8"/>
          </w:tcPr>
          <w:p>
            <w:pPr>
              <w:spacing w:after="0"/>
              <w:rPr>
                <w:sz w:val="6"/>
                <w:szCs w:val="6"/>
                <w:color w:val="auto"/>
              </w:rPr>
            </w:pPr>
          </w:p>
        </w:tc>
        <w:tc>
          <w:tcPr>
            <w:tcW w:w="780" w:type="dxa"/>
            <w:vAlign w:val="bottom"/>
            <w:shd w:val="clear" w:color="auto" w:fill="0075A8"/>
          </w:tcPr>
          <w:p>
            <w:pPr>
              <w:spacing w:after="0"/>
              <w:rPr>
                <w:sz w:val="6"/>
                <w:szCs w:val="6"/>
                <w:color w:val="auto"/>
              </w:rPr>
            </w:pPr>
          </w:p>
        </w:tc>
        <w:tc>
          <w:tcPr>
            <w:tcW w:w="100" w:type="dxa"/>
            <w:vAlign w:val="bottom"/>
            <w:shd w:val="clear" w:color="auto" w:fill="0075A8"/>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400" w:type="dxa"/>
            <w:vAlign w:val="bottom"/>
            <w:shd w:val="clear" w:color="auto" w:fill="0075A8"/>
          </w:tcPr>
          <w:p>
            <w:pPr>
              <w:spacing w:after="0"/>
              <w:rPr>
                <w:sz w:val="5"/>
                <w:szCs w:val="5"/>
                <w:color w:val="auto"/>
              </w:rPr>
            </w:pPr>
          </w:p>
        </w:tc>
        <w:tc>
          <w:tcPr>
            <w:tcW w:w="160" w:type="dxa"/>
            <w:vAlign w:val="bottom"/>
            <w:shd w:val="clear" w:color="auto" w:fill="0075A8"/>
          </w:tcPr>
          <w:p>
            <w:pPr>
              <w:spacing w:after="0"/>
              <w:rPr>
                <w:sz w:val="5"/>
                <w:szCs w:val="5"/>
                <w:color w:val="auto"/>
              </w:rPr>
            </w:pPr>
          </w:p>
        </w:tc>
        <w:tc>
          <w:tcPr>
            <w:tcW w:w="960" w:type="dxa"/>
            <w:vAlign w:val="bottom"/>
            <w:vMerge w:val="restart"/>
            <w:shd w:val="clear" w:color="auto" w:fill="0075A8"/>
          </w:tcPr>
          <w:p>
            <w:pPr>
              <w:jc w:val="center"/>
              <w:spacing w:after="0"/>
              <w:rPr>
                <w:sz w:val="20"/>
                <w:szCs w:val="20"/>
                <w:color w:val="auto"/>
              </w:rPr>
            </w:pPr>
            <w:r>
              <w:rPr>
                <w:rFonts w:ascii="Arial" w:cs="Arial" w:eastAsia="Arial" w:hAnsi="Arial"/>
                <w:sz w:val="14"/>
                <w:szCs w:val="14"/>
                <w:b w:val="1"/>
                <w:bCs w:val="1"/>
                <w:color w:val="FFFFFF"/>
              </w:rPr>
              <w:t>Summary</w:t>
            </w:r>
          </w:p>
        </w:tc>
        <w:tc>
          <w:tcPr>
            <w:tcW w:w="1160" w:type="dxa"/>
            <w:vAlign w:val="bottom"/>
            <w:gridSpan w:val="2"/>
            <w:vMerge w:val="restart"/>
            <w:shd w:val="clear" w:color="auto" w:fill="0075A8"/>
          </w:tcPr>
          <w:p>
            <w:pPr>
              <w:jc w:val="center"/>
              <w:ind w:left="83"/>
              <w:spacing w:after="0"/>
              <w:rPr>
                <w:sz w:val="20"/>
                <w:szCs w:val="20"/>
                <w:color w:val="auto"/>
              </w:rPr>
            </w:pPr>
            <w:r>
              <w:rPr>
                <w:rFonts w:ascii="Arial" w:cs="Arial" w:eastAsia="Arial" w:hAnsi="Arial"/>
                <w:sz w:val="14"/>
                <w:szCs w:val="14"/>
                <w:b w:val="1"/>
                <w:bCs w:val="1"/>
                <w:color w:val="FFFFFF"/>
              </w:rPr>
              <w:t>Compensation</w:t>
            </w:r>
          </w:p>
        </w:tc>
        <w:tc>
          <w:tcPr>
            <w:tcW w:w="220" w:type="dxa"/>
            <w:vAlign w:val="bottom"/>
            <w:shd w:val="clear" w:color="auto" w:fill="0075A8"/>
          </w:tcPr>
          <w:p>
            <w:pPr>
              <w:spacing w:after="0"/>
              <w:rPr>
                <w:sz w:val="5"/>
                <w:szCs w:val="5"/>
                <w:color w:val="auto"/>
              </w:rPr>
            </w:pPr>
          </w:p>
        </w:tc>
        <w:tc>
          <w:tcPr>
            <w:tcW w:w="940" w:type="dxa"/>
            <w:vAlign w:val="bottom"/>
            <w:vMerge w:val="continue"/>
            <w:shd w:val="clear" w:color="auto" w:fill="0075A8"/>
          </w:tcPr>
          <w:p>
            <w:pPr>
              <w:spacing w:after="0"/>
              <w:rPr>
                <w:sz w:val="5"/>
                <w:szCs w:val="5"/>
                <w:color w:val="auto"/>
              </w:rPr>
            </w:pPr>
          </w:p>
        </w:tc>
        <w:tc>
          <w:tcPr>
            <w:tcW w:w="240" w:type="dxa"/>
            <w:vAlign w:val="bottom"/>
            <w:shd w:val="clear" w:color="auto" w:fill="0075A8"/>
          </w:tcPr>
          <w:p>
            <w:pPr>
              <w:spacing w:after="0"/>
              <w:rPr>
                <w:sz w:val="5"/>
                <w:szCs w:val="5"/>
                <w:color w:val="auto"/>
              </w:rPr>
            </w:pPr>
          </w:p>
        </w:tc>
        <w:tc>
          <w:tcPr>
            <w:tcW w:w="920" w:type="dxa"/>
            <w:vAlign w:val="bottom"/>
            <w:vMerge w:val="continue"/>
            <w:shd w:val="clear" w:color="auto" w:fill="0075A8"/>
          </w:tcPr>
          <w:p>
            <w:pPr>
              <w:spacing w:after="0"/>
              <w:rPr>
                <w:sz w:val="5"/>
                <w:szCs w:val="5"/>
                <w:color w:val="auto"/>
              </w:rPr>
            </w:pPr>
          </w:p>
        </w:tc>
        <w:tc>
          <w:tcPr>
            <w:tcW w:w="100" w:type="dxa"/>
            <w:vAlign w:val="bottom"/>
            <w:shd w:val="clear" w:color="auto" w:fill="0075A8"/>
          </w:tcPr>
          <w:p>
            <w:pPr>
              <w:spacing w:after="0"/>
              <w:rPr>
                <w:sz w:val="5"/>
                <w:szCs w:val="5"/>
                <w:color w:val="auto"/>
              </w:rPr>
            </w:pPr>
          </w:p>
        </w:tc>
        <w:tc>
          <w:tcPr>
            <w:tcW w:w="60" w:type="dxa"/>
            <w:vAlign w:val="bottom"/>
            <w:shd w:val="clear" w:color="auto" w:fill="0075A8"/>
          </w:tcPr>
          <w:p>
            <w:pPr>
              <w:spacing w:after="0"/>
              <w:rPr>
                <w:sz w:val="5"/>
                <w:szCs w:val="5"/>
                <w:color w:val="auto"/>
              </w:rPr>
            </w:pPr>
          </w:p>
        </w:tc>
        <w:tc>
          <w:tcPr>
            <w:tcW w:w="240" w:type="dxa"/>
            <w:vAlign w:val="bottom"/>
            <w:shd w:val="clear" w:color="auto" w:fill="0075A8"/>
          </w:tcPr>
          <w:p>
            <w:pPr>
              <w:spacing w:after="0"/>
              <w:rPr>
                <w:sz w:val="5"/>
                <w:szCs w:val="5"/>
                <w:color w:val="auto"/>
              </w:rPr>
            </w:pPr>
          </w:p>
        </w:tc>
        <w:tc>
          <w:tcPr>
            <w:tcW w:w="600" w:type="dxa"/>
            <w:vAlign w:val="bottom"/>
            <w:shd w:val="clear" w:color="auto" w:fill="0075A8"/>
          </w:tcPr>
          <w:p>
            <w:pPr>
              <w:spacing w:after="0"/>
              <w:rPr>
                <w:sz w:val="5"/>
                <w:szCs w:val="5"/>
                <w:color w:val="auto"/>
              </w:rPr>
            </w:pPr>
          </w:p>
        </w:tc>
        <w:tc>
          <w:tcPr>
            <w:tcW w:w="1040" w:type="dxa"/>
            <w:vAlign w:val="bottom"/>
            <w:gridSpan w:val="2"/>
            <w:vMerge w:val="restart"/>
            <w:shd w:val="clear" w:color="auto" w:fill="0075A8"/>
          </w:tcPr>
          <w:p>
            <w:pPr>
              <w:jc w:val="center"/>
              <w:ind w:left="106"/>
              <w:spacing w:after="0"/>
              <w:rPr>
                <w:sz w:val="20"/>
                <w:szCs w:val="20"/>
                <w:color w:val="auto"/>
              </w:rPr>
            </w:pPr>
            <w:r>
              <w:rPr>
                <w:rFonts w:ascii="Arial" w:cs="Arial" w:eastAsia="Arial" w:hAnsi="Arial"/>
                <w:sz w:val="14"/>
                <w:szCs w:val="14"/>
                <w:b w:val="1"/>
                <w:bCs w:val="1"/>
                <w:color w:val="FFFFFF"/>
                <w:w w:val="99"/>
              </w:rPr>
              <w:t>Peer Group</w:t>
            </w:r>
          </w:p>
        </w:tc>
        <w:tc>
          <w:tcPr>
            <w:tcW w:w="100" w:type="dxa"/>
            <w:vAlign w:val="bottom"/>
            <w:shd w:val="clear" w:color="auto" w:fill="0075A8"/>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0075A8"/>
          </w:tcPr>
          <w:p>
            <w:pPr>
              <w:spacing w:after="0"/>
              <w:rPr>
                <w:sz w:val="12"/>
                <w:szCs w:val="12"/>
                <w:color w:val="auto"/>
              </w:rPr>
            </w:pPr>
          </w:p>
        </w:tc>
        <w:tc>
          <w:tcPr>
            <w:tcW w:w="160" w:type="dxa"/>
            <w:vAlign w:val="bottom"/>
            <w:shd w:val="clear" w:color="auto" w:fill="0075A8"/>
          </w:tcPr>
          <w:p>
            <w:pPr>
              <w:spacing w:after="0"/>
              <w:rPr>
                <w:sz w:val="12"/>
                <w:szCs w:val="12"/>
                <w:color w:val="auto"/>
              </w:rPr>
            </w:pPr>
          </w:p>
        </w:tc>
        <w:tc>
          <w:tcPr>
            <w:tcW w:w="960" w:type="dxa"/>
            <w:vAlign w:val="bottom"/>
            <w:vMerge w:val="continue"/>
            <w:shd w:val="clear" w:color="auto" w:fill="0075A8"/>
          </w:tcPr>
          <w:p>
            <w:pPr>
              <w:spacing w:after="0"/>
              <w:rPr>
                <w:sz w:val="12"/>
                <w:szCs w:val="12"/>
                <w:color w:val="auto"/>
              </w:rPr>
            </w:pPr>
          </w:p>
        </w:tc>
        <w:tc>
          <w:tcPr>
            <w:tcW w:w="1160" w:type="dxa"/>
            <w:vAlign w:val="bottom"/>
            <w:gridSpan w:val="2"/>
            <w:vMerge w:val="continue"/>
            <w:shd w:val="clear" w:color="auto" w:fill="0075A8"/>
          </w:tcPr>
          <w:p>
            <w:pPr>
              <w:spacing w:after="0"/>
              <w:rPr>
                <w:sz w:val="12"/>
                <w:szCs w:val="12"/>
                <w:color w:val="auto"/>
              </w:rPr>
            </w:pPr>
          </w:p>
        </w:tc>
        <w:tc>
          <w:tcPr>
            <w:tcW w:w="220" w:type="dxa"/>
            <w:vAlign w:val="bottom"/>
            <w:shd w:val="clear" w:color="auto" w:fill="0075A8"/>
          </w:tcPr>
          <w:p>
            <w:pPr>
              <w:spacing w:after="0"/>
              <w:rPr>
                <w:sz w:val="12"/>
                <w:szCs w:val="12"/>
                <w:color w:val="auto"/>
              </w:rPr>
            </w:pPr>
          </w:p>
        </w:tc>
        <w:tc>
          <w:tcPr>
            <w:tcW w:w="940" w:type="dxa"/>
            <w:vAlign w:val="bottom"/>
            <w:shd w:val="clear" w:color="auto" w:fill="0075A8"/>
          </w:tcPr>
          <w:p>
            <w:pPr>
              <w:jc w:val="center"/>
              <w:spacing w:after="0" w:line="149" w:lineRule="exact"/>
              <w:rPr>
                <w:sz w:val="20"/>
                <w:szCs w:val="20"/>
                <w:color w:val="auto"/>
              </w:rPr>
            </w:pPr>
            <w:r>
              <w:rPr>
                <w:rFonts w:ascii="Arial" w:cs="Arial" w:eastAsia="Arial" w:hAnsi="Arial"/>
                <w:sz w:val="14"/>
                <w:szCs w:val="14"/>
                <w:b w:val="1"/>
                <w:bCs w:val="1"/>
                <w:color w:val="FFFFFF"/>
                <w:w w:val="99"/>
              </w:rPr>
              <w:t>for Non-PEO</w:t>
            </w:r>
          </w:p>
        </w:tc>
        <w:tc>
          <w:tcPr>
            <w:tcW w:w="240" w:type="dxa"/>
            <w:vAlign w:val="bottom"/>
            <w:shd w:val="clear" w:color="auto" w:fill="0075A8"/>
          </w:tcPr>
          <w:p>
            <w:pPr>
              <w:spacing w:after="0"/>
              <w:rPr>
                <w:sz w:val="12"/>
                <w:szCs w:val="12"/>
                <w:color w:val="auto"/>
              </w:rPr>
            </w:pPr>
          </w:p>
        </w:tc>
        <w:tc>
          <w:tcPr>
            <w:tcW w:w="920" w:type="dxa"/>
            <w:vAlign w:val="bottom"/>
            <w:shd w:val="clear" w:color="auto" w:fill="0075A8"/>
          </w:tcPr>
          <w:p>
            <w:pPr>
              <w:jc w:val="center"/>
              <w:ind w:right="28"/>
              <w:spacing w:after="0" w:line="149" w:lineRule="exact"/>
              <w:rPr>
                <w:sz w:val="20"/>
                <w:szCs w:val="20"/>
                <w:color w:val="auto"/>
              </w:rPr>
            </w:pPr>
            <w:r>
              <w:rPr>
                <w:rFonts w:ascii="Arial" w:cs="Arial" w:eastAsia="Arial" w:hAnsi="Arial"/>
                <w:sz w:val="14"/>
                <w:szCs w:val="14"/>
                <w:b w:val="1"/>
                <w:bCs w:val="1"/>
                <w:color w:val="FFFFFF"/>
              </w:rPr>
              <w:t>Non-PEO</w:t>
            </w:r>
          </w:p>
        </w:tc>
        <w:tc>
          <w:tcPr>
            <w:tcW w:w="100" w:type="dxa"/>
            <w:vAlign w:val="bottom"/>
            <w:shd w:val="clear" w:color="auto" w:fill="0075A8"/>
          </w:tcPr>
          <w:p>
            <w:pPr>
              <w:spacing w:after="0"/>
              <w:rPr>
                <w:sz w:val="12"/>
                <w:szCs w:val="12"/>
                <w:color w:val="auto"/>
              </w:rPr>
            </w:pPr>
          </w:p>
        </w:tc>
        <w:tc>
          <w:tcPr>
            <w:tcW w:w="60" w:type="dxa"/>
            <w:vAlign w:val="bottom"/>
            <w:shd w:val="clear" w:color="auto" w:fill="0075A8"/>
          </w:tcPr>
          <w:p>
            <w:pPr>
              <w:spacing w:after="0"/>
              <w:rPr>
                <w:sz w:val="12"/>
                <w:szCs w:val="12"/>
                <w:color w:val="auto"/>
              </w:rPr>
            </w:pPr>
          </w:p>
        </w:tc>
        <w:tc>
          <w:tcPr>
            <w:tcW w:w="240" w:type="dxa"/>
            <w:vAlign w:val="bottom"/>
            <w:shd w:val="clear" w:color="auto" w:fill="0075A8"/>
          </w:tcPr>
          <w:p>
            <w:pPr>
              <w:spacing w:after="0"/>
              <w:rPr>
                <w:sz w:val="12"/>
                <w:szCs w:val="12"/>
                <w:color w:val="auto"/>
              </w:rPr>
            </w:pPr>
          </w:p>
        </w:tc>
        <w:tc>
          <w:tcPr>
            <w:tcW w:w="600" w:type="dxa"/>
            <w:vAlign w:val="bottom"/>
            <w:vMerge w:val="restart"/>
            <w:shd w:val="clear" w:color="auto" w:fill="0075A8"/>
          </w:tcPr>
          <w:p>
            <w:pPr>
              <w:jc w:val="center"/>
              <w:ind w:right="168"/>
              <w:spacing w:after="0"/>
              <w:rPr>
                <w:sz w:val="20"/>
                <w:szCs w:val="20"/>
                <w:color w:val="auto"/>
              </w:rPr>
            </w:pPr>
            <w:r>
              <w:rPr>
                <w:rFonts w:ascii="Arial" w:cs="Arial" w:eastAsia="Arial" w:hAnsi="Arial"/>
                <w:sz w:val="14"/>
                <w:szCs w:val="14"/>
                <w:b w:val="1"/>
                <w:bCs w:val="1"/>
                <w:color w:val="FFFFFF"/>
                <w:w w:val="95"/>
              </w:rPr>
              <w:t>Total</w:t>
            </w:r>
          </w:p>
        </w:tc>
        <w:tc>
          <w:tcPr>
            <w:tcW w:w="1040" w:type="dxa"/>
            <w:vAlign w:val="bottom"/>
            <w:gridSpan w:val="2"/>
            <w:vMerge w:val="continue"/>
            <w:shd w:val="clear" w:color="auto" w:fill="0075A8"/>
          </w:tcPr>
          <w:p>
            <w:pPr>
              <w:spacing w:after="0"/>
              <w:rPr>
                <w:sz w:val="12"/>
                <w:szCs w:val="12"/>
                <w:color w:val="auto"/>
              </w:rPr>
            </w:pPr>
          </w:p>
        </w:tc>
        <w:tc>
          <w:tcPr>
            <w:tcW w:w="100" w:type="dxa"/>
            <w:vAlign w:val="bottom"/>
            <w:shd w:val="clear" w:color="auto" w:fill="0075A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shd w:val="clear" w:color="auto" w:fill="0075A8"/>
          </w:tcPr>
          <w:p>
            <w:pPr>
              <w:spacing w:after="0"/>
              <w:rPr>
                <w:sz w:val="12"/>
                <w:szCs w:val="12"/>
                <w:color w:val="auto"/>
              </w:rPr>
            </w:pPr>
          </w:p>
        </w:tc>
        <w:tc>
          <w:tcPr>
            <w:tcW w:w="1120" w:type="dxa"/>
            <w:vAlign w:val="bottom"/>
            <w:gridSpan w:val="2"/>
            <w:shd w:val="clear" w:color="auto" w:fill="0075A8"/>
          </w:tcPr>
          <w:p>
            <w:pPr>
              <w:jc w:val="center"/>
              <w:ind w:left="49"/>
              <w:spacing w:after="0" w:line="145" w:lineRule="exact"/>
              <w:rPr>
                <w:sz w:val="20"/>
                <w:szCs w:val="20"/>
                <w:color w:val="auto"/>
              </w:rPr>
            </w:pPr>
            <w:r>
              <w:rPr>
                <w:rFonts w:ascii="Arial" w:cs="Arial" w:eastAsia="Arial" w:hAnsi="Arial"/>
                <w:sz w:val="14"/>
                <w:szCs w:val="14"/>
                <w:b w:val="1"/>
                <w:bCs w:val="1"/>
                <w:color w:val="FFFFFF"/>
              </w:rPr>
              <w:t>Compensation</w:t>
            </w:r>
          </w:p>
        </w:tc>
        <w:tc>
          <w:tcPr>
            <w:tcW w:w="360" w:type="dxa"/>
            <w:vAlign w:val="bottom"/>
            <w:shd w:val="clear" w:color="auto" w:fill="0075A8"/>
          </w:tcPr>
          <w:p>
            <w:pPr>
              <w:spacing w:after="0"/>
              <w:rPr>
                <w:sz w:val="12"/>
                <w:szCs w:val="12"/>
                <w:color w:val="auto"/>
              </w:rPr>
            </w:pPr>
          </w:p>
        </w:tc>
        <w:tc>
          <w:tcPr>
            <w:tcW w:w="800" w:type="dxa"/>
            <w:vAlign w:val="bottom"/>
            <w:shd w:val="clear" w:color="auto" w:fill="0075A8"/>
          </w:tcPr>
          <w:p>
            <w:pPr>
              <w:jc w:val="center"/>
              <w:ind w:right="128"/>
              <w:spacing w:after="0" w:line="145" w:lineRule="exact"/>
              <w:rPr>
                <w:sz w:val="20"/>
                <w:szCs w:val="20"/>
                <w:color w:val="auto"/>
              </w:rPr>
            </w:pPr>
            <w:r>
              <w:rPr>
                <w:rFonts w:ascii="Arial" w:cs="Arial" w:eastAsia="Arial" w:hAnsi="Arial"/>
                <w:sz w:val="14"/>
                <w:szCs w:val="14"/>
                <w:b w:val="1"/>
                <w:bCs w:val="1"/>
                <w:color w:val="FFFFFF"/>
              </w:rPr>
              <w:t>Actually</w:t>
            </w:r>
          </w:p>
        </w:tc>
        <w:tc>
          <w:tcPr>
            <w:tcW w:w="220" w:type="dxa"/>
            <w:vAlign w:val="bottom"/>
            <w:shd w:val="clear" w:color="auto" w:fill="0075A8"/>
          </w:tcPr>
          <w:p>
            <w:pPr>
              <w:spacing w:after="0"/>
              <w:rPr>
                <w:sz w:val="12"/>
                <w:szCs w:val="12"/>
                <w:color w:val="auto"/>
              </w:rPr>
            </w:pPr>
          </w:p>
        </w:tc>
        <w:tc>
          <w:tcPr>
            <w:tcW w:w="940" w:type="dxa"/>
            <w:vAlign w:val="bottom"/>
            <w:shd w:val="clear" w:color="auto" w:fill="0075A8"/>
          </w:tcPr>
          <w:p>
            <w:pPr>
              <w:jc w:val="center"/>
              <w:spacing w:after="0" w:line="145" w:lineRule="exact"/>
              <w:rPr>
                <w:sz w:val="20"/>
                <w:szCs w:val="20"/>
                <w:color w:val="auto"/>
              </w:rPr>
            </w:pPr>
            <w:r>
              <w:rPr>
                <w:rFonts w:ascii="Arial" w:cs="Arial" w:eastAsia="Arial" w:hAnsi="Arial"/>
                <w:sz w:val="14"/>
                <w:szCs w:val="14"/>
                <w:b w:val="1"/>
                <w:bCs w:val="1"/>
                <w:color w:val="FFFFFF"/>
              </w:rPr>
              <w:t>Named</w:t>
            </w:r>
          </w:p>
        </w:tc>
        <w:tc>
          <w:tcPr>
            <w:tcW w:w="240" w:type="dxa"/>
            <w:vAlign w:val="bottom"/>
            <w:shd w:val="clear" w:color="auto" w:fill="0075A8"/>
          </w:tcPr>
          <w:p>
            <w:pPr>
              <w:spacing w:after="0"/>
              <w:rPr>
                <w:sz w:val="12"/>
                <w:szCs w:val="12"/>
                <w:color w:val="auto"/>
              </w:rPr>
            </w:pPr>
          </w:p>
        </w:tc>
        <w:tc>
          <w:tcPr>
            <w:tcW w:w="920" w:type="dxa"/>
            <w:vAlign w:val="bottom"/>
            <w:shd w:val="clear" w:color="auto" w:fill="0075A8"/>
          </w:tcPr>
          <w:p>
            <w:pPr>
              <w:jc w:val="center"/>
              <w:ind w:right="8"/>
              <w:spacing w:after="0" w:line="145" w:lineRule="exact"/>
              <w:rPr>
                <w:sz w:val="20"/>
                <w:szCs w:val="20"/>
                <w:color w:val="auto"/>
              </w:rPr>
            </w:pPr>
            <w:r>
              <w:rPr>
                <w:rFonts w:ascii="Arial" w:cs="Arial" w:eastAsia="Arial" w:hAnsi="Arial"/>
                <w:sz w:val="14"/>
                <w:szCs w:val="14"/>
                <w:b w:val="1"/>
                <w:bCs w:val="1"/>
                <w:color w:val="FFFFFF"/>
              </w:rPr>
              <w:t>Named</w:t>
            </w:r>
          </w:p>
        </w:tc>
        <w:tc>
          <w:tcPr>
            <w:tcW w:w="100" w:type="dxa"/>
            <w:vAlign w:val="bottom"/>
            <w:shd w:val="clear" w:color="auto" w:fill="0075A8"/>
          </w:tcPr>
          <w:p>
            <w:pPr>
              <w:spacing w:after="0"/>
              <w:rPr>
                <w:sz w:val="12"/>
                <w:szCs w:val="12"/>
                <w:color w:val="auto"/>
              </w:rPr>
            </w:pPr>
          </w:p>
        </w:tc>
        <w:tc>
          <w:tcPr>
            <w:tcW w:w="60" w:type="dxa"/>
            <w:vAlign w:val="bottom"/>
            <w:shd w:val="clear" w:color="auto" w:fill="0075A8"/>
          </w:tcPr>
          <w:p>
            <w:pPr>
              <w:spacing w:after="0"/>
              <w:rPr>
                <w:sz w:val="12"/>
                <w:szCs w:val="12"/>
                <w:color w:val="auto"/>
              </w:rPr>
            </w:pPr>
          </w:p>
        </w:tc>
        <w:tc>
          <w:tcPr>
            <w:tcW w:w="240" w:type="dxa"/>
            <w:vAlign w:val="bottom"/>
            <w:shd w:val="clear" w:color="auto" w:fill="0075A8"/>
          </w:tcPr>
          <w:p>
            <w:pPr>
              <w:spacing w:after="0"/>
              <w:rPr>
                <w:sz w:val="12"/>
                <w:szCs w:val="12"/>
                <w:color w:val="auto"/>
              </w:rPr>
            </w:pPr>
          </w:p>
        </w:tc>
        <w:tc>
          <w:tcPr>
            <w:tcW w:w="600" w:type="dxa"/>
            <w:vAlign w:val="bottom"/>
            <w:vMerge w:val="continue"/>
            <w:shd w:val="clear" w:color="auto" w:fill="0075A8"/>
          </w:tcPr>
          <w:p>
            <w:pPr>
              <w:spacing w:after="0"/>
              <w:rPr>
                <w:sz w:val="12"/>
                <w:szCs w:val="12"/>
                <w:color w:val="auto"/>
              </w:rPr>
            </w:pPr>
          </w:p>
        </w:tc>
        <w:tc>
          <w:tcPr>
            <w:tcW w:w="260" w:type="dxa"/>
            <w:vAlign w:val="bottom"/>
            <w:shd w:val="clear" w:color="auto" w:fill="0075A8"/>
          </w:tcPr>
          <w:p>
            <w:pPr>
              <w:spacing w:after="0"/>
              <w:rPr>
                <w:sz w:val="12"/>
                <w:szCs w:val="12"/>
                <w:color w:val="auto"/>
              </w:rPr>
            </w:pPr>
          </w:p>
        </w:tc>
        <w:tc>
          <w:tcPr>
            <w:tcW w:w="780" w:type="dxa"/>
            <w:vAlign w:val="bottom"/>
            <w:shd w:val="clear" w:color="auto" w:fill="0075A8"/>
          </w:tcPr>
          <w:p>
            <w:pPr>
              <w:jc w:val="center"/>
              <w:ind w:right="28"/>
              <w:spacing w:after="0" w:line="145" w:lineRule="exact"/>
              <w:rPr>
                <w:sz w:val="20"/>
                <w:szCs w:val="20"/>
                <w:color w:val="auto"/>
              </w:rPr>
            </w:pPr>
            <w:r>
              <w:rPr>
                <w:rFonts w:ascii="Arial" w:cs="Arial" w:eastAsia="Arial" w:hAnsi="Arial"/>
                <w:sz w:val="14"/>
                <w:szCs w:val="14"/>
                <w:b w:val="1"/>
                <w:bCs w:val="1"/>
                <w:color w:val="FFFFFF"/>
                <w:w w:val="95"/>
              </w:rPr>
              <w:t>Total</w:t>
            </w:r>
          </w:p>
        </w:tc>
        <w:tc>
          <w:tcPr>
            <w:tcW w:w="100" w:type="dxa"/>
            <w:vAlign w:val="bottom"/>
            <w:shd w:val="clear" w:color="auto" w:fill="0075A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Revenue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vMerge w:val="restart"/>
            <w:shd w:val="clear" w:color="auto" w:fill="0075A8"/>
          </w:tcPr>
          <w:p>
            <w:pPr>
              <w:ind w:left="40"/>
              <w:spacing w:after="0"/>
              <w:rPr>
                <w:sz w:val="20"/>
                <w:szCs w:val="20"/>
                <w:color w:val="auto"/>
              </w:rPr>
            </w:pPr>
            <w:r>
              <w:rPr>
                <w:rFonts w:ascii="Arial" w:cs="Arial" w:eastAsia="Arial" w:hAnsi="Arial"/>
                <w:sz w:val="14"/>
                <w:szCs w:val="14"/>
                <w:b w:val="1"/>
                <w:bCs w:val="1"/>
                <w:color w:val="FFFFFF"/>
              </w:rPr>
              <w:t>Year</w:t>
            </w:r>
          </w:p>
        </w:tc>
        <w:tc>
          <w:tcPr>
            <w:tcW w:w="160" w:type="dxa"/>
            <w:vAlign w:val="bottom"/>
            <w:shd w:val="clear" w:color="auto" w:fill="0075A8"/>
          </w:tcPr>
          <w:p>
            <w:pPr>
              <w:spacing w:after="0"/>
              <w:rPr>
                <w:sz w:val="12"/>
                <w:szCs w:val="12"/>
                <w:color w:val="auto"/>
              </w:rPr>
            </w:pPr>
          </w:p>
        </w:tc>
        <w:tc>
          <w:tcPr>
            <w:tcW w:w="960" w:type="dxa"/>
            <w:vAlign w:val="bottom"/>
            <w:shd w:val="clear" w:color="auto" w:fill="0075A8"/>
          </w:tcPr>
          <w:p>
            <w:pPr>
              <w:jc w:val="center"/>
              <w:spacing w:after="0" w:line="149" w:lineRule="exact"/>
              <w:rPr>
                <w:sz w:val="20"/>
                <w:szCs w:val="20"/>
                <w:color w:val="auto"/>
              </w:rPr>
            </w:pPr>
            <w:r>
              <w:rPr>
                <w:rFonts w:ascii="Arial" w:cs="Arial" w:eastAsia="Arial" w:hAnsi="Arial"/>
                <w:sz w:val="14"/>
                <w:szCs w:val="14"/>
                <w:b w:val="1"/>
                <w:bCs w:val="1"/>
                <w:color w:val="FFFFFF"/>
                <w:w w:val="97"/>
              </w:rPr>
              <w:t>Table Total</w:t>
            </w:r>
          </w:p>
        </w:tc>
        <w:tc>
          <w:tcPr>
            <w:tcW w:w="360" w:type="dxa"/>
            <w:vAlign w:val="bottom"/>
            <w:shd w:val="clear" w:color="auto" w:fill="0075A8"/>
          </w:tcPr>
          <w:p>
            <w:pPr>
              <w:spacing w:after="0"/>
              <w:rPr>
                <w:sz w:val="12"/>
                <w:szCs w:val="12"/>
                <w:color w:val="auto"/>
              </w:rPr>
            </w:pPr>
          </w:p>
        </w:tc>
        <w:tc>
          <w:tcPr>
            <w:tcW w:w="800" w:type="dxa"/>
            <w:vAlign w:val="bottom"/>
            <w:shd w:val="clear" w:color="auto" w:fill="0075A8"/>
          </w:tcPr>
          <w:p>
            <w:pPr>
              <w:jc w:val="center"/>
              <w:ind w:right="128"/>
              <w:spacing w:after="0" w:line="149" w:lineRule="exact"/>
              <w:rPr>
                <w:sz w:val="20"/>
                <w:szCs w:val="20"/>
                <w:color w:val="auto"/>
              </w:rPr>
            </w:pPr>
            <w:r>
              <w:rPr>
                <w:rFonts w:ascii="Arial" w:cs="Arial" w:eastAsia="Arial" w:hAnsi="Arial"/>
                <w:sz w:val="14"/>
                <w:szCs w:val="14"/>
                <w:b w:val="1"/>
                <w:bCs w:val="1"/>
                <w:color w:val="FFFFFF"/>
              </w:rPr>
              <w:t>Paid to</w:t>
            </w:r>
          </w:p>
        </w:tc>
        <w:tc>
          <w:tcPr>
            <w:tcW w:w="220" w:type="dxa"/>
            <w:vAlign w:val="bottom"/>
            <w:shd w:val="clear" w:color="auto" w:fill="0075A8"/>
          </w:tcPr>
          <w:p>
            <w:pPr>
              <w:spacing w:after="0"/>
              <w:rPr>
                <w:sz w:val="12"/>
                <w:szCs w:val="12"/>
                <w:color w:val="auto"/>
              </w:rPr>
            </w:pPr>
          </w:p>
        </w:tc>
        <w:tc>
          <w:tcPr>
            <w:tcW w:w="940" w:type="dxa"/>
            <w:vAlign w:val="bottom"/>
            <w:shd w:val="clear" w:color="auto" w:fill="0075A8"/>
          </w:tcPr>
          <w:p>
            <w:pPr>
              <w:jc w:val="center"/>
              <w:ind w:right="8"/>
              <w:spacing w:after="0" w:line="149" w:lineRule="exact"/>
              <w:rPr>
                <w:sz w:val="20"/>
                <w:szCs w:val="20"/>
                <w:color w:val="auto"/>
              </w:rPr>
            </w:pPr>
            <w:r>
              <w:rPr>
                <w:rFonts w:ascii="Arial" w:cs="Arial" w:eastAsia="Arial" w:hAnsi="Arial"/>
                <w:sz w:val="14"/>
                <w:szCs w:val="14"/>
                <w:b w:val="1"/>
                <w:bCs w:val="1"/>
                <w:color w:val="FFFFFF"/>
              </w:rPr>
              <w:t>Executive</w:t>
            </w:r>
          </w:p>
        </w:tc>
        <w:tc>
          <w:tcPr>
            <w:tcW w:w="240" w:type="dxa"/>
            <w:vAlign w:val="bottom"/>
            <w:shd w:val="clear" w:color="auto" w:fill="0075A8"/>
          </w:tcPr>
          <w:p>
            <w:pPr>
              <w:spacing w:after="0"/>
              <w:rPr>
                <w:sz w:val="12"/>
                <w:szCs w:val="12"/>
                <w:color w:val="auto"/>
              </w:rPr>
            </w:pPr>
          </w:p>
        </w:tc>
        <w:tc>
          <w:tcPr>
            <w:tcW w:w="920" w:type="dxa"/>
            <w:vAlign w:val="bottom"/>
            <w:shd w:val="clear" w:color="auto" w:fill="0075A8"/>
          </w:tcPr>
          <w:p>
            <w:pPr>
              <w:jc w:val="center"/>
              <w:ind w:right="28"/>
              <w:spacing w:after="0" w:line="149" w:lineRule="exact"/>
              <w:rPr>
                <w:sz w:val="20"/>
                <w:szCs w:val="20"/>
                <w:color w:val="auto"/>
              </w:rPr>
            </w:pPr>
            <w:r>
              <w:rPr>
                <w:rFonts w:ascii="Arial" w:cs="Arial" w:eastAsia="Arial" w:hAnsi="Arial"/>
                <w:sz w:val="14"/>
                <w:szCs w:val="14"/>
                <w:b w:val="1"/>
                <w:bCs w:val="1"/>
                <w:color w:val="FFFFFF"/>
              </w:rPr>
              <w:t>Executive</w:t>
            </w:r>
          </w:p>
        </w:tc>
        <w:tc>
          <w:tcPr>
            <w:tcW w:w="100" w:type="dxa"/>
            <w:vAlign w:val="bottom"/>
            <w:shd w:val="clear" w:color="auto" w:fill="0075A8"/>
          </w:tcPr>
          <w:p>
            <w:pPr>
              <w:spacing w:after="0"/>
              <w:rPr>
                <w:sz w:val="12"/>
                <w:szCs w:val="12"/>
                <w:color w:val="auto"/>
              </w:rPr>
            </w:pPr>
          </w:p>
        </w:tc>
        <w:tc>
          <w:tcPr>
            <w:tcW w:w="60" w:type="dxa"/>
            <w:vAlign w:val="bottom"/>
            <w:shd w:val="clear" w:color="auto" w:fill="0075A8"/>
          </w:tcPr>
          <w:p>
            <w:pPr>
              <w:spacing w:after="0"/>
              <w:rPr>
                <w:sz w:val="12"/>
                <w:szCs w:val="12"/>
                <w:color w:val="auto"/>
              </w:rPr>
            </w:pPr>
          </w:p>
        </w:tc>
        <w:tc>
          <w:tcPr>
            <w:tcW w:w="840" w:type="dxa"/>
            <w:vAlign w:val="bottom"/>
            <w:gridSpan w:val="2"/>
            <w:shd w:val="clear" w:color="auto" w:fill="0075A8"/>
          </w:tcPr>
          <w:p>
            <w:pPr>
              <w:jc w:val="center"/>
              <w:spacing w:after="0" w:line="149" w:lineRule="exact"/>
              <w:rPr>
                <w:sz w:val="20"/>
                <w:szCs w:val="20"/>
                <w:color w:val="auto"/>
              </w:rPr>
            </w:pPr>
            <w:r>
              <w:rPr>
                <w:rFonts w:ascii="Arial" w:cs="Arial" w:eastAsia="Arial" w:hAnsi="Arial"/>
                <w:sz w:val="14"/>
                <w:szCs w:val="14"/>
                <w:b w:val="1"/>
                <w:bCs w:val="1"/>
                <w:color w:val="FFFFFF"/>
              </w:rPr>
              <w:t>Shareholder</w:t>
            </w:r>
          </w:p>
        </w:tc>
        <w:tc>
          <w:tcPr>
            <w:tcW w:w="1040" w:type="dxa"/>
            <w:vAlign w:val="bottom"/>
            <w:gridSpan w:val="2"/>
            <w:shd w:val="clear" w:color="auto" w:fill="0075A8"/>
          </w:tcPr>
          <w:p>
            <w:pPr>
              <w:jc w:val="center"/>
              <w:ind w:left="126"/>
              <w:spacing w:after="0" w:line="149" w:lineRule="exact"/>
              <w:rPr>
                <w:sz w:val="20"/>
                <w:szCs w:val="20"/>
                <w:color w:val="auto"/>
              </w:rPr>
            </w:pPr>
            <w:r>
              <w:rPr>
                <w:rFonts w:ascii="Arial" w:cs="Arial" w:eastAsia="Arial" w:hAnsi="Arial"/>
                <w:sz w:val="14"/>
                <w:szCs w:val="14"/>
                <w:b w:val="1"/>
                <w:bCs w:val="1"/>
                <w:color w:val="FFFFFF"/>
              </w:rPr>
              <w:t>Shareholder</w:t>
            </w:r>
          </w:p>
        </w:tc>
        <w:tc>
          <w:tcPr>
            <w:tcW w:w="100" w:type="dxa"/>
            <w:vAlign w:val="bottom"/>
            <w:shd w:val="clear" w:color="auto" w:fill="0075A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FFFFFF"/>
              </w:rPr>
              <w:t>Net Income</w:t>
            </w: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vMerge w:val="continue"/>
            <w:shd w:val="clear" w:color="auto" w:fill="0075A8"/>
          </w:tcPr>
          <w:p>
            <w:pPr>
              <w:spacing w:after="0"/>
              <w:rPr>
                <w:sz w:val="11"/>
                <w:szCs w:val="11"/>
                <w:color w:val="auto"/>
              </w:rPr>
            </w:pPr>
          </w:p>
        </w:tc>
        <w:tc>
          <w:tcPr>
            <w:tcW w:w="160" w:type="dxa"/>
            <w:vAlign w:val="bottom"/>
            <w:shd w:val="clear" w:color="auto" w:fill="0075A8"/>
          </w:tcPr>
          <w:p>
            <w:pPr>
              <w:spacing w:after="0"/>
              <w:rPr>
                <w:sz w:val="11"/>
                <w:szCs w:val="11"/>
                <w:color w:val="auto"/>
              </w:rPr>
            </w:pPr>
          </w:p>
        </w:tc>
        <w:tc>
          <w:tcPr>
            <w:tcW w:w="960" w:type="dxa"/>
            <w:vAlign w:val="bottom"/>
            <w:shd w:val="clear" w:color="auto" w:fill="0075A8"/>
          </w:tcPr>
          <w:p>
            <w:pPr>
              <w:jc w:val="center"/>
              <w:spacing w:after="0" w:line="135" w:lineRule="exact"/>
              <w:rPr>
                <w:sz w:val="20"/>
                <w:szCs w:val="20"/>
                <w:color w:val="auto"/>
              </w:rPr>
            </w:pPr>
            <w:r>
              <w:rPr>
                <w:rFonts w:ascii="Arial" w:cs="Arial" w:eastAsia="Arial" w:hAnsi="Arial"/>
                <w:sz w:val="14"/>
                <w:szCs w:val="14"/>
                <w:b w:val="1"/>
                <w:bCs w:val="1"/>
                <w:color w:val="FFFFFF"/>
              </w:rPr>
              <w:t>for PEO(1)</w:t>
            </w:r>
          </w:p>
        </w:tc>
        <w:tc>
          <w:tcPr>
            <w:tcW w:w="360" w:type="dxa"/>
            <w:vAlign w:val="bottom"/>
            <w:shd w:val="clear" w:color="auto" w:fill="0075A8"/>
          </w:tcPr>
          <w:p>
            <w:pPr>
              <w:spacing w:after="0"/>
              <w:rPr>
                <w:sz w:val="11"/>
                <w:szCs w:val="11"/>
                <w:color w:val="auto"/>
              </w:rPr>
            </w:pPr>
          </w:p>
        </w:tc>
        <w:tc>
          <w:tcPr>
            <w:tcW w:w="800" w:type="dxa"/>
            <w:vAlign w:val="bottom"/>
            <w:shd w:val="clear" w:color="auto" w:fill="0075A8"/>
          </w:tcPr>
          <w:p>
            <w:pPr>
              <w:jc w:val="center"/>
              <w:ind w:right="128"/>
              <w:spacing w:after="0" w:line="135" w:lineRule="exact"/>
              <w:rPr>
                <w:sz w:val="20"/>
                <w:szCs w:val="20"/>
                <w:color w:val="auto"/>
              </w:rPr>
            </w:pPr>
            <w:r>
              <w:rPr>
                <w:rFonts w:ascii="Arial" w:cs="Arial" w:eastAsia="Arial" w:hAnsi="Arial"/>
                <w:sz w:val="14"/>
                <w:szCs w:val="14"/>
                <w:b w:val="1"/>
                <w:bCs w:val="1"/>
                <w:color w:val="FFFFFF"/>
              </w:rPr>
              <w:t>PEO(2)</w:t>
            </w:r>
          </w:p>
        </w:tc>
        <w:tc>
          <w:tcPr>
            <w:tcW w:w="220" w:type="dxa"/>
            <w:vAlign w:val="bottom"/>
            <w:shd w:val="clear" w:color="auto" w:fill="0075A8"/>
          </w:tcPr>
          <w:p>
            <w:pPr>
              <w:spacing w:after="0"/>
              <w:rPr>
                <w:sz w:val="11"/>
                <w:szCs w:val="11"/>
                <w:color w:val="auto"/>
              </w:rPr>
            </w:pPr>
          </w:p>
        </w:tc>
        <w:tc>
          <w:tcPr>
            <w:tcW w:w="940" w:type="dxa"/>
            <w:vAlign w:val="bottom"/>
            <w:shd w:val="clear" w:color="auto" w:fill="0075A8"/>
          </w:tcPr>
          <w:p>
            <w:pPr>
              <w:jc w:val="center"/>
              <w:ind w:right="8"/>
              <w:spacing w:after="0" w:line="135" w:lineRule="exact"/>
              <w:rPr>
                <w:sz w:val="20"/>
                <w:szCs w:val="20"/>
                <w:color w:val="auto"/>
              </w:rPr>
            </w:pPr>
            <w:r>
              <w:rPr>
                <w:rFonts w:ascii="Arial" w:cs="Arial" w:eastAsia="Arial" w:hAnsi="Arial"/>
                <w:sz w:val="14"/>
                <w:szCs w:val="14"/>
                <w:b w:val="1"/>
                <w:bCs w:val="1"/>
                <w:color w:val="FFFFFF"/>
                <w:w w:val="99"/>
              </w:rPr>
              <w:t>Officers(1)</w:t>
            </w:r>
          </w:p>
        </w:tc>
        <w:tc>
          <w:tcPr>
            <w:tcW w:w="240" w:type="dxa"/>
            <w:vAlign w:val="bottom"/>
            <w:shd w:val="clear" w:color="auto" w:fill="0075A8"/>
          </w:tcPr>
          <w:p>
            <w:pPr>
              <w:spacing w:after="0"/>
              <w:rPr>
                <w:sz w:val="11"/>
                <w:szCs w:val="11"/>
                <w:color w:val="auto"/>
              </w:rPr>
            </w:pPr>
          </w:p>
        </w:tc>
        <w:tc>
          <w:tcPr>
            <w:tcW w:w="920" w:type="dxa"/>
            <w:vAlign w:val="bottom"/>
            <w:shd w:val="clear" w:color="auto" w:fill="0075A8"/>
          </w:tcPr>
          <w:p>
            <w:pPr>
              <w:jc w:val="center"/>
              <w:ind w:right="8"/>
              <w:spacing w:after="0" w:line="135" w:lineRule="exact"/>
              <w:rPr>
                <w:sz w:val="20"/>
                <w:szCs w:val="20"/>
                <w:color w:val="auto"/>
              </w:rPr>
            </w:pPr>
            <w:r>
              <w:rPr>
                <w:rFonts w:ascii="Arial" w:cs="Arial" w:eastAsia="Arial" w:hAnsi="Arial"/>
                <w:sz w:val="14"/>
                <w:szCs w:val="14"/>
                <w:b w:val="1"/>
                <w:bCs w:val="1"/>
                <w:color w:val="FFFFFF"/>
              </w:rPr>
              <w:t>Officers(2)</w:t>
            </w:r>
          </w:p>
        </w:tc>
        <w:tc>
          <w:tcPr>
            <w:tcW w:w="100" w:type="dxa"/>
            <w:vAlign w:val="bottom"/>
            <w:shd w:val="clear" w:color="auto" w:fill="0075A8"/>
          </w:tcPr>
          <w:p>
            <w:pPr>
              <w:spacing w:after="0"/>
              <w:rPr>
                <w:sz w:val="11"/>
                <w:szCs w:val="11"/>
                <w:color w:val="auto"/>
              </w:rPr>
            </w:pPr>
          </w:p>
        </w:tc>
        <w:tc>
          <w:tcPr>
            <w:tcW w:w="60" w:type="dxa"/>
            <w:vAlign w:val="bottom"/>
            <w:shd w:val="clear" w:color="auto" w:fill="0075A8"/>
          </w:tcPr>
          <w:p>
            <w:pPr>
              <w:spacing w:after="0"/>
              <w:rPr>
                <w:sz w:val="11"/>
                <w:szCs w:val="11"/>
                <w:color w:val="auto"/>
              </w:rPr>
            </w:pPr>
          </w:p>
        </w:tc>
        <w:tc>
          <w:tcPr>
            <w:tcW w:w="840" w:type="dxa"/>
            <w:vAlign w:val="bottom"/>
            <w:gridSpan w:val="2"/>
            <w:shd w:val="clear" w:color="auto" w:fill="0075A8"/>
          </w:tcPr>
          <w:p>
            <w:pPr>
              <w:jc w:val="center"/>
              <w:spacing w:after="0" w:line="135" w:lineRule="exact"/>
              <w:rPr>
                <w:sz w:val="20"/>
                <w:szCs w:val="20"/>
                <w:color w:val="auto"/>
              </w:rPr>
            </w:pPr>
            <w:r>
              <w:rPr>
                <w:rFonts w:ascii="Arial" w:cs="Arial" w:eastAsia="Arial" w:hAnsi="Arial"/>
                <w:sz w:val="14"/>
                <w:szCs w:val="14"/>
                <w:b w:val="1"/>
                <w:bCs w:val="1"/>
                <w:color w:val="FFFFFF"/>
              </w:rPr>
              <w:t>Return</w:t>
            </w:r>
          </w:p>
        </w:tc>
        <w:tc>
          <w:tcPr>
            <w:tcW w:w="260" w:type="dxa"/>
            <w:vAlign w:val="bottom"/>
            <w:shd w:val="clear" w:color="auto" w:fill="0075A8"/>
          </w:tcPr>
          <w:p>
            <w:pPr>
              <w:spacing w:after="0"/>
              <w:rPr>
                <w:sz w:val="11"/>
                <w:szCs w:val="11"/>
                <w:color w:val="auto"/>
              </w:rPr>
            </w:pPr>
          </w:p>
        </w:tc>
        <w:tc>
          <w:tcPr>
            <w:tcW w:w="780" w:type="dxa"/>
            <w:vAlign w:val="bottom"/>
            <w:shd w:val="clear" w:color="auto" w:fill="0075A8"/>
          </w:tcPr>
          <w:p>
            <w:pPr>
              <w:jc w:val="center"/>
              <w:ind w:right="8"/>
              <w:spacing w:after="0" w:line="135" w:lineRule="exact"/>
              <w:rPr>
                <w:sz w:val="20"/>
                <w:szCs w:val="20"/>
                <w:color w:val="auto"/>
              </w:rPr>
            </w:pPr>
            <w:r>
              <w:rPr>
                <w:rFonts w:ascii="Arial" w:cs="Arial" w:eastAsia="Arial" w:hAnsi="Arial"/>
                <w:sz w:val="14"/>
                <w:szCs w:val="14"/>
                <w:b w:val="1"/>
                <w:bCs w:val="1"/>
                <w:color w:val="FFFFFF"/>
                <w:w w:val="99"/>
              </w:rPr>
              <w:t>Return(3)</w:t>
            </w:r>
          </w:p>
        </w:tc>
        <w:tc>
          <w:tcPr>
            <w:tcW w:w="100" w:type="dxa"/>
            <w:vAlign w:val="bottom"/>
            <w:shd w:val="clear" w:color="auto" w:fill="0075A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FFFFFF"/>
              </w:rPr>
              <w:t>($ in 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0075A8"/>
          </w:tcPr>
          <w:p>
            <w:pPr>
              <w:ind w:left="20"/>
              <w:spacing w:after="0"/>
              <w:rPr>
                <w:sz w:val="20"/>
                <w:szCs w:val="20"/>
                <w:color w:val="auto"/>
              </w:rPr>
            </w:pPr>
            <w:r>
              <w:rPr>
                <w:rFonts w:ascii="Arial" w:cs="Arial" w:eastAsia="Arial" w:hAnsi="Arial"/>
                <w:sz w:val="14"/>
                <w:szCs w:val="14"/>
                <w:b w:val="1"/>
                <w:bCs w:val="1"/>
                <w:color w:val="FFFFFF"/>
              </w:rPr>
              <w:t>​(a)</w:t>
            </w:r>
          </w:p>
        </w:tc>
        <w:tc>
          <w:tcPr>
            <w:tcW w:w="160" w:type="dxa"/>
            <w:vAlign w:val="bottom"/>
            <w:shd w:val="clear" w:color="auto" w:fill="0075A8"/>
          </w:tcPr>
          <w:p>
            <w:pPr>
              <w:ind w:left="2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0075A8"/>
          </w:tcPr>
          <w:p>
            <w:pPr>
              <w:jc w:val="center"/>
              <w:spacing w:after="0"/>
              <w:rPr>
                <w:sz w:val="20"/>
                <w:szCs w:val="20"/>
                <w:color w:val="auto"/>
              </w:rPr>
            </w:pPr>
            <w:r>
              <w:rPr>
                <w:rFonts w:ascii="Arial" w:cs="Arial" w:eastAsia="Arial" w:hAnsi="Arial"/>
                <w:sz w:val="14"/>
                <w:szCs w:val="14"/>
                <w:b w:val="1"/>
                <w:bCs w:val="1"/>
                <w:color w:val="FFFFFF"/>
              </w:rPr>
              <w:t>(b)</w:t>
            </w:r>
          </w:p>
        </w:tc>
        <w:tc>
          <w:tcPr>
            <w:tcW w:w="360" w:type="dxa"/>
            <w:vAlign w:val="bottom"/>
            <w:shd w:val="clear" w:color="auto" w:fill="0075A8"/>
          </w:tcPr>
          <w:p>
            <w:pPr>
              <w:ind w:left="60"/>
              <w:spacing w:after="0"/>
              <w:rPr>
                <w:sz w:val="20"/>
                <w:szCs w:val="20"/>
                <w:color w:val="auto"/>
              </w:rPr>
            </w:pPr>
            <w:r>
              <w:rPr>
                <w:rFonts w:ascii="Arial" w:cs="Arial" w:eastAsia="Arial" w:hAnsi="Arial"/>
                <w:sz w:val="14"/>
                <w:szCs w:val="14"/>
                <w:b w:val="1"/>
                <w:bCs w:val="1"/>
                <w:color w:val="FFFFFF"/>
              </w:rPr>
              <w:t>​ ​</w:t>
            </w:r>
          </w:p>
        </w:tc>
        <w:tc>
          <w:tcPr>
            <w:tcW w:w="800" w:type="dxa"/>
            <w:vAlign w:val="bottom"/>
            <w:shd w:val="clear" w:color="auto" w:fill="0075A8"/>
          </w:tcPr>
          <w:p>
            <w:pPr>
              <w:jc w:val="center"/>
              <w:ind w:right="108"/>
              <w:spacing w:after="0"/>
              <w:rPr>
                <w:sz w:val="20"/>
                <w:szCs w:val="20"/>
                <w:color w:val="auto"/>
              </w:rPr>
            </w:pPr>
            <w:r>
              <w:rPr>
                <w:rFonts w:ascii="Arial" w:cs="Arial" w:eastAsia="Arial" w:hAnsi="Arial"/>
                <w:sz w:val="14"/>
                <w:szCs w:val="14"/>
                <w:b w:val="1"/>
                <w:bCs w:val="1"/>
                <w:color w:val="FFFFFF"/>
              </w:rPr>
              <w:t>(c)</w:t>
            </w:r>
          </w:p>
        </w:tc>
        <w:tc>
          <w:tcPr>
            <w:tcW w:w="220" w:type="dxa"/>
            <w:vAlign w:val="bottom"/>
            <w:shd w:val="clear" w:color="auto" w:fill="0075A8"/>
          </w:tcPr>
          <w:p>
            <w:pPr>
              <w:ind w:left="60"/>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0075A8"/>
          </w:tcPr>
          <w:p>
            <w:pPr>
              <w:jc w:val="center"/>
              <w:spacing w:after="0"/>
              <w:rPr>
                <w:sz w:val="20"/>
                <w:szCs w:val="20"/>
                <w:color w:val="auto"/>
              </w:rPr>
            </w:pPr>
            <w:r>
              <w:rPr>
                <w:rFonts w:ascii="Arial" w:cs="Arial" w:eastAsia="Arial" w:hAnsi="Arial"/>
                <w:sz w:val="14"/>
                <w:szCs w:val="14"/>
                <w:b w:val="1"/>
                <w:bCs w:val="1"/>
                <w:color w:val="FFFFFF"/>
              </w:rPr>
              <w:t>(d)</w:t>
            </w:r>
          </w:p>
        </w:tc>
        <w:tc>
          <w:tcPr>
            <w:tcW w:w="240" w:type="dxa"/>
            <w:vAlign w:val="bottom"/>
            <w:shd w:val="clear" w:color="auto" w:fill="0075A8"/>
          </w:tcPr>
          <w:p>
            <w:pPr>
              <w:ind w:left="6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0075A8"/>
          </w:tcPr>
          <w:p>
            <w:pPr>
              <w:jc w:val="center"/>
              <w:spacing w:after="0"/>
              <w:rPr>
                <w:sz w:val="20"/>
                <w:szCs w:val="20"/>
                <w:color w:val="auto"/>
              </w:rPr>
            </w:pPr>
            <w:r>
              <w:rPr>
                <w:rFonts w:ascii="Arial" w:cs="Arial" w:eastAsia="Arial" w:hAnsi="Arial"/>
                <w:sz w:val="14"/>
                <w:szCs w:val="14"/>
                <w:b w:val="1"/>
                <w:bCs w:val="1"/>
                <w:color w:val="FFFFFF"/>
                <w:w w:val="93"/>
              </w:rPr>
              <w:t>(e)</w:t>
            </w:r>
          </w:p>
        </w:tc>
        <w:tc>
          <w:tcPr>
            <w:tcW w:w="160" w:type="dxa"/>
            <w:vAlign w:val="bottom"/>
            <w:gridSpan w:val="2"/>
            <w:shd w:val="clear" w:color="auto" w:fill="0075A8"/>
          </w:tcPr>
          <w:p>
            <w:pPr>
              <w:jc w:val="right"/>
              <w:spacing w:after="0"/>
              <w:rPr>
                <w:sz w:val="20"/>
                <w:szCs w:val="20"/>
                <w:color w:val="auto"/>
              </w:rPr>
            </w:pPr>
            <w:r>
              <w:rPr>
                <w:rFonts w:ascii="Arial" w:cs="Arial" w:eastAsia="Arial" w:hAnsi="Arial"/>
                <w:sz w:val="14"/>
                <w:szCs w:val="14"/>
                <w:b w:val="1"/>
                <w:bCs w:val="1"/>
                <w:color w:val="FFFFFF"/>
              </w:rPr>
              <w:t>​ ​</w:t>
            </w:r>
          </w:p>
        </w:tc>
        <w:tc>
          <w:tcPr>
            <w:tcW w:w="240" w:type="dxa"/>
            <w:vAlign w:val="bottom"/>
            <w:shd w:val="clear" w:color="auto" w:fill="0075A8"/>
          </w:tcPr>
          <w:p>
            <w:pPr>
              <w:spacing w:after="0"/>
              <w:rPr>
                <w:sz w:val="16"/>
                <w:szCs w:val="16"/>
                <w:color w:val="auto"/>
              </w:rPr>
            </w:pPr>
          </w:p>
        </w:tc>
        <w:tc>
          <w:tcPr>
            <w:tcW w:w="600" w:type="dxa"/>
            <w:vAlign w:val="bottom"/>
            <w:shd w:val="clear" w:color="auto" w:fill="0075A8"/>
          </w:tcPr>
          <w:p>
            <w:pPr>
              <w:jc w:val="center"/>
              <w:ind w:right="148"/>
              <w:spacing w:after="0"/>
              <w:rPr>
                <w:sz w:val="20"/>
                <w:szCs w:val="20"/>
                <w:color w:val="auto"/>
              </w:rPr>
            </w:pPr>
            <w:r>
              <w:rPr>
                <w:rFonts w:ascii="Arial" w:cs="Arial" w:eastAsia="Arial" w:hAnsi="Arial"/>
                <w:sz w:val="14"/>
                <w:szCs w:val="14"/>
                <w:b w:val="1"/>
                <w:bCs w:val="1"/>
                <w:color w:val="FFFFFF"/>
                <w:w w:val="99"/>
              </w:rPr>
              <w:t>(f)</w:t>
            </w:r>
          </w:p>
        </w:tc>
        <w:tc>
          <w:tcPr>
            <w:tcW w:w="260" w:type="dxa"/>
            <w:vAlign w:val="bottom"/>
            <w:shd w:val="clear" w:color="auto" w:fill="0075A8"/>
          </w:tcPr>
          <w:p>
            <w:pPr>
              <w:ind w:left="60"/>
              <w:spacing w:after="0"/>
              <w:rPr>
                <w:sz w:val="20"/>
                <w:szCs w:val="20"/>
                <w:color w:val="auto"/>
              </w:rPr>
            </w:pPr>
            <w:r>
              <w:rPr>
                <w:rFonts w:ascii="Arial" w:cs="Arial" w:eastAsia="Arial" w:hAnsi="Arial"/>
                <w:sz w:val="14"/>
                <w:szCs w:val="14"/>
                <w:b w:val="1"/>
                <w:bCs w:val="1"/>
                <w:color w:val="FFFFFF"/>
              </w:rPr>
              <w:t>​ ​</w:t>
            </w:r>
          </w:p>
        </w:tc>
        <w:tc>
          <w:tcPr>
            <w:tcW w:w="780" w:type="dxa"/>
            <w:vAlign w:val="bottom"/>
            <w:shd w:val="clear" w:color="auto" w:fill="0075A8"/>
          </w:tcPr>
          <w:p>
            <w:pPr>
              <w:jc w:val="center"/>
              <w:spacing w:after="0"/>
              <w:rPr>
                <w:sz w:val="20"/>
                <w:szCs w:val="20"/>
                <w:color w:val="auto"/>
              </w:rPr>
            </w:pPr>
            <w:r>
              <w:rPr>
                <w:rFonts w:ascii="Arial" w:cs="Arial" w:eastAsia="Arial" w:hAnsi="Arial"/>
                <w:sz w:val="14"/>
                <w:szCs w:val="14"/>
                <w:b w:val="1"/>
                <w:bCs w:val="1"/>
                <w:color w:val="FFFFFF"/>
              </w:rPr>
              <w:t>(g)</w:t>
            </w:r>
          </w:p>
        </w:tc>
        <w:tc>
          <w:tcPr>
            <w:tcW w:w="100" w:type="dxa"/>
            <w:vAlign w:val="bottom"/>
            <w:shd w:val="clear" w:color="auto" w:fill="0075A8"/>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FFFFFF"/>
              </w:rPr>
              <w:t>(h)</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FFFFFF"/>
              </w:rPr>
              <w:t>​ ​</w:t>
            </w:r>
          </w:p>
        </w:tc>
        <w:tc>
          <w:tcPr>
            <w:tcW w:w="840" w:type="dxa"/>
            <w:vAlign w:val="bottom"/>
          </w:tcPr>
          <w:p>
            <w:pPr>
              <w:ind w:left="320"/>
              <w:spacing w:after="0"/>
              <w:rPr>
                <w:sz w:val="20"/>
                <w:szCs w:val="20"/>
                <w:color w:val="auto"/>
              </w:rPr>
            </w:pPr>
            <w:r>
              <w:rPr>
                <w:rFonts w:ascii="Arial" w:cs="Arial" w:eastAsia="Arial" w:hAnsi="Arial"/>
                <w:sz w:val="14"/>
                <w:szCs w:val="14"/>
                <w:b w:val="1"/>
                <w:bCs w:val="1"/>
                <w:color w:val="FFFFFF"/>
              </w:rPr>
              <w:t>(i)</w:t>
            </w:r>
          </w:p>
        </w:tc>
        <w:tc>
          <w:tcPr>
            <w:tcW w:w="100" w:type="dxa"/>
            <w:vAlign w:val="bottom"/>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400" w:type="dxa"/>
            <w:vAlign w:val="bottom"/>
          </w:tcPr>
          <w:p>
            <w:pPr>
              <w:ind w:left="4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$ 18,096,527​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$ 11,158,819​</w:t>
            </w:r>
          </w:p>
        </w:tc>
        <w:tc>
          <w:tcPr>
            <w:tcW w:w="2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$ 5,177,613​</w:t>
            </w:r>
          </w:p>
        </w:tc>
        <w:tc>
          <w:tcPr>
            <w:tcW w:w="2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$ 3,223,277​</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73.19​</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$ 389.19​</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595,997,860</w:t>
            </w:r>
          </w:p>
        </w:tc>
        <w:tc>
          <w:tcPr>
            <w:tcW w:w="2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color w:val="auto"/>
              </w:rPr>
              <w:t>$ 4,178.0​</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120" w:type="dxa"/>
            <w:vAlign w:val="bottom"/>
            <w:gridSpan w:val="2"/>
          </w:tcPr>
          <w:p>
            <w:pPr>
              <w:ind w:left="6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ind w:left="20"/>
              <w:spacing w:after="0" w:line="54" w:lineRule="exact"/>
              <w:rPr>
                <w:sz w:val="20"/>
                <w:szCs w:val="20"/>
                <w:color w:val="auto"/>
              </w:rPr>
            </w:pPr>
            <w:r>
              <w:rPr>
                <w:rFonts w:ascii="Arial" w:cs="Arial" w:eastAsia="Arial" w:hAnsi="Arial"/>
                <w:sz w:val="6"/>
                <w:szCs w:val="6"/>
                <w:color w:val="auto"/>
              </w:rPr>
              <w:t>​ ​ ​ ​</w:t>
            </w:r>
          </w:p>
        </w:tc>
        <w:tc>
          <w:tcPr>
            <w:tcW w:w="800" w:type="dxa"/>
            <w:vAlign w:val="bottom"/>
          </w:tcPr>
          <w:p>
            <w:pPr>
              <w:spacing w:after="0"/>
              <w:rPr>
                <w:sz w:val="4"/>
                <w:szCs w:val="4"/>
                <w:color w:val="auto"/>
              </w:rPr>
            </w:pPr>
          </w:p>
        </w:tc>
        <w:tc>
          <w:tcPr>
            <w:tcW w:w="116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116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400" w:type="dxa"/>
            <w:vAlign w:val="bottom"/>
            <w:gridSpan w:val="3"/>
          </w:tcPr>
          <w:p>
            <w:pPr>
              <w:jc w:val="right"/>
              <w:spacing w:after="0" w:line="54" w:lineRule="exact"/>
              <w:rPr>
                <w:sz w:val="20"/>
                <w:szCs w:val="20"/>
                <w:color w:val="auto"/>
              </w:rPr>
            </w:pPr>
            <w:r>
              <w:rPr>
                <w:rFonts w:ascii="Arial" w:cs="Arial" w:eastAsia="Arial" w:hAnsi="Arial"/>
                <w:sz w:val="6"/>
                <w:szCs w:val="6"/>
                <w:color w:val="auto"/>
              </w:rPr>
              <w:t>​ ​ ​  ​</w:t>
            </w:r>
          </w:p>
        </w:tc>
        <w:tc>
          <w:tcPr>
            <w:tcW w:w="600" w:type="dxa"/>
            <w:vAlign w:val="bottom"/>
          </w:tcPr>
          <w:p>
            <w:pPr>
              <w:spacing w:after="0"/>
              <w:rPr>
                <w:sz w:val="4"/>
                <w:szCs w:val="4"/>
                <w:color w:val="auto"/>
              </w:rPr>
            </w:pPr>
          </w:p>
        </w:tc>
        <w:tc>
          <w:tcPr>
            <w:tcW w:w="104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280" w:type="dxa"/>
            <w:vAlign w:val="bottom"/>
            <w:gridSpan w:val="2"/>
          </w:tcPr>
          <w:p>
            <w:pPr>
              <w:ind w:left="20"/>
              <w:spacing w:after="0" w:line="54" w:lineRule="exact"/>
              <w:rPr>
                <w:sz w:val="20"/>
                <w:szCs w:val="20"/>
                <w:color w:val="auto"/>
              </w:rPr>
            </w:pPr>
            <w:r>
              <w:rPr>
                <w:rFonts w:ascii="Arial" w:cs="Arial" w:eastAsia="Arial" w:hAnsi="Arial"/>
                <w:sz w:val="6"/>
                <w:szCs w:val="6"/>
                <w:color w:val="auto"/>
              </w:rPr>
              <w:t>​ ​ ​</w:t>
            </w:r>
          </w:p>
        </w:tc>
        <w:tc>
          <w:tcPr>
            <w:tcW w:w="920" w:type="dxa"/>
            <w:vAlign w:val="bottom"/>
          </w:tcPr>
          <w:p>
            <w:pPr>
              <w:spacing w:after="0"/>
              <w:rPr>
                <w:sz w:val="4"/>
                <w:szCs w:val="4"/>
                <w:color w:val="auto"/>
              </w:rPr>
            </w:pPr>
          </w:p>
        </w:tc>
        <w:tc>
          <w:tcPr>
            <w:tcW w:w="1100" w:type="dxa"/>
            <w:vAlign w:val="bottom"/>
            <w:gridSpan w:val="2"/>
          </w:tcPr>
          <w:p>
            <w:pPr>
              <w:spacing w:after="0" w:line="54" w:lineRule="exact"/>
              <w:rPr>
                <w:sz w:val="20"/>
                <w:szCs w:val="20"/>
                <w:color w:val="auto"/>
              </w:rPr>
            </w:pPr>
            <w:r>
              <w:rPr>
                <w:rFonts w:ascii="Arial" w:cs="Arial" w:eastAsia="Arial" w:hAnsi="Arial"/>
                <w:sz w:val="6"/>
                <w:szCs w:val="6"/>
                <w:b w:val="1"/>
                <w:bCs w:val="1"/>
                <w:color w:val="auto"/>
              </w:rPr>
              <w:t xml:space="preserve">​ </w:t>
            </w:r>
            <w:r>
              <w:rPr>
                <w:rFonts w:ascii="Arial" w:cs="Arial" w:eastAsia="Arial" w:hAnsi="Arial"/>
                <w:sz w:val="6"/>
                <w:szCs w:val="6"/>
                <w:color w:val="auto"/>
              </w:rPr>
              <w:t>​ ​  ​</w:t>
            </w: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 w:type="dxa"/>
            <w:vAlign w:val="bottom"/>
          </w:tcPr>
          <w:p>
            <w:pPr>
              <w:ind w:left="4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$ 17,261,436​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$ 24,905,013​</w:t>
            </w:r>
          </w:p>
        </w:tc>
        <w:tc>
          <w:tcPr>
            <w:tcW w:w="2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$ 5,104,831​</w:t>
            </w:r>
          </w:p>
        </w:tc>
        <w:tc>
          <w:tcPr>
            <w:tcW w:w="2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$ 7,246,354​</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71.02​</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$ 185.42​</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982,763,578</w:t>
            </w:r>
          </w:p>
        </w:tc>
        <w:tc>
          <w:tcPr>
            <w:tcW w:w="2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color w:val="auto"/>
              </w:rPr>
              <w:t>$ 4,772.4​</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120" w:type="dxa"/>
            <w:vAlign w:val="bottom"/>
            <w:gridSpan w:val="2"/>
          </w:tcPr>
          <w:p>
            <w:pPr>
              <w:ind w:left="6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ind w:left="20"/>
              <w:spacing w:after="0" w:line="54" w:lineRule="exact"/>
              <w:rPr>
                <w:sz w:val="20"/>
                <w:szCs w:val="20"/>
                <w:color w:val="auto"/>
              </w:rPr>
            </w:pPr>
            <w:r>
              <w:rPr>
                <w:rFonts w:ascii="Arial" w:cs="Arial" w:eastAsia="Arial" w:hAnsi="Arial"/>
                <w:sz w:val="6"/>
                <w:szCs w:val="6"/>
                <w:color w:val="auto"/>
              </w:rPr>
              <w:t>​ ​ ​ ​</w:t>
            </w:r>
          </w:p>
        </w:tc>
        <w:tc>
          <w:tcPr>
            <w:tcW w:w="800" w:type="dxa"/>
            <w:vAlign w:val="bottom"/>
          </w:tcPr>
          <w:p>
            <w:pPr>
              <w:spacing w:after="0"/>
              <w:rPr>
                <w:sz w:val="4"/>
                <w:szCs w:val="4"/>
                <w:color w:val="auto"/>
              </w:rPr>
            </w:pPr>
          </w:p>
        </w:tc>
        <w:tc>
          <w:tcPr>
            <w:tcW w:w="116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116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400" w:type="dxa"/>
            <w:vAlign w:val="bottom"/>
            <w:gridSpan w:val="3"/>
          </w:tcPr>
          <w:p>
            <w:pPr>
              <w:jc w:val="right"/>
              <w:spacing w:after="0" w:line="54" w:lineRule="exact"/>
              <w:rPr>
                <w:sz w:val="20"/>
                <w:szCs w:val="20"/>
                <w:color w:val="auto"/>
              </w:rPr>
            </w:pPr>
            <w:r>
              <w:rPr>
                <w:rFonts w:ascii="Arial" w:cs="Arial" w:eastAsia="Arial" w:hAnsi="Arial"/>
                <w:sz w:val="6"/>
                <w:szCs w:val="6"/>
                <w:color w:val="auto"/>
              </w:rPr>
              <w:t>​ ​ ​  ​</w:t>
            </w:r>
          </w:p>
        </w:tc>
        <w:tc>
          <w:tcPr>
            <w:tcW w:w="600" w:type="dxa"/>
            <w:vAlign w:val="bottom"/>
          </w:tcPr>
          <w:p>
            <w:pPr>
              <w:spacing w:after="0"/>
              <w:rPr>
                <w:sz w:val="4"/>
                <w:szCs w:val="4"/>
                <w:color w:val="auto"/>
              </w:rPr>
            </w:pPr>
          </w:p>
        </w:tc>
        <w:tc>
          <w:tcPr>
            <w:tcW w:w="104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280" w:type="dxa"/>
            <w:vAlign w:val="bottom"/>
            <w:gridSpan w:val="2"/>
          </w:tcPr>
          <w:p>
            <w:pPr>
              <w:ind w:left="20"/>
              <w:spacing w:after="0" w:line="54" w:lineRule="exact"/>
              <w:rPr>
                <w:sz w:val="20"/>
                <w:szCs w:val="20"/>
                <w:color w:val="auto"/>
              </w:rPr>
            </w:pPr>
            <w:r>
              <w:rPr>
                <w:rFonts w:ascii="Arial" w:cs="Arial" w:eastAsia="Arial" w:hAnsi="Arial"/>
                <w:sz w:val="6"/>
                <w:szCs w:val="6"/>
                <w:color w:val="auto"/>
              </w:rPr>
              <w:t>​ ​ ​</w:t>
            </w:r>
          </w:p>
        </w:tc>
        <w:tc>
          <w:tcPr>
            <w:tcW w:w="920" w:type="dxa"/>
            <w:vAlign w:val="bottom"/>
          </w:tcPr>
          <w:p>
            <w:pPr>
              <w:spacing w:after="0"/>
              <w:rPr>
                <w:sz w:val="4"/>
                <w:szCs w:val="4"/>
                <w:color w:val="auto"/>
              </w:rPr>
            </w:pPr>
          </w:p>
        </w:tc>
        <w:tc>
          <w:tcPr>
            <w:tcW w:w="1100" w:type="dxa"/>
            <w:vAlign w:val="bottom"/>
            <w:gridSpan w:val="2"/>
          </w:tcPr>
          <w:p>
            <w:pPr>
              <w:spacing w:after="0" w:line="54" w:lineRule="exact"/>
              <w:rPr>
                <w:sz w:val="20"/>
                <w:szCs w:val="20"/>
                <w:color w:val="auto"/>
              </w:rPr>
            </w:pPr>
            <w:r>
              <w:rPr>
                <w:rFonts w:ascii="Arial" w:cs="Arial" w:eastAsia="Arial" w:hAnsi="Arial"/>
                <w:sz w:val="6"/>
                <w:szCs w:val="6"/>
                <w:b w:val="1"/>
                <w:bCs w:val="1"/>
                <w:color w:val="auto"/>
              </w:rPr>
              <w:t xml:space="preserve">​ </w:t>
            </w:r>
            <w:r>
              <w:rPr>
                <w:rFonts w:ascii="Arial" w:cs="Arial" w:eastAsia="Arial" w:hAnsi="Arial"/>
                <w:sz w:val="6"/>
                <w:szCs w:val="6"/>
                <w:color w:val="auto"/>
              </w:rPr>
              <w:t>​ ​  ​</w:t>
            </w: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 w:type="dxa"/>
            <w:vAlign w:val="bottom"/>
          </w:tcPr>
          <w:p>
            <w:pPr>
              <w:ind w:left="4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$ 16,667,162​</w:t>
            </w:r>
          </w:p>
        </w:tc>
        <w:tc>
          <w:tcPr>
            <w:tcW w:w="360" w:type="dxa"/>
            <w:vAlign w:val="bottom"/>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(3,791,369​)</w:t>
            </w:r>
          </w:p>
        </w:tc>
        <w:tc>
          <w:tcPr>
            <w:tcW w:w="2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$ 5,057,362​</w:t>
            </w:r>
          </w:p>
        </w:tc>
        <w:tc>
          <w:tcPr>
            <w:tcW w:w="2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  (596,664​)</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59.92​</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  95.60​</w:t>
            </w:r>
          </w:p>
        </w:tc>
        <w:tc>
          <w:tcPr>
            <w:tcW w:w="1200" w:type="dxa"/>
            <w:vAlign w:val="bottom"/>
            <w:gridSpan w:val="3"/>
          </w:tcPr>
          <w:p>
            <w:pPr>
              <w:ind w:left="200"/>
              <w:spacing w:after="0"/>
              <w:rPr>
                <w:sz w:val="20"/>
                <w:szCs w:val="20"/>
                <w:color w:val="auto"/>
              </w:rPr>
            </w:pPr>
            <w:r>
              <w:rPr>
                <w:rFonts w:ascii="Arial" w:cs="Arial" w:eastAsia="Arial" w:hAnsi="Arial"/>
                <w:sz w:val="14"/>
                <w:szCs w:val="14"/>
                <w:color w:val="auto"/>
              </w:rPr>
              <w:t>$1,275,184,583</w:t>
            </w:r>
          </w:p>
        </w:tc>
        <w:tc>
          <w:tcPr>
            <w:tcW w:w="2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color w:val="auto"/>
              </w:rPr>
              <w:t>$ 5,485.5​</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120" w:type="dxa"/>
            <w:vAlign w:val="bottom"/>
            <w:gridSpan w:val="2"/>
          </w:tcPr>
          <w:p>
            <w:pPr>
              <w:ind w:left="6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ind w:left="20"/>
              <w:spacing w:after="0" w:line="54" w:lineRule="exact"/>
              <w:rPr>
                <w:sz w:val="20"/>
                <w:szCs w:val="20"/>
                <w:color w:val="auto"/>
              </w:rPr>
            </w:pPr>
            <w:r>
              <w:rPr>
                <w:rFonts w:ascii="Arial" w:cs="Arial" w:eastAsia="Arial" w:hAnsi="Arial"/>
                <w:sz w:val="6"/>
                <w:szCs w:val="6"/>
                <w:color w:val="auto"/>
              </w:rPr>
              <w:t>​ ​ ​ ​</w:t>
            </w:r>
          </w:p>
        </w:tc>
        <w:tc>
          <w:tcPr>
            <w:tcW w:w="800" w:type="dxa"/>
            <w:vAlign w:val="bottom"/>
          </w:tcPr>
          <w:p>
            <w:pPr>
              <w:spacing w:after="0"/>
              <w:rPr>
                <w:sz w:val="4"/>
                <w:szCs w:val="4"/>
                <w:color w:val="auto"/>
              </w:rPr>
            </w:pPr>
          </w:p>
        </w:tc>
        <w:tc>
          <w:tcPr>
            <w:tcW w:w="116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116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400" w:type="dxa"/>
            <w:vAlign w:val="bottom"/>
            <w:gridSpan w:val="3"/>
          </w:tcPr>
          <w:p>
            <w:pPr>
              <w:jc w:val="right"/>
              <w:spacing w:after="0" w:line="54" w:lineRule="exact"/>
              <w:rPr>
                <w:sz w:val="20"/>
                <w:szCs w:val="20"/>
                <w:color w:val="auto"/>
              </w:rPr>
            </w:pPr>
            <w:r>
              <w:rPr>
                <w:rFonts w:ascii="Arial" w:cs="Arial" w:eastAsia="Arial" w:hAnsi="Arial"/>
                <w:sz w:val="6"/>
                <w:szCs w:val="6"/>
                <w:color w:val="auto"/>
              </w:rPr>
              <w:t>​ ​ ​  ​</w:t>
            </w:r>
          </w:p>
        </w:tc>
        <w:tc>
          <w:tcPr>
            <w:tcW w:w="600" w:type="dxa"/>
            <w:vAlign w:val="bottom"/>
          </w:tcPr>
          <w:p>
            <w:pPr>
              <w:spacing w:after="0"/>
              <w:rPr>
                <w:sz w:val="4"/>
                <w:szCs w:val="4"/>
                <w:color w:val="auto"/>
              </w:rPr>
            </w:pPr>
          </w:p>
        </w:tc>
        <w:tc>
          <w:tcPr>
            <w:tcW w:w="1040" w:type="dxa"/>
            <w:vAlign w:val="bottom"/>
            <w:gridSpan w:val="2"/>
          </w:tcPr>
          <w:p>
            <w:pPr>
              <w:ind w:left="20"/>
              <w:spacing w:after="0" w:line="54" w:lineRule="exact"/>
              <w:rPr>
                <w:sz w:val="20"/>
                <w:szCs w:val="20"/>
                <w:color w:val="auto"/>
              </w:rPr>
            </w:pPr>
            <w:r>
              <w:rPr>
                <w:rFonts w:ascii="Arial" w:cs="Arial" w:eastAsia="Arial" w:hAnsi="Arial"/>
                <w:sz w:val="6"/>
                <w:szCs w:val="6"/>
                <w:color w:val="auto"/>
              </w:rPr>
              <w:t>​ ​ ​  ​</w:t>
            </w:r>
          </w:p>
        </w:tc>
        <w:tc>
          <w:tcPr>
            <w:tcW w:w="280" w:type="dxa"/>
            <w:vAlign w:val="bottom"/>
            <w:gridSpan w:val="2"/>
          </w:tcPr>
          <w:p>
            <w:pPr>
              <w:ind w:left="20"/>
              <w:spacing w:after="0" w:line="54" w:lineRule="exact"/>
              <w:rPr>
                <w:sz w:val="20"/>
                <w:szCs w:val="20"/>
                <w:color w:val="auto"/>
              </w:rPr>
            </w:pPr>
            <w:r>
              <w:rPr>
                <w:rFonts w:ascii="Arial" w:cs="Arial" w:eastAsia="Arial" w:hAnsi="Arial"/>
                <w:sz w:val="6"/>
                <w:szCs w:val="6"/>
                <w:color w:val="auto"/>
              </w:rPr>
              <w:t>​ ​ ​</w:t>
            </w:r>
          </w:p>
        </w:tc>
        <w:tc>
          <w:tcPr>
            <w:tcW w:w="920" w:type="dxa"/>
            <w:vAlign w:val="bottom"/>
          </w:tcPr>
          <w:p>
            <w:pPr>
              <w:spacing w:after="0"/>
              <w:rPr>
                <w:sz w:val="4"/>
                <w:szCs w:val="4"/>
                <w:color w:val="auto"/>
              </w:rPr>
            </w:pPr>
          </w:p>
        </w:tc>
        <w:tc>
          <w:tcPr>
            <w:tcW w:w="1100" w:type="dxa"/>
            <w:vAlign w:val="bottom"/>
            <w:gridSpan w:val="2"/>
          </w:tcPr>
          <w:p>
            <w:pPr>
              <w:spacing w:after="0" w:line="54" w:lineRule="exact"/>
              <w:rPr>
                <w:sz w:val="20"/>
                <w:szCs w:val="20"/>
                <w:color w:val="auto"/>
              </w:rPr>
            </w:pPr>
            <w:r>
              <w:rPr>
                <w:rFonts w:ascii="Arial" w:cs="Arial" w:eastAsia="Arial" w:hAnsi="Arial"/>
                <w:sz w:val="6"/>
                <w:szCs w:val="6"/>
                <w:b w:val="1"/>
                <w:bCs w:val="1"/>
                <w:color w:val="auto"/>
              </w:rPr>
              <w:t xml:space="preserve">​ </w:t>
            </w:r>
            <w:r>
              <w:rPr>
                <w:rFonts w:ascii="Arial" w:cs="Arial" w:eastAsia="Arial" w:hAnsi="Arial"/>
                <w:sz w:val="6"/>
                <w:szCs w:val="6"/>
                <w:color w:val="auto"/>
              </w:rPr>
              <w:t>​ ​  ​</w:t>
            </w: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00" w:type="dxa"/>
            <w:vAlign w:val="bottom"/>
          </w:tcPr>
          <w:p>
            <w:pPr>
              <w:ind w:left="40"/>
              <w:spacing w:after="0"/>
              <w:rPr>
                <w:sz w:val="20"/>
                <w:szCs w:val="20"/>
                <w:color w:val="auto"/>
              </w:rPr>
            </w:pPr>
            <w:r>
              <w:rPr>
                <w:rFonts w:ascii="Arial" w:cs="Arial" w:eastAsia="Arial" w:hAnsi="Arial"/>
                <w:sz w:val="14"/>
                <w:szCs w:val="14"/>
                <w:color w:val="auto"/>
              </w:rPr>
              <w:t>​2021</w:t>
            </w:r>
          </w:p>
        </w:tc>
        <w:tc>
          <w:tcPr>
            <w:tcW w:w="2500" w:type="dxa"/>
            <w:vAlign w:val="bottom"/>
            <w:gridSpan w:val="5"/>
          </w:tcPr>
          <w:p>
            <w:pPr>
              <w:ind w:left="60"/>
              <w:spacing w:after="0"/>
              <w:rPr>
                <w:sz w:val="20"/>
                <w:szCs w:val="20"/>
                <w:color w:val="auto"/>
              </w:rPr>
            </w:pPr>
            <w:r>
              <w:rPr>
                <w:rFonts w:ascii="Arial" w:cs="Arial" w:eastAsia="Arial" w:hAnsi="Arial"/>
                <w:sz w:val="14"/>
                <w:szCs w:val="14"/>
                <w:color w:val="auto"/>
              </w:rPr>
              <w:t>​ ​ ​$ 16,150,421​ ​ ​ ​ ​$ 17,740,729​ ​ ​ ​</w:t>
            </w:r>
          </w:p>
        </w:tc>
        <w:tc>
          <w:tcPr>
            <w:tcW w:w="940" w:type="dxa"/>
            <w:vAlign w:val="bottom"/>
          </w:tcPr>
          <w:p>
            <w:pPr>
              <w:ind w:left="60"/>
              <w:spacing w:after="0"/>
              <w:rPr>
                <w:sz w:val="20"/>
                <w:szCs w:val="20"/>
                <w:color w:val="auto"/>
              </w:rPr>
            </w:pPr>
            <w:r>
              <w:rPr>
                <w:rFonts w:ascii="Arial" w:cs="Arial" w:eastAsia="Arial" w:hAnsi="Arial"/>
                <w:sz w:val="14"/>
                <w:szCs w:val="14"/>
                <w:color w:val="auto"/>
              </w:rPr>
              <w:t>​$ 4,231,051​</w:t>
            </w:r>
          </w:p>
        </w:tc>
        <w:tc>
          <w:tcPr>
            <w:tcW w:w="240" w:type="dxa"/>
            <w:vAlign w:val="bottom"/>
          </w:tcPr>
          <w:p>
            <w:pPr>
              <w:ind w:left="20"/>
              <w:spacing w:after="0"/>
              <w:rPr>
                <w:sz w:val="20"/>
                <w:szCs w:val="20"/>
                <w:color w:val="auto"/>
              </w:rPr>
            </w:pPr>
            <w:r>
              <w:rPr>
                <w:rFonts w:ascii="Arial" w:cs="Arial" w:eastAsia="Arial" w:hAnsi="Arial"/>
                <w:sz w:val="14"/>
                <w:szCs w:val="14"/>
                <w:color w:val="auto"/>
              </w:rPr>
              <w:t>​ ​ ​</w:t>
            </w:r>
          </w:p>
        </w:tc>
        <w:tc>
          <w:tcPr>
            <w:tcW w:w="920" w:type="dxa"/>
            <w:vAlign w:val="bottom"/>
          </w:tcPr>
          <w:p>
            <w:pPr>
              <w:ind w:left="40"/>
              <w:spacing w:after="0"/>
              <w:rPr>
                <w:sz w:val="20"/>
                <w:szCs w:val="20"/>
                <w:color w:val="auto"/>
              </w:rPr>
            </w:pPr>
            <w:r>
              <w:rPr>
                <w:rFonts w:ascii="Arial" w:cs="Arial" w:eastAsia="Arial" w:hAnsi="Arial"/>
                <w:sz w:val="14"/>
                <w:szCs w:val="14"/>
                <w:color w:val="auto"/>
              </w:rPr>
              <w:t>​$ 4,521,969​</w:t>
            </w:r>
          </w:p>
        </w:tc>
        <w:tc>
          <w:tcPr>
            <w:tcW w:w="1000" w:type="dxa"/>
            <w:vAlign w:val="bottom"/>
            <w:gridSpan w:val="4"/>
          </w:tcPr>
          <w:p>
            <w:pPr>
              <w:jc w:val="right"/>
              <w:ind w:right="28"/>
              <w:spacing w:after="0"/>
              <w:rPr>
                <w:sz w:val="20"/>
                <w:szCs w:val="20"/>
                <w:color w:val="auto"/>
              </w:rPr>
            </w:pPr>
            <w:r>
              <w:rPr>
                <w:rFonts w:ascii="Arial" w:cs="Arial" w:eastAsia="Arial" w:hAnsi="Arial"/>
                <w:sz w:val="14"/>
                <w:szCs w:val="14"/>
                <w:color w:val="auto"/>
              </w:rPr>
              <w:t>​ ​ ​  ​$ 113.02​</w:t>
            </w:r>
          </w:p>
        </w:tc>
        <w:tc>
          <w:tcPr>
            <w:tcW w:w="260" w:type="dxa"/>
            <w:vAlign w:val="bottom"/>
          </w:tcPr>
          <w:p>
            <w:pPr>
              <w:ind w:left="20"/>
              <w:spacing w:after="0"/>
              <w:rPr>
                <w:sz w:val="20"/>
                <w:szCs w:val="20"/>
                <w:color w:val="auto"/>
              </w:rPr>
            </w:pPr>
            <w:r>
              <w:rPr>
                <w:rFonts w:ascii="Arial" w:cs="Arial" w:eastAsia="Arial" w:hAnsi="Arial"/>
                <w:sz w:val="14"/>
                <w:szCs w:val="14"/>
                <w:color w:val="auto"/>
              </w:rPr>
              <w:t>​ ​ ​</w:t>
            </w:r>
          </w:p>
        </w:tc>
        <w:tc>
          <w:tcPr>
            <w:tcW w:w="780" w:type="dxa"/>
            <w:vAlign w:val="bottom"/>
          </w:tcPr>
          <w:p>
            <w:pPr>
              <w:jc w:val="center"/>
              <w:spacing w:after="0"/>
              <w:rPr>
                <w:sz w:val="20"/>
                <w:szCs w:val="20"/>
                <w:color w:val="auto"/>
              </w:rPr>
            </w:pPr>
            <w:r>
              <w:rPr>
                <w:rFonts w:ascii="Arial" w:cs="Arial" w:eastAsia="Arial" w:hAnsi="Arial"/>
                <w:sz w:val="14"/>
                <w:szCs w:val="14"/>
                <w:color w:val="auto"/>
              </w:rPr>
              <w:t>​$ 136.11​</w:t>
            </w:r>
          </w:p>
        </w:tc>
        <w:tc>
          <w:tcPr>
            <w:tcW w:w="1460" w:type="dxa"/>
            <w:vAlign w:val="bottom"/>
            <w:gridSpan w:val="4"/>
          </w:tcPr>
          <w:p>
            <w:pPr>
              <w:ind w:left="20"/>
              <w:spacing w:after="0"/>
              <w:rPr>
                <w:sz w:val="20"/>
                <w:szCs w:val="20"/>
                <w:color w:val="auto"/>
              </w:rPr>
            </w:pPr>
            <w:r>
              <w:rPr>
                <w:rFonts w:ascii="Arial" w:cs="Arial" w:eastAsia="Arial" w:hAnsi="Arial"/>
                <w:sz w:val="14"/>
                <w:szCs w:val="14"/>
                <w:color w:val="auto"/>
              </w:rPr>
              <w:t>​ ​ ​$1,498,319,703</w:t>
            </w:r>
            <w:r>
              <w:rPr>
                <w:rFonts w:ascii="Arial" w:cs="Arial" w:eastAsia="Arial" w:hAnsi="Arial"/>
                <w:sz w:val="14"/>
                <w:szCs w:val="14"/>
                <w:b w:val="1"/>
                <w:bCs w:val="1"/>
                <w:color w:val="auto"/>
              </w:rPr>
              <w:t>​</w:t>
            </w:r>
            <w:r>
              <w:rPr>
                <w:rFonts w:ascii="Arial" w:cs="Arial" w:eastAsia="Arial" w:hAnsi="Arial"/>
                <w:sz w:val="14"/>
                <w:szCs w:val="14"/>
                <w:color w:val="auto"/>
              </w:rPr>
              <w:t xml:space="preserve"> ​ ​</w:t>
            </w:r>
          </w:p>
        </w:tc>
        <w:tc>
          <w:tcPr>
            <w:tcW w:w="840" w:type="dxa"/>
            <w:vAlign w:val="bottom"/>
          </w:tcPr>
          <w:p>
            <w:pPr>
              <w:ind w:left="60"/>
              <w:spacing w:after="0"/>
              <w:rPr>
                <w:sz w:val="20"/>
                <w:szCs w:val="20"/>
                <w:color w:val="auto"/>
              </w:rPr>
            </w:pPr>
            <w:r>
              <w:rPr>
                <w:rFonts w:ascii="Arial" w:cs="Arial" w:eastAsia="Arial" w:hAnsi="Arial"/>
                <w:sz w:val="14"/>
                <w:szCs w:val="14"/>
                <w:color w:val="auto"/>
              </w:rPr>
              <w:t>​$ 5,109.1​</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-619760</wp:posOffset>
            </wp:positionV>
            <wp:extent cx="5974715"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-311150</wp:posOffset>
            </wp:positionV>
            <wp:extent cx="597471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97" w:lineRule="exact"/>
        <w:rPr>
          <w:sz w:val="20"/>
          <w:szCs w:val="20"/>
          <w:color w:val="auto"/>
        </w:rPr>
      </w:pPr>
    </w:p>
    <w:p>
      <w:pPr>
        <w:ind w:left="1080" w:hanging="354"/>
        <w:spacing w:after="0"/>
        <w:tabs>
          <w:tab w:leader="none" w:pos="108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Our PEO was Liam K. Griffin for all years in the table. Our Other NEOs were Kris Sennesael (all years), Carlos S. Bori</w:t>
      </w:r>
    </w:p>
    <w:p>
      <w:pPr>
        <w:spacing w:after="0" w:line="19" w:lineRule="exact"/>
        <w:rPr>
          <w:rFonts w:ascii="Arial" w:cs="Arial" w:eastAsia="Arial" w:hAnsi="Arial"/>
          <w:sz w:val="16"/>
          <w:szCs w:val="16"/>
          <w:i w:val="1"/>
          <w:iCs w:val="1"/>
          <w:color w:val="auto"/>
        </w:rPr>
      </w:pPr>
    </w:p>
    <w:p>
      <w:pPr>
        <w:ind w:left="1080" w:right="200"/>
        <w:spacing w:after="0" w:line="281" w:lineRule="auto"/>
        <w:rPr>
          <w:rFonts w:ascii="Arial" w:cs="Arial" w:eastAsia="Arial" w:hAnsi="Arial"/>
          <w:sz w:val="16"/>
          <w:szCs w:val="16"/>
          <w:i w:val="1"/>
          <w:iCs w:val="1"/>
          <w:color w:val="auto"/>
        </w:rPr>
      </w:pPr>
      <w:r>
        <w:rPr>
          <w:rFonts w:ascii="Arial" w:cs="Arial" w:eastAsia="Arial" w:hAnsi="Arial"/>
          <w:sz w:val="16"/>
          <w:szCs w:val="16"/>
          <w:i w:val="1"/>
          <w:iCs w:val="1"/>
          <w:color w:val="auto"/>
        </w:rPr>
        <w:t>(all years), Robert J. Terry (all years), Reza Kasnavi (fiscal years 2024, 2023, and 2022) and Karilee A. Durham (fiscal year 2021).</w:t>
      </w:r>
    </w:p>
    <w:p>
      <w:pPr>
        <w:ind w:left="1080" w:right="100" w:hanging="354"/>
        <w:spacing w:after="0" w:line="283" w:lineRule="auto"/>
        <w:tabs>
          <w:tab w:leader="none" w:pos="108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describes the adjustments, each of which is prescribed by SEC rules, to calculate the CAP Amounts from the SCT Amounts for fiscal year 2024. The SCT Amounts and the CAP Amounts do not reflect the actual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700"/>
        <w:spacing w:after="0" w:line="283" w:lineRule="auto"/>
        <w:rPr>
          <w:sz w:val="20"/>
          <w:szCs w:val="20"/>
          <w:color w:val="auto"/>
        </w:rPr>
      </w:pPr>
      <w:r>
        <w:rPr>
          <w:rFonts w:ascii="Arial" w:cs="Arial" w:eastAsia="Arial" w:hAnsi="Arial"/>
          <w:sz w:val="16"/>
          <w:szCs w:val="16"/>
          <w:i w:val="1"/>
          <w:iCs w:val="1"/>
          <w:color w:val="auto"/>
        </w:rPr>
        <w:t>compensation earned by or paid to our executives during the applicable years, but rather are amounts determined in accordance with Item 402 of Regulation S-K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143510</wp:posOffset>
            </wp:positionV>
            <wp:extent cx="34290" cy="3771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77190"/>
                    </a:xfrm>
                    <a:prstGeom prst="rect">
                      <a:avLst/>
                    </a:prstGeom>
                    <a:noFill/>
                  </pic:spPr>
                </pic:pic>
              </a:graphicData>
            </a:graphic>
          </wp:anchor>
        </w:drawing>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310"/>
        </w:trPr>
        <w:tc>
          <w:tcPr>
            <w:tcW w:w="3800" w:type="dxa"/>
            <w:vAlign w:val="bottom"/>
            <w:shd w:val="clear" w:color="auto" w:fill="0075A8"/>
          </w:tcPr>
          <w:p>
            <w:pPr>
              <w:spacing w:after="0"/>
              <w:rPr>
                <w:sz w:val="20"/>
                <w:szCs w:val="20"/>
                <w:color w:val="auto"/>
              </w:rPr>
            </w:pPr>
            <w:r>
              <w:rPr>
                <w:rFonts w:ascii="Arial" w:cs="Arial" w:eastAsia="Arial" w:hAnsi="Arial"/>
                <w:sz w:val="18"/>
                <w:szCs w:val="18"/>
                <w:b w:val="1"/>
                <w:bCs w:val="1"/>
                <w:color w:val="FFFFFF"/>
              </w:rPr>
              <w:t>​​</w:t>
            </w:r>
          </w:p>
        </w:tc>
        <w:tc>
          <w:tcPr>
            <w:tcW w:w="3040" w:type="dxa"/>
            <w:vAlign w:val="bottom"/>
            <w:shd w:val="clear" w:color="auto" w:fill="0075A8"/>
          </w:tcPr>
          <w:p>
            <w:pPr>
              <w:ind w:left="2680"/>
              <w:spacing w:after="0"/>
              <w:rPr>
                <w:sz w:val="20"/>
                <w:szCs w:val="20"/>
                <w:color w:val="auto"/>
              </w:rPr>
            </w:pPr>
            <w:r>
              <w:rPr>
                <w:rFonts w:ascii="Arial" w:cs="Arial" w:eastAsia="Arial" w:hAnsi="Arial"/>
                <w:sz w:val="18"/>
                <w:szCs w:val="18"/>
                <w:b w:val="1"/>
                <w:bCs w:val="1"/>
                <w:color w:val="FFFFFF"/>
              </w:rPr>
              <w:t>​ ​</w:t>
            </w:r>
          </w:p>
        </w:tc>
        <w:tc>
          <w:tcPr>
            <w:tcW w:w="1920" w:type="dxa"/>
            <w:vAlign w:val="bottom"/>
            <w:gridSpan w:val="2"/>
            <w:shd w:val="clear" w:color="auto" w:fill="0075A8"/>
          </w:tcPr>
          <w:p>
            <w:pPr>
              <w:jc w:val="center"/>
              <w:spacing w:after="0"/>
              <w:rPr>
                <w:sz w:val="20"/>
                <w:szCs w:val="20"/>
                <w:color w:val="auto"/>
              </w:rPr>
            </w:pPr>
            <w:r>
              <w:rPr>
                <w:rFonts w:ascii="Arial" w:cs="Arial" w:eastAsia="Arial" w:hAnsi="Arial"/>
                <w:sz w:val="18"/>
                <w:szCs w:val="18"/>
                <w:b w:val="1"/>
                <w:bCs w:val="1"/>
                <w:color w:val="FFFFFF"/>
                <w:w w:val="97"/>
              </w:rPr>
              <w:t>Fiscal Year 2024</w:t>
            </w:r>
          </w:p>
        </w:tc>
        <w:tc>
          <w:tcPr>
            <w:tcW w:w="280" w:type="dxa"/>
            <w:vAlign w:val="bottom"/>
            <w:shd w:val="clear" w:color="auto" w:fill="0075A8"/>
          </w:tcPr>
          <w:p>
            <w:pPr>
              <w:ind w:left="22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4"/>
                <w:szCs w:val="24"/>
                <w:color w:val="auto"/>
              </w:rPr>
            </w:pPr>
          </w:p>
        </w:tc>
      </w:tr>
      <w:tr>
        <w:trPr>
          <w:trHeight w:val="284"/>
        </w:trPr>
        <w:tc>
          <w:tcPr>
            <w:tcW w:w="3800" w:type="dxa"/>
            <w:vAlign w:val="bottom"/>
          </w:tcPr>
          <w:p>
            <w:pPr>
              <w:ind w:left="20"/>
              <w:spacing w:after="0"/>
              <w:rPr>
                <w:sz w:val="20"/>
                <w:szCs w:val="20"/>
                <w:color w:val="auto"/>
              </w:rPr>
            </w:pPr>
            <w:r>
              <w:rPr>
                <w:rFonts w:ascii="Arial" w:cs="Arial" w:eastAsia="Arial" w:hAnsi="Arial"/>
                <w:sz w:val="18"/>
                <w:szCs w:val="18"/>
                <w:b w:val="1"/>
                <w:bCs w:val="1"/>
                <w:color w:val="FFFFFF"/>
              </w:rPr>
              <w:t>​Adjustments</w:t>
            </w:r>
          </w:p>
        </w:tc>
        <w:tc>
          <w:tcPr>
            <w:tcW w:w="3040" w:type="dxa"/>
            <w:vAlign w:val="bottom"/>
          </w:tcPr>
          <w:p>
            <w:pPr>
              <w:ind w:left="2720"/>
              <w:spacing w:after="0"/>
              <w:rPr>
                <w:sz w:val="20"/>
                <w:szCs w:val="20"/>
                <w:color w:val="auto"/>
              </w:rPr>
            </w:pPr>
            <w:r>
              <w:rPr>
                <w:rFonts w:ascii="Arial" w:cs="Arial" w:eastAsia="Arial" w:hAnsi="Arial"/>
                <w:sz w:val="18"/>
                <w:szCs w:val="18"/>
                <w:b w:val="1"/>
                <w:bCs w:val="1"/>
                <w:color w:val="FFFFFF"/>
              </w:rPr>
              <w:t>​ ​</w:t>
            </w:r>
          </w:p>
        </w:tc>
        <w:tc>
          <w:tcPr>
            <w:tcW w:w="720" w:type="dxa"/>
            <w:vAlign w:val="bottom"/>
          </w:tcPr>
          <w:p>
            <w:pPr>
              <w:ind w:left="160"/>
              <w:spacing w:after="0"/>
              <w:rPr>
                <w:sz w:val="20"/>
                <w:szCs w:val="20"/>
                <w:color w:val="auto"/>
              </w:rPr>
            </w:pPr>
            <w:r>
              <w:rPr>
                <w:rFonts w:ascii="Arial" w:cs="Arial" w:eastAsia="Arial" w:hAnsi="Arial"/>
                <w:sz w:val="18"/>
                <w:szCs w:val="18"/>
                <w:b w:val="1"/>
                <w:bCs w:val="1"/>
                <w:color w:val="FFFFFF"/>
              </w:rPr>
              <w:t>PEO</w:t>
            </w:r>
          </w:p>
        </w:tc>
        <w:tc>
          <w:tcPr>
            <w:tcW w:w="1520" w:type="dxa"/>
            <w:vAlign w:val="bottom"/>
            <w:gridSpan w:val="3"/>
          </w:tcPr>
          <w:p>
            <w:pPr>
              <w:ind w:left="160"/>
              <w:spacing w:after="0"/>
              <w:rPr>
                <w:sz w:val="20"/>
                <w:szCs w:val="20"/>
                <w:color w:val="auto"/>
              </w:rPr>
            </w:pPr>
            <w:r>
              <w:rPr>
                <w:rFonts w:ascii="Arial" w:cs="Arial" w:eastAsia="Arial" w:hAnsi="Arial"/>
                <w:sz w:val="18"/>
                <w:szCs w:val="18"/>
                <w:b w:val="1"/>
                <w:bCs w:val="1"/>
                <w:color w:val="FFFFFF"/>
              </w:rPr>
              <w:t>​ ​Other NEOs* ​</w:t>
            </w:r>
          </w:p>
        </w:tc>
      </w:tr>
      <w:tr>
        <w:trPr>
          <w:trHeight w:val="283"/>
        </w:trPr>
        <w:tc>
          <w:tcPr>
            <w:tcW w:w="3800" w:type="dxa"/>
            <w:vAlign w:val="bottom"/>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SCT Amounts</w:t>
            </w:r>
          </w:p>
        </w:tc>
        <w:tc>
          <w:tcPr>
            <w:tcW w:w="5280" w:type="dxa"/>
            <w:vAlign w:val="bottom"/>
            <w:gridSpan w:val="5"/>
          </w:tcPr>
          <w:p>
            <w:pPr>
              <w:jc w:val="center"/>
              <w:ind w:left="2693"/>
              <w:spacing w:after="0"/>
              <w:rPr>
                <w:sz w:val="20"/>
                <w:szCs w:val="20"/>
                <w:color w:val="auto"/>
              </w:rPr>
            </w:pPr>
            <w:r>
              <w:rPr>
                <w:rFonts w:ascii="Arial" w:cs="Arial" w:eastAsia="Arial" w:hAnsi="Arial"/>
                <w:sz w:val="16"/>
                <w:szCs w:val="16"/>
                <w:color w:val="auto"/>
              </w:rPr>
              <w:t>​ ​$ 18,096,527</w:t>
            </w:r>
            <w:r>
              <w:rPr>
                <w:rFonts w:ascii="Arial" w:cs="Arial" w:eastAsia="Arial" w:hAnsi="Arial"/>
                <w:sz w:val="16"/>
                <w:szCs w:val="16"/>
                <w:b w:val="1"/>
                <w:bCs w:val="1"/>
                <w:color w:val="auto"/>
              </w:rPr>
              <w:t>​</w:t>
            </w:r>
            <w:r>
              <w:rPr>
                <w:rFonts w:ascii="Arial" w:cs="Arial" w:eastAsia="Arial" w:hAnsi="Arial"/>
                <w:sz w:val="16"/>
                <w:szCs w:val="16"/>
                <w:color w:val="auto"/>
              </w:rPr>
              <w:t xml:space="preserve"> ​ ​ ​$ 5,177,613​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-368300</wp:posOffset>
            </wp:positionV>
            <wp:extent cx="5743575" cy="3689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43575" cy="36893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6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Adjustments​ for stock and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20955</wp:posOffset>
            </wp:positionV>
            <wp:extent cx="5743575" cy="3003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43575" cy="300355"/>
                    </a:xfrm>
                    <a:prstGeom prst="rect">
                      <a:avLst/>
                    </a:prstGeom>
                    <a:noFill/>
                  </pic:spPr>
                </pic:pic>
              </a:graphicData>
            </a:graphic>
          </wp:anchor>
        </w:drawing>
      </w:r>
    </w:p>
    <w:p>
      <w:pPr>
        <w:spacing w:after="0" w:line="66" w:lineRule="exact"/>
        <w:rPr>
          <w:sz w:val="20"/>
          <w:szCs w:val="20"/>
          <w:color w:val="auto"/>
        </w:rPr>
      </w:pPr>
    </w:p>
    <w:p>
      <w:pPr>
        <w:ind w:left="1060"/>
        <w:spacing w:after="0" w:line="304" w:lineRule="auto"/>
        <w:rPr>
          <w:sz w:val="20"/>
          <w:szCs w:val="20"/>
          <w:color w:val="auto"/>
        </w:rPr>
      </w:pPr>
      <w:r>
        <w:rPr>
          <w:rFonts w:ascii="Arial" w:cs="Arial" w:eastAsia="Arial" w:hAnsi="Arial"/>
          <w:sz w:val="16"/>
          <w:szCs w:val="16"/>
          <w:color w:val="auto"/>
        </w:rPr>
        <w:t>(Subtract): Aggregate value for stock awards and option awards included in SCT Amounts for​ the covered fiscal year</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Add: Fair value at year end of awards granted during the covered fiscal year that were</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outstanding​ and unvested at the covered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19050</wp:posOffset>
            </wp:positionV>
            <wp:extent cx="5743575" cy="4286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43575" cy="428625"/>
                    </a:xfrm>
                    <a:prstGeom prst="rect">
                      <a:avLst/>
                    </a:prstGeom>
                    <a:noFill/>
                  </pic:spPr>
                </pic:pic>
              </a:graphicData>
            </a:graphic>
          </wp:anchor>
        </w:drawing>
      </w:r>
    </w:p>
    <w:p>
      <w:pPr>
        <w:spacing w:after="0" w:line="64" w:lineRule="exact"/>
        <w:rPr>
          <w:sz w:val="20"/>
          <w:szCs w:val="20"/>
          <w:color w:val="auto"/>
        </w:rPr>
      </w:pPr>
    </w:p>
    <w:p>
      <w:pPr>
        <w:jc w:val="both"/>
        <w:ind w:left="1060" w:right="160"/>
        <w:spacing w:after="0" w:line="284" w:lineRule="auto"/>
        <w:rPr>
          <w:sz w:val="20"/>
          <w:szCs w:val="20"/>
          <w:color w:val="auto"/>
        </w:rPr>
      </w:pPr>
      <w:r>
        <w:rPr>
          <w:rFonts w:ascii="Arial" w:cs="Arial" w:eastAsia="Arial" w:hAnsi="Arial"/>
          <w:sz w:val="16"/>
          <w:szCs w:val="16"/>
          <w:color w:val="auto"/>
        </w:rPr>
        <w:t>Add (Subtract): Year-over-year change in fair value at covered fiscal year end of awards granted in any prior fiscal year that were outstanding and unvested at the covered fiscal year​ end</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Add:​ Vesting date fair value of awards granted and vested during the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5743575" cy="4286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4357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1080" w:val="left"/>
          <w:tab w:leader="none" w:pos="2280" w:val="left"/>
        </w:tabs>
        <w:rPr>
          <w:sz w:val="20"/>
          <w:szCs w:val="20"/>
          <w:color w:val="auto"/>
        </w:rPr>
      </w:pPr>
      <w:r>
        <w:rPr>
          <w:rFonts w:ascii="Arial" w:cs="Arial" w:eastAsia="Arial" w:hAnsi="Arial"/>
          <w:sz w:val="16"/>
          <w:szCs w:val="16"/>
          <w:color w:val="auto"/>
        </w:rPr>
        <w:t>​ ​ ​</w:t>
      </w:r>
      <w:r>
        <w:rPr>
          <w:sz w:val="20"/>
          <w:szCs w:val="20"/>
          <w:color w:val="auto"/>
        </w:rPr>
        <w:tab/>
      </w:r>
      <w:r>
        <w:rPr>
          <w:rFonts w:ascii="Arial" w:cs="Arial" w:eastAsia="Arial" w:hAnsi="Arial"/>
          <w:sz w:val="16"/>
          <w:szCs w:val="16"/>
          <w:color w:val="auto"/>
        </w:rPr>
        <w:t>​ ​ ​ ​ ​</w:t>
      </w:r>
      <w:r>
        <w:rPr>
          <w:sz w:val="20"/>
          <w:szCs w:val="20"/>
          <w:color w:val="auto"/>
        </w:rPr>
        <w:tab/>
      </w:r>
      <w:r>
        <w:rPr>
          <w:rFonts w:ascii="Arial" w:cs="Arial" w:eastAsia="Arial" w:hAnsi="Arial"/>
          <w:sz w:val="16"/>
          <w:szCs w:val="16"/>
          <w:color w:val="auto"/>
        </w:rPr>
        <w:t>​ ​​</w:t>
      </w:r>
    </w:p>
    <w:p>
      <w:pPr>
        <w:spacing w:after="0" w:line="248" w:lineRule="exact"/>
        <w:rPr>
          <w:sz w:val="20"/>
          <w:szCs w:val="20"/>
          <w:color w:val="auto"/>
        </w:rPr>
      </w:pPr>
    </w:p>
    <w:p>
      <w:pPr>
        <w:ind w:left="120" w:hanging="118"/>
        <w:spacing w:after="0"/>
        <w:tabs>
          <w:tab w:leader="none" w:pos="1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​$(15,523,244</w:t>
      </w:r>
      <w:r>
        <w:rPr>
          <w:rFonts w:ascii="Arial" w:cs="Arial" w:eastAsia="Arial" w:hAnsi="Arial"/>
          <w:sz w:val="16"/>
          <w:szCs w:val="16"/>
          <w:b w:val="1"/>
          <w:bCs w:val="1"/>
          <w:color w:val="auto"/>
        </w:rPr>
        <w:t>​</w:t>
      </w:r>
      <w:r>
        <w:rPr>
          <w:rFonts w:ascii="Arial" w:cs="Arial" w:eastAsia="Arial" w:hAnsi="Arial"/>
          <w:sz w:val="16"/>
          <w:szCs w:val="16"/>
          <w:color w:val="auto"/>
        </w:rPr>
        <w:t>) ​ ​ ​$(4,185,690​) ​​</w:t>
      </w:r>
    </w:p>
    <w:p>
      <w:pPr>
        <w:spacing w:after="0" w:line="288" w:lineRule="exact"/>
        <w:rPr>
          <w:rFonts w:ascii="Arial" w:cs="Arial" w:eastAsia="Arial" w:hAnsi="Arial"/>
          <w:sz w:val="16"/>
          <w:szCs w:val="16"/>
          <w:color w:val="auto"/>
        </w:rPr>
      </w:pPr>
    </w:p>
    <w:p>
      <w:pPr>
        <w:ind w:left="120" w:hanging="118"/>
        <w:spacing w:after="0"/>
        <w:tabs>
          <w:tab w:leader="none" w:pos="1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​$ 13,967,338</w:t>
      </w:r>
      <w:r>
        <w:rPr>
          <w:rFonts w:ascii="Arial" w:cs="Arial" w:eastAsia="Arial" w:hAnsi="Arial"/>
          <w:sz w:val="16"/>
          <w:szCs w:val="16"/>
          <w:b w:val="1"/>
          <w:bCs w:val="1"/>
          <w:color w:val="auto"/>
        </w:rPr>
        <w:t>​</w:t>
      </w:r>
      <w:r>
        <w:rPr>
          <w:rFonts w:ascii="Arial" w:cs="Arial" w:eastAsia="Arial" w:hAnsi="Arial"/>
          <w:sz w:val="16"/>
          <w:szCs w:val="16"/>
          <w:color w:val="auto"/>
        </w:rPr>
        <w:t xml:space="preserve"> ​ ​ ​$ 3,766,141​ ​​</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0" w:hanging="118"/>
        <w:spacing w:after="0"/>
        <w:tabs>
          <w:tab w:leader="none" w:pos="1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(4,678,397</w:t>
      </w:r>
      <w:r>
        <w:rPr>
          <w:rFonts w:ascii="Arial" w:cs="Arial" w:eastAsia="Arial" w:hAnsi="Arial"/>
          <w:sz w:val="16"/>
          <w:szCs w:val="16"/>
          <w:b w:val="1"/>
          <w:bCs w:val="1"/>
          <w:color w:val="auto"/>
        </w:rPr>
        <w:t>​</w:t>
      </w:r>
      <w:r>
        <w:rPr>
          <w:rFonts w:ascii="Arial" w:cs="Arial" w:eastAsia="Arial" w:hAnsi="Arial"/>
          <w:sz w:val="16"/>
          <w:szCs w:val="16"/>
          <w:color w:val="auto"/>
        </w:rPr>
        <w:t>) ​ ​ ​$(1,330,718​) ​​</w:t>
      </w:r>
    </w:p>
    <w:p>
      <w:pPr>
        <w:spacing w:after="0" w:line="100" w:lineRule="exact"/>
        <w:rPr>
          <w:sz w:val="20"/>
          <w:szCs w:val="20"/>
          <w:color w:val="auto"/>
        </w:rPr>
      </w:pPr>
    </w:p>
    <w:p>
      <w:pPr>
        <w:spacing w:after="0"/>
        <w:tabs>
          <w:tab w:leader="none" w:pos="580" w:val="left"/>
          <w:tab w:leader="none" w:pos="188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13,940</w:t>
      </w:r>
      <w:r>
        <w:rPr>
          <w:rFonts w:ascii="Arial" w:cs="Arial" w:eastAsia="Arial" w:hAnsi="Arial"/>
          <w:sz w:val="16"/>
          <w:szCs w:val="16"/>
          <w:b w:val="1"/>
          <w:bCs w:val="1"/>
          <w:color w:val="auto"/>
        </w:rPr>
        <w:t>​</w:t>
      </w:r>
      <w:r>
        <w:rPr>
          <w:rFonts w:ascii="Arial" w:cs="Arial" w:eastAsia="Arial" w:hAnsi="Arial"/>
          <w:sz w:val="16"/>
          <w:szCs w:val="16"/>
          <w:color w:val="auto"/>
        </w:rPr>
        <w:t xml:space="preserve"> ​ ​ ​$</w:t>
      </w:r>
      <w:r>
        <w:rPr>
          <w:sz w:val="20"/>
          <w:szCs w:val="20"/>
          <w:color w:val="auto"/>
        </w:rPr>
        <w:tab/>
      </w:r>
      <w:r>
        <w:rPr>
          <w:rFonts w:ascii="Arial" w:cs="Arial" w:eastAsia="Arial" w:hAnsi="Arial"/>
          <w:sz w:val="16"/>
          <w:szCs w:val="16"/>
          <w:color w:val="auto"/>
        </w:rPr>
        <w:t>3,574​ ​​</w:t>
      </w:r>
    </w:p>
    <w:p>
      <w:pPr>
        <w:spacing w:after="0" w:line="100" w:lineRule="exact"/>
        <w:rPr>
          <w:sz w:val="20"/>
          <w:szCs w:val="20"/>
          <w:color w:val="auto"/>
        </w:rPr>
      </w:pPr>
    </w:p>
    <w:p>
      <w:pPr>
        <w:sectPr>
          <w:pgSz w:w="11900" w:h="16838" w:orient="portrait"/>
          <w:cols w:equalWidth="0" w:num="2">
            <w:col w:w="7380" w:space="220"/>
            <w:col w:w="2500"/>
          </w:cols>
          <w:pgMar w:left="580" w:top="97" w:right="1219" w:bottom="1440" w:gutter="0" w:footer="0" w:header="0"/>
          <w:type w:val="continuous"/>
        </w:sectPr>
      </w:pPr>
    </w:p>
    <w:p>
      <w:pPr>
        <w:ind w:left="1060"/>
        <w:spacing w:after="0" w:line="280" w:lineRule="auto"/>
        <w:rPr>
          <w:sz w:val="20"/>
          <w:szCs w:val="20"/>
          <w:color w:val="auto"/>
        </w:rPr>
      </w:pPr>
      <w:r>
        <w:rPr>
          <w:rFonts w:ascii="Arial" w:cs="Arial" w:eastAsia="Arial" w:hAnsi="Arial"/>
          <w:sz w:val="15"/>
          <w:szCs w:val="15"/>
          <w:color w:val="auto"/>
        </w:rPr>
        <w:t>Add (Subtract): Change as of the vesting date (from the end of the prior fiscal year) in fair value of awards granted in any prior fiscal year for which vesting conditions were satisfied</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during​ the covered fiscal year</w:t>
      </w:r>
    </w:p>
    <w:p>
      <w:pPr>
        <w:spacing w:after="0" w:line="87" w:lineRule="exact"/>
        <w:rPr>
          <w:sz w:val="20"/>
          <w:szCs w:val="20"/>
          <w:color w:val="auto"/>
        </w:rPr>
      </w:pPr>
    </w:p>
    <w:p>
      <w:pPr>
        <w:ind w:left="1060" w:right="120"/>
        <w:spacing w:after="0" w:line="304" w:lineRule="auto"/>
        <w:rPr>
          <w:sz w:val="20"/>
          <w:szCs w:val="20"/>
          <w:color w:val="auto"/>
        </w:rPr>
      </w:pPr>
      <w:r>
        <w:rPr>
          <w:rFonts w:ascii="Arial" w:cs="Arial" w:eastAsia="Arial" w:hAnsi="Arial"/>
          <w:sz w:val="16"/>
          <w:szCs w:val="16"/>
          <w:color w:val="auto"/>
        </w:rPr>
        <w:t>(Subtract): Fair value at end of prior fiscal year of awards granted in any prior fiscal year that​ failed to meet the applicable vesting conditions during the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5743575" cy="4286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43575" cy="428625"/>
                    </a:xfrm>
                    <a:prstGeom prst="rect">
                      <a:avLst/>
                    </a:prstGeom>
                    <a:noFill/>
                  </pic:spPr>
                </pic:pic>
              </a:graphicData>
            </a:graphic>
          </wp:anchor>
        </w:drawing>
      </w:r>
    </w:p>
    <w:p>
      <w:pPr>
        <w:ind w:left="1060" w:right="180"/>
        <w:spacing w:after="0" w:line="284" w:lineRule="auto"/>
        <w:rPr>
          <w:sz w:val="20"/>
          <w:szCs w:val="20"/>
          <w:color w:val="auto"/>
        </w:rPr>
      </w:pPr>
      <w:r>
        <w:rPr>
          <w:rFonts w:ascii="Arial" w:cs="Arial" w:eastAsia="Arial" w:hAnsi="Arial"/>
          <w:sz w:val="16"/>
          <w:szCs w:val="16"/>
          <w:color w:val="auto"/>
        </w:rPr>
        <w:t>Add: Dividends or other earnings paid on stock or option awards in the covered fiscal year prior to vesting if not otherwise included in the SCT Amounts for the covered fiscal year​</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CAP</w:t>
      </w:r>
      <w:r>
        <w:rPr>
          <w:rFonts w:ascii="Arial" w:cs="Arial" w:eastAsia="Arial" w:hAnsi="Arial"/>
          <w:sz w:val="16"/>
          <w:szCs w:val="16"/>
          <w:color w:val="auto"/>
        </w:rPr>
        <w:t>​</w:t>
      </w:r>
      <w:r>
        <w:rPr>
          <w:rFonts w:ascii="Arial" w:cs="Arial" w:eastAsia="Arial" w:hAnsi="Arial"/>
          <w:sz w:val="16"/>
          <w:szCs w:val="16"/>
          <w:b w:val="1"/>
          <w:bCs w:val="1"/>
          <w:color w:val="auto"/>
        </w:rPr>
        <w:t xml:space="preserve"> Amounts (as calculated)</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(717,345</w:t>
            </w:r>
            <w:r>
              <w:rPr>
                <w:rFonts w:ascii="Arial" w:cs="Arial" w:eastAsia="Arial" w:hAnsi="Arial"/>
                <w:sz w:val="16"/>
                <w:szCs w:val="16"/>
                <w:b w:val="1"/>
                <w:bCs w:val="1"/>
                <w:color w:val="auto"/>
              </w:rPr>
              <w:t>​</w:t>
            </w:r>
            <w:r>
              <w:rPr>
                <w:rFonts w:ascii="Arial" w:cs="Arial" w:eastAsia="Arial" w:hAnsi="Arial"/>
                <w:sz w:val="16"/>
                <w:szCs w:val="16"/>
                <w:color w:val="auto"/>
              </w:rPr>
              <w:t>) ​ ​ ​$</w:t>
            </w:r>
          </w:p>
        </w:tc>
        <w:tc>
          <w:tcPr>
            <w:tcW w:w="920" w:type="dxa"/>
            <w:vAlign w:val="bottom"/>
          </w:tcPr>
          <w:p>
            <w:pPr>
              <w:jc w:val="right"/>
              <w:spacing w:after="0"/>
              <w:rPr>
                <w:sz w:val="20"/>
                <w:szCs w:val="20"/>
                <w:color w:val="auto"/>
              </w:rPr>
            </w:pPr>
            <w:r>
              <w:rPr>
                <w:rFonts w:ascii="Arial" w:cs="Arial" w:eastAsia="Arial" w:hAnsi="Arial"/>
                <w:sz w:val="16"/>
                <w:szCs w:val="16"/>
                <w:color w:val="auto"/>
              </w:rPr>
              <w:t>(207,643​) ​​</w:t>
            </w:r>
          </w:p>
        </w:tc>
      </w:tr>
      <w:tr>
        <w:trPr>
          <w:trHeight w:val="473"/>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 xml:space="preserve"> ​ ​ ​$</w:t>
            </w:r>
          </w:p>
        </w:tc>
        <w:tc>
          <w:tcPr>
            <w:tcW w:w="92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675"/>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 xml:space="preserve"> ​ ​ ​$</w:t>
            </w:r>
          </w:p>
        </w:tc>
        <w:tc>
          <w:tcPr>
            <w:tcW w:w="920" w:type="dxa"/>
            <w:vAlign w:val="bottom"/>
          </w:tcPr>
          <w:p>
            <w:pPr>
              <w:jc w:val="right"/>
              <w:spacing w:after="0"/>
              <w:rPr>
                <w:sz w:val="20"/>
                <w:szCs w:val="20"/>
                <w:color w:val="auto"/>
              </w:rPr>
            </w:pPr>
            <w:r>
              <w:rPr>
                <w:rFonts w:ascii="Arial" w:cs="Arial" w:eastAsia="Arial" w:hAnsi="Arial"/>
                <w:sz w:val="16"/>
                <w:szCs w:val="16"/>
                <w:color w:val="auto"/>
              </w:rPr>
              <w:t>0​ ​​</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​$ 11,158,819</w:t>
      </w:r>
      <w:r>
        <w:rPr>
          <w:rFonts w:ascii="Arial" w:cs="Arial" w:eastAsia="Arial" w:hAnsi="Arial"/>
          <w:sz w:val="16"/>
          <w:szCs w:val="16"/>
          <w:b w:val="1"/>
          <w:bCs w:val="1"/>
          <w:color w:val="auto"/>
        </w:rPr>
        <w:t>​</w:t>
      </w:r>
      <w:r>
        <w:rPr>
          <w:rFonts w:ascii="Arial" w:cs="Arial" w:eastAsia="Arial" w:hAnsi="Arial"/>
          <w:sz w:val="16"/>
          <w:szCs w:val="16"/>
          <w:color w:val="auto"/>
        </w:rPr>
        <w:t xml:space="preserve"> ​ ​ ​$ 3,223,277​ ​​</w:t>
      </w:r>
    </w:p>
    <w:p>
      <w:pPr>
        <w:spacing w:after="0" w:line="169" w:lineRule="exact"/>
        <w:rPr>
          <w:sz w:val="20"/>
          <w:szCs w:val="20"/>
          <w:color w:val="auto"/>
        </w:rPr>
      </w:pPr>
    </w:p>
    <w:p>
      <w:pPr>
        <w:sectPr>
          <w:pgSz w:w="11900" w:h="16838" w:orient="portrait"/>
          <w:cols w:equalWidth="0" w:num="2">
            <w:col w:w="7340" w:space="260"/>
            <w:col w:w="2500"/>
          </w:cols>
          <w:pgMar w:left="580" w:top="97" w:right="1219" w:bottom="1440" w:gutter="0" w:footer="0" w:header="0"/>
          <w:type w:val="continuous"/>
        </w:sectPr>
      </w:pPr>
    </w:p>
    <w:p>
      <w:pPr>
        <w:ind w:left="1440" w:hanging="354"/>
        <w:spacing w:after="0"/>
        <w:tabs>
          <w:tab w:leader="none" w:pos="1440" w:val="left"/>
        </w:tabs>
        <w:numPr>
          <w:ilvl w:val="1"/>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Amounts presented are averages for the entire group of Other NEOs.</w:t>
      </w:r>
    </w:p>
    <w:p>
      <w:pPr>
        <w:spacing w:after="0" w:line="32" w:lineRule="exact"/>
        <w:rPr>
          <w:rFonts w:ascii="Arial" w:cs="Arial" w:eastAsia="Arial" w:hAnsi="Arial"/>
          <w:sz w:val="16"/>
          <w:szCs w:val="16"/>
          <w:i w:val="1"/>
          <w:iCs w:val="1"/>
          <w:color w:val="auto"/>
        </w:rPr>
      </w:pPr>
    </w:p>
    <w:p>
      <w:pPr>
        <w:ind w:left="1440" w:right="280"/>
        <w:spacing w:after="0" w:line="264" w:lineRule="auto"/>
        <w:rPr>
          <w:rFonts w:ascii="Arial" w:cs="Arial" w:eastAsia="Arial" w:hAnsi="Arial"/>
          <w:sz w:val="16"/>
          <w:szCs w:val="16"/>
          <w:i w:val="1"/>
          <w:iCs w:val="1"/>
          <w:color w:val="auto"/>
        </w:rPr>
      </w:pPr>
      <w:r>
        <w:rPr>
          <w:rFonts w:ascii="Arial" w:cs="Arial" w:eastAsia="Arial" w:hAnsi="Arial"/>
          <w:sz w:val="16"/>
          <w:szCs w:val="16"/>
          <w:i w:val="1"/>
          <w:iCs w:val="1"/>
          <w:color w:val="auto"/>
        </w:rPr>
        <w:t>The valuation methodology used to calculate fair values in the above table did not materially differ from those used to calculate fair values at the time of grant as reflected in the SCT Amounts.</w:t>
      </w:r>
    </w:p>
    <w:p>
      <w:pPr>
        <w:ind w:left="1080" w:hanging="354"/>
        <w:spacing w:after="0"/>
        <w:tabs>
          <w:tab w:leader="none" w:pos="108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The peer group is the S&amp;P 500 Semiconductors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660" w:right="200"/>
        <w:spacing w:after="0" w:line="273" w:lineRule="auto"/>
        <w:rPr>
          <w:sz w:val="20"/>
          <w:szCs w:val="20"/>
          <w:color w:val="auto"/>
        </w:rPr>
      </w:pPr>
      <w:r>
        <w:rPr>
          <w:rFonts w:ascii="Arial" w:cs="Arial" w:eastAsia="Arial" w:hAnsi="Arial"/>
          <w:sz w:val="20"/>
          <w:szCs w:val="20"/>
          <w:color w:val="auto"/>
        </w:rPr>
        <w:t>The following table lists the five financial performance measures that, in our assessment, represent the most important performance measures we use to link the CAP Amounts for our named executive officers for fiscal year 2024 (our most recently completed fiscal year) to company performance. Of these measures, we have identified revenue as the most important.</w:t>
      </w:r>
    </w:p>
    <w:p>
      <w:pPr>
        <w:spacing w:after="0" w:line="211"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2560" w:type="dxa"/>
            <w:vAlign w:val="bottom"/>
            <w:tcBorders>
              <w:top w:val="single" w:sz="8" w:color="0075A8"/>
              <w:left w:val="single" w:sz="8" w:color="0075A8"/>
              <w:bottom w:val="single" w:sz="8" w:color="BFBFBF"/>
            </w:tcBorders>
            <w:shd w:val="clear" w:color="auto" w:fill="E5E5E5"/>
          </w:tcPr>
          <w:p>
            <w:pPr>
              <w:spacing w:after="0" w:line="269" w:lineRule="exact"/>
              <w:rPr>
                <w:sz w:val="20"/>
                <w:szCs w:val="20"/>
                <w:color w:val="auto"/>
              </w:rPr>
            </w:pPr>
            <w:r>
              <w:rPr>
                <w:rFonts w:ascii="Arial" w:cs="Arial" w:eastAsia="Arial" w:hAnsi="Arial"/>
                <w:sz w:val="31"/>
                <w:szCs w:val="31"/>
                <w:color w:val="auto"/>
                <w:vertAlign w:val="subscript"/>
                <w:shd w:val="clear" w:color="auto" w:fill="E5E5E5"/>
              </w:rPr>
              <w:t>​</w:t>
            </w:r>
            <w:r>
              <w:rPr>
                <w:rFonts w:ascii="Arial" w:cs="Arial" w:eastAsia="Arial" w:hAnsi="Arial"/>
                <w:sz w:val="16"/>
                <w:szCs w:val="16"/>
                <w:color w:val="auto"/>
                <w:shd w:val="clear" w:color="auto" w:fill="E5E5E5"/>
              </w:rPr>
              <w:t>EBITDA margin percentile ranking</w:t>
            </w:r>
          </w:p>
        </w:tc>
        <w:tc>
          <w:tcPr>
            <w:tcW w:w="160" w:type="dxa"/>
            <w:vAlign w:val="bottom"/>
            <w:tcBorders>
              <w:top w:val="single" w:sz="8" w:color="0075A8"/>
              <w:bottom w:val="single" w:sz="8" w:color="BFBFBF"/>
              <w:right w:val="single" w:sz="8" w:color="0075A8"/>
            </w:tcBorders>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w:t>
            </w:r>
          </w:p>
        </w:tc>
      </w:tr>
      <w:tr>
        <w:trPr>
          <w:trHeight w:val="250"/>
        </w:trPr>
        <w:tc>
          <w:tcPr>
            <w:tcW w:w="2560" w:type="dxa"/>
            <w:vAlign w:val="bottom"/>
            <w:tcBorders>
              <w:left w:val="single" w:sz="8" w:color="0075A8"/>
              <w:bottom w:val="single" w:sz="8" w:color="BFBFBF"/>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Emerging revenue growth</w:t>
            </w:r>
          </w:p>
        </w:tc>
        <w:tc>
          <w:tcPr>
            <w:tcW w:w="160" w:type="dxa"/>
            <w:vAlign w:val="bottom"/>
            <w:tcBorders>
              <w:bottom w:val="single" w:sz="8" w:color="BFBFBF"/>
              <w:right w:val="single" w:sz="8" w:color="0075A8"/>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left w:val="single" w:sz="8" w:color="0075A8"/>
              <w:bottom w:val="single" w:sz="8" w:color="BFBFBF"/>
            </w:tcBorders>
            <w:shd w:val="clear" w:color="auto" w:fill="E5E5E5"/>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Non-GAAP operating income</w:t>
            </w:r>
          </w:p>
        </w:tc>
        <w:tc>
          <w:tcPr>
            <w:tcW w:w="160" w:type="dxa"/>
            <w:vAlign w:val="bottom"/>
            <w:tcBorders>
              <w:bottom w:val="single" w:sz="8" w:color="BFBFBF"/>
              <w:right w:val="single" w:sz="8" w:color="0075A8"/>
            </w:tcBorders>
            <w:shd w:val="clear" w:color="auto" w:fill="E5E5E5"/>
          </w:tcPr>
          <w:p>
            <w:pPr>
              <w:ind w:left="80"/>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left w:val="single" w:sz="8" w:color="0075A8"/>
              <w:bottom w:val="single" w:sz="8" w:color="BFBFBF"/>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Revenue</w:t>
            </w:r>
          </w:p>
        </w:tc>
        <w:tc>
          <w:tcPr>
            <w:tcW w:w="160" w:type="dxa"/>
            <w:vAlign w:val="bottom"/>
            <w:tcBorders>
              <w:bottom w:val="single" w:sz="8" w:color="BFBFBF"/>
              <w:right w:val="single" w:sz="8" w:color="0075A8"/>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left w:val="single" w:sz="8" w:color="0075A8"/>
              <w:bottom w:val="single" w:sz="8" w:color="0075A8"/>
            </w:tcBorders>
            <w:shd w:val="clear" w:color="auto" w:fill="E5E5E5"/>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TSR percentile ranking</w:t>
            </w:r>
          </w:p>
        </w:tc>
        <w:tc>
          <w:tcPr>
            <w:tcW w:w="160" w:type="dxa"/>
            <w:vAlign w:val="bottom"/>
            <w:tcBorders>
              <w:bottom w:val="single" w:sz="8" w:color="0075A8"/>
              <w:right w:val="single" w:sz="8" w:color="0075A8"/>
            </w:tcBorders>
            <w:shd w:val="clear" w:color="auto" w:fill="E5E5E5"/>
          </w:tcPr>
          <w:p>
            <w:pPr>
              <w:ind w:left="80"/>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jc w:val="both"/>
        <w:ind w:left="660" w:right="280"/>
        <w:spacing w:after="0" w:line="273" w:lineRule="auto"/>
        <w:rPr>
          <w:sz w:val="20"/>
          <w:szCs w:val="20"/>
          <w:color w:val="auto"/>
        </w:rPr>
      </w:pPr>
      <w:r>
        <w:rPr>
          <w:rFonts w:ascii="Arial" w:cs="Arial" w:eastAsia="Arial" w:hAnsi="Arial"/>
          <w:sz w:val="20"/>
          <w:szCs w:val="20"/>
          <w:color w:val="auto"/>
        </w:rPr>
        <w:t>The following charts show graphically the relationships over the past four years of the CAP Amounts for our PEO and Other NEOs as compared to our cumulative total shareholder return (“TSR”), the cumulative total shareholder return of our peer group, the S&amp;P 500 Semiconductors Index (“Peer Group TSR”), net income and revenue, as well as the relationship between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154940</wp:posOffset>
            </wp:positionV>
            <wp:extent cx="5212080" cy="29146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407035</wp:posOffset>
            </wp:positionV>
            <wp:extent cx="5212080" cy="60350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603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260"/>
        <w:spacing w:after="0"/>
        <w:rPr>
          <w:sz w:val="20"/>
          <w:szCs w:val="20"/>
          <w:color w:val="auto"/>
        </w:rPr>
      </w:pPr>
      <w:r>
        <w:rPr>
          <w:rFonts w:ascii="Arial" w:cs="Arial" w:eastAsia="Arial" w:hAnsi="Arial"/>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The Board sets the compensation for the Company’s non-employee directors, after receiving the recommendations of the Compensation Committee. In formulating its recommendations, the Compensation Committee seeks and receives input from Aon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Cash Compensation</w:t>
      </w:r>
    </w:p>
    <w:p>
      <w:pPr>
        <w:spacing w:after="0" w:line="150"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auto"/>
        </w:rPr>
        <w:t>Non-employee directors are paid, in quarterly installments, an annual retainer of $90,000.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Corporate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that additional cash payments be made to a non-employee director for extraordinary service during a fiscal year.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Equity Compensation</w:t>
      </w:r>
    </w:p>
    <w:p>
      <w:pPr>
        <w:spacing w:after="0" w:line="137" w:lineRule="exact"/>
        <w:rPr>
          <w:sz w:val="20"/>
          <w:szCs w:val="20"/>
          <w:color w:val="auto"/>
        </w:rPr>
      </w:pPr>
    </w:p>
    <w:p>
      <w:pPr>
        <w:ind w:left="3" w:right="40"/>
        <w:spacing w:after="0" w:line="267" w:lineRule="auto"/>
        <w:rPr>
          <w:sz w:val="20"/>
          <w:szCs w:val="20"/>
          <w:color w:val="auto"/>
        </w:rPr>
      </w:pPr>
      <w:r>
        <w:rPr>
          <w:rFonts w:ascii="Arial" w:cs="Arial" w:eastAsia="Arial" w:hAnsi="Arial"/>
          <w:sz w:val="19"/>
          <w:szCs w:val="19"/>
          <w:color w:val="auto"/>
        </w:rPr>
        <w:t>Currently, following each annual meeting of stockholders, each non-employee director who is reelected, excluding the Chairman of the Board, will receive a grant of RSUs having a value of approximately $225,000, and the non-employee Chairman of the Board will receive a grant of RSUs having a value of approximately $250,000. Any newly appointed non-employee director will receive an initial equity grant of RSUs having a value of approximately $225,000.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(a) a non-employee director’s initial equity grant of RSUs will vest in three (3) equal annual installments on the first three anniversaries of the date of grant, and</w:t>
      </w:r>
    </w:p>
    <w:p>
      <w:pPr>
        <w:spacing w:after="0" w:line="16" w:lineRule="exact"/>
        <w:rPr>
          <w:sz w:val="20"/>
          <w:szCs w:val="20"/>
          <w:color w:val="auto"/>
        </w:rPr>
      </w:pPr>
    </w:p>
    <w:p>
      <w:pPr>
        <w:ind w:left="3" w:right="80" w:hanging="3"/>
        <w:spacing w:after="0" w:line="255" w:lineRule="auto"/>
        <w:tabs>
          <w:tab w:leader="none" w:pos="292"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189" w:lineRule="exact"/>
        <w:rPr>
          <w:sz w:val="20"/>
          <w:szCs w:val="20"/>
          <w:color w:val="auto"/>
        </w:rPr>
      </w:pPr>
    </w:p>
    <w:p>
      <w:pPr>
        <w:ind w:left="3" w:right="220"/>
        <w:spacing w:after="0" w:line="269" w:lineRule="auto"/>
        <w:rPr>
          <w:sz w:val="20"/>
          <w:szCs w:val="20"/>
          <w:color w:val="auto"/>
        </w:rPr>
      </w:pPr>
      <w:r>
        <w:rPr>
          <w:rFonts w:ascii="Arial" w:cs="Arial" w:eastAsia="Arial" w:hAnsi="Arial"/>
          <w:sz w:val="20"/>
          <w:szCs w:val="20"/>
          <w:color w:val="auto"/>
        </w:rPr>
        <w:t>No director who is also an employee receives separate compensation for services rendered as a director.</w:t>
      </w:r>
    </w:p>
    <w:p>
      <w:pPr>
        <w:spacing w:after="0" w:line="200" w:lineRule="exact"/>
        <w:rPr>
          <w:sz w:val="20"/>
          <w:szCs w:val="20"/>
          <w:color w:val="auto"/>
        </w:rPr>
      </w:pPr>
    </w:p>
    <w:p>
      <w:pPr>
        <w:sectPr>
          <w:pgSz w:w="11900" w:h="16838" w:orient="portrait"/>
          <w:cols w:equalWidth="0" w:num="2">
            <w:col w:w="5100" w:space="477"/>
            <w:col w:w="4523"/>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Compensation Table</w:t>
      </w:r>
    </w:p>
    <w:p>
      <w:pPr>
        <w:spacing w:after="0" w:line="137" w:lineRule="exact"/>
        <w:rPr>
          <w:sz w:val="20"/>
          <w:szCs w:val="20"/>
          <w:color w:val="auto"/>
        </w:rPr>
      </w:pPr>
    </w:p>
    <w:p>
      <w:pPr>
        <w:ind w:left="660" w:right="320"/>
        <w:spacing w:after="0" w:line="286" w:lineRule="auto"/>
        <w:rPr>
          <w:sz w:val="20"/>
          <w:szCs w:val="20"/>
          <w:color w:val="auto"/>
        </w:rPr>
      </w:pPr>
      <w:r>
        <w:rPr>
          <w:rFonts w:ascii="Arial" w:cs="Arial" w:eastAsia="Arial" w:hAnsi="Arial"/>
          <w:sz w:val="20"/>
          <w:szCs w:val="20"/>
          <w:color w:val="auto"/>
        </w:rPr>
        <w:t>The following table summarizes the compensation paid to the Company’s non-employee directors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51435</wp:posOffset>
            </wp:positionV>
            <wp:extent cx="5974715" cy="4032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74715" cy="403225"/>
                    </a:xfrm>
                    <a:prstGeom prst="rect">
                      <a:avLst/>
                    </a:prstGeom>
                    <a:noFill/>
                  </pic:spPr>
                </pic:pic>
              </a:graphicData>
            </a:graphic>
          </wp:anchor>
        </w:drawing>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20" w:type="dxa"/>
            <w:vAlign w:val="bottom"/>
            <w:gridSpan w:val="2"/>
          </w:tcPr>
          <w:p>
            <w:pPr>
              <w:jc w:val="center"/>
              <w:ind w:left="2297"/>
              <w:spacing w:after="0"/>
              <w:rPr>
                <w:sz w:val="20"/>
                <w:szCs w:val="20"/>
                <w:color w:val="auto"/>
              </w:rPr>
            </w:pPr>
            <w:r>
              <w:rPr>
                <w:rFonts w:ascii="Arial" w:cs="Arial" w:eastAsia="Arial" w:hAnsi="Arial"/>
                <w:sz w:val="18"/>
                <w:szCs w:val="18"/>
                <w:b w:val="1"/>
                <w:bCs w:val="1"/>
                <w:color w:val="FFFFFF"/>
                <w:w w:val="96"/>
              </w:rPr>
              <w:t>Fees Earned or</w:t>
            </w:r>
          </w:p>
        </w:tc>
        <w:tc>
          <w:tcPr>
            <w:tcW w:w="1180" w:type="dxa"/>
            <w:vAlign w:val="bottom"/>
          </w:tcPr>
          <w:p>
            <w:pPr>
              <w:ind w:left="320"/>
              <w:spacing w:after="0"/>
              <w:rPr>
                <w:sz w:val="20"/>
                <w:szCs w:val="20"/>
                <w:color w:val="auto"/>
              </w:rPr>
            </w:pPr>
            <w:r>
              <w:rPr>
                <w:rFonts w:ascii="Arial" w:cs="Arial" w:eastAsia="Arial" w:hAnsi="Arial"/>
                <w:sz w:val="18"/>
                <w:szCs w:val="18"/>
                <w:b w:val="1"/>
                <w:bCs w:val="1"/>
                <w:color w:val="FFFFFF"/>
              </w:rPr>
              <w:t>Stock</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40" w:type="dxa"/>
            <w:vAlign w:val="bottom"/>
          </w:tcPr>
          <w:p>
            <w:pPr>
              <w:jc w:val="center"/>
              <w:ind w:right="17"/>
              <w:spacing w:after="0" w:line="189" w:lineRule="exact"/>
              <w:rPr>
                <w:sz w:val="20"/>
                <w:szCs w:val="20"/>
                <w:color w:val="auto"/>
              </w:rPr>
            </w:pPr>
            <w:r>
              <w:rPr>
                <w:rFonts w:ascii="Arial" w:cs="Arial" w:eastAsia="Arial" w:hAnsi="Arial"/>
                <w:sz w:val="18"/>
                <w:szCs w:val="18"/>
                <w:b w:val="1"/>
                <w:bCs w:val="1"/>
                <w:color w:val="FFFFFF"/>
                <w:w w:val="98"/>
              </w:rPr>
              <w:t>Paid in Cash</w:t>
            </w:r>
          </w:p>
        </w:tc>
        <w:tc>
          <w:tcPr>
            <w:tcW w:w="1180" w:type="dxa"/>
            <w:vAlign w:val="bottom"/>
          </w:tcPr>
          <w:p>
            <w:pPr>
              <w:ind w:left="240"/>
              <w:spacing w:after="0" w:line="189" w:lineRule="exact"/>
              <w:rPr>
                <w:sz w:val="20"/>
                <w:szCs w:val="20"/>
                <w:color w:val="auto"/>
              </w:rPr>
            </w:pPr>
            <w:r>
              <w:rPr>
                <w:rFonts w:ascii="Arial" w:cs="Arial" w:eastAsia="Arial" w:hAnsi="Arial"/>
                <w:sz w:val="18"/>
                <w:szCs w:val="18"/>
                <w:b w:val="1"/>
                <w:bCs w:val="1"/>
                <w:color w:val="FFFFFF"/>
              </w:rPr>
              <w:t>Awards</w:t>
            </w:r>
          </w:p>
        </w:tc>
        <w:tc>
          <w:tcPr>
            <w:tcW w:w="620" w:type="dxa"/>
            <w:vAlign w:val="bottom"/>
          </w:tcPr>
          <w:p>
            <w:pPr>
              <w:ind w:left="40"/>
              <w:spacing w:after="0" w:line="189" w:lineRule="exact"/>
              <w:rPr>
                <w:sz w:val="20"/>
                <w:szCs w:val="20"/>
                <w:color w:val="auto"/>
              </w:rPr>
            </w:pPr>
            <w:r>
              <w:rPr>
                <w:rFonts w:ascii="Arial" w:cs="Arial" w:eastAsia="Arial" w:hAnsi="Arial"/>
                <w:sz w:val="18"/>
                <w:szCs w:val="18"/>
                <w:b w:val="1"/>
                <w:bCs w:val="1"/>
                <w:color w:val="FFFFFF"/>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0" w:type="dxa"/>
            <w:vAlign w:val="bottom"/>
            <w:gridSpan w:val="3"/>
          </w:tcPr>
          <w:p>
            <w:pPr>
              <w:ind w:left="20"/>
              <w:spacing w:after="0"/>
              <w:rPr>
                <w:sz w:val="20"/>
                <w:szCs w:val="20"/>
                <w:color w:val="auto"/>
              </w:rPr>
            </w:pPr>
            <w:r>
              <w:rPr>
                <w:rFonts w:ascii="Arial" w:cs="Arial" w:eastAsia="Arial" w:hAnsi="Arial"/>
                <w:sz w:val="18"/>
                <w:szCs w:val="18"/>
                <w:b w:val="1"/>
                <w:bCs w:val="1"/>
                <w:color w:val="FFFFFF"/>
              </w:rPr>
              <w:t>​Name</w:t>
            </w: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80" w:type="dxa"/>
            <w:vAlign w:val="bottom"/>
          </w:tcPr>
          <w:p>
            <w:pPr>
              <w:ind w:left="2240"/>
              <w:spacing w:after="0"/>
              <w:rPr>
                <w:sz w:val="20"/>
                <w:szCs w:val="20"/>
                <w:color w:val="auto"/>
              </w:rPr>
            </w:pPr>
            <w:r>
              <w:rPr>
                <w:rFonts w:ascii="Arial" w:cs="Arial" w:eastAsia="Arial" w:hAnsi="Arial"/>
                <w:sz w:val="18"/>
                <w:szCs w:val="18"/>
                <w:b w:val="1"/>
                <w:bCs w:val="1"/>
                <w:color w:val="FFFFFF"/>
              </w:rPr>
              <w:t>​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1180" w:type="dxa"/>
            <w:vAlign w:val="bottom"/>
          </w:tcPr>
          <w:p>
            <w:pPr>
              <w:ind w:left="80"/>
              <w:spacing w:after="0"/>
              <w:rPr>
                <w:sz w:val="20"/>
                <w:szCs w:val="20"/>
                <w:color w:val="auto"/>
              </w:rPr>
            </w:pPr>
            <w:r>
              <w:rPr>
                <w:rFonts w:ascii="Arial" w:cs="Arial" w:eastAsia="Arial" w:hAnsi="Arial"/>
                <w:sz w:val="18"/>
                <w:szCs w:val="18"/>
                <w:b w:val="1"/>
                <w:bCs w:val="1"/>
                <w:color w:val="FFFFFF"/>
              </w:rPr>
              <w:t>​ ​ ($)(1)(2) ​ ​</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FFFFFF"/>
              </w:rPr>
              <w:t>($)  ​</w:t>
            </w:r>
          </w:p>
        </w:tc>
        <w:tc>
          <w:tcPr>
            <w:tcW w:w="0" w:type="dxa"/>
            <w:vAlign w:val="bottom"/>
          </w:tcPr>
          <w:p>
            <w:pPr>
              <w:spacing w:after="0"/>
              <w:rPr>
                <w:sz w:val="1"/>
                <w:szCs w:val="1"/>
                <w:color w:val="auto"/>
              </w:rPr>
            </w:pPr>
          </w:p>
        </w:tc>
      </w:tr>
      <w:tr>
        <w:trPr>
          <w:trHeight w:val="189"/>
        </w:trPr>
        <w:tc>
          <w:tcPr>
            <w:tcW w:w="700" w:type="dxa"/>
            <w:vAlign w:val="bottom"/>
            <w:gridSpan w:val="4"/>
            <w:shd w:val="clear" w:color="auto" w:fill="E5E5E5"/>
          </w:tcPr>
          <w:p>
            <w:pPr>
              <w:ind w:left="40"/>
              <w:spacing w:after="0"/>
              <w:rPr>
                <w:sz w:val="20"/>
                <w:szCs w:val="20"/>
                <w:color w:val="auto"/>
              </w:rPr>
            </w:pPr>
            <w:r>
              <w:rPr>
                <w:rFonts w:ascii="Arial" w:cs="Arial" w:eastAsia="Arial" w:hAnsi="Arial"/>
                <w:sz w:val="16"/>
                <w:szCs w:val="16"/>
                <w:color w:val="auto"/>
              </w:rPr>
              <w:t>Christine​</w:t>
            </w:r>
          </w:p>
        </w:tc>
        <w:tc>
          <w:tcPr>
            <w:tcW w:w="3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King</w:t>
            </w:r>
          </w:p>
        </w:tc>
        <w:tc>
          <w:tcPr>
            <w:tcW w:w="24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​172,500​</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​​225,042​​ ​ ​397,542​​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w w:val="99"/>
              </w:rPr>
              <w:t>Alan​</w:t>
            </w:r>
          </w:p>
        </w:tc>
        <w:tc>
          <w:tcPr>
            <w:tcW w:w="3500" w:type="dxa"/>
            <w:vAlign w:val="bottom"/>
            <w:gridSpan w:val="4"/>
          </w:tcPr>
          <w:p>
            <w:pPr>
              <w:ind w:left="20"/>
              <w:spacing w:after="0"/>
              <w:rPr>
                <w:sz w:val="20"/>
                <w:szCs w:val="20"/>
                <w:color w:val="auto"/>
              </w:rPr>
            </w:pPr>
            <w:r>
              <w:rPr>
                <w:rFonts w:ascii="Arial" w:cs="Arial" w:eastAsia="Arial" w:hAnsi="Arial"/>
                <w:sz w:val="16"/>
                <w:szCs w:val="16"/>
                <w:color w:val="auto"/>
              </w:rPr>
              <w:t>S. Batey</w:t>
            </w:r>
          </w:p>
        </w:tc>
        <w:tc>
          <w:tcPr>
            <w:tcW w:w="2480" w:type="dxa"/>
            <w:vAlign w:val="bottom"/>
          </w:tcPr>
          <w:p>
            <w:pPr>
              <w:ind w:left="2300"/>
              <w:spacing w:after="0"/>
              <w:rPr>
                <w:sz w:val="20"/>
                <w:szCs w:val="20"/>
                <w:color w:val="auto"/>
              </w:rPr>
            </w:pPr>
            <w:r>
              <w:rPr>
                <w:rFonts w:ascii="Arial" w:cs="Arial" w:eastAsia="Arial" w:hAnsi="Arial"/>
                <w:sz w:val="16"/>
                <w:szCs w:val="16"/>
                <w:color w:val="auto"/>
              </w:rPr>
              <w:t>​ ​</w:t>
            </w:r>
          </w:p>
        </w:tc>
        <w:tc>
          <w:tcPr>
            <w:tcW w:w="1240" w:type="dxa"/>
            <w:vAlign w:val="bottom"/>
          </w:tcPr>
          <w:p>
            <w:pPr>
              <w:jc w:val="center"/>
              <w:spacing w:after="0"/>
              <w:rPr>
                <w:sz w:val="20"/>
                <w:szCs w:val="20"/>
                <w:color w:val="auto"/>
              </w:rPr>
            </w:pPr>
            <w:r>
              <w:rPr>
                <w:rFonts w:ascii="Arial" w:cs="Arial" w:eastAsia="Arial" w:hAnsi="Arial"/>
                <w:sz w:val="16"/>
                <w:szCs w:val="16"/>
                <w:color w:val="auto"/>
              </w:rPr>
              <w:t>​ 97,500​</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 ​ ​​225,042​​ ​ ​322,542​​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Kevin​</w:t>
            </w:r>
          </w:p>
        </w:tc>
        <w:tc>
          <w:tcPr>
            <w:tcW w:w="340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L. Beebe</w:t>
            </w:r>
          </w:p>
        </w:tc>
        <w:tc>
          <w:tcPr>
            <w:tcW w:w="24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​102,500​</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​​225,042​​ ​ ​327,542​​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gridSpan w:val="5"/>
          </w:tcPr>
          <w:p>
            <w:pPr>
              <w:ind w:left="40"/>
              <w:spacing w:after="0"/>
              <w:rPr>
                <w:sz w:val="20"/>
                <w:szCs w:val="20"/>
                <w:color w:val="auto"/>
              </w:rPr>
            </w:pPr>
            <w:r>
              <w:rPr>
                <w:rFonts w:ascii="Arial" w:cs="Arial" w:eastAsia="Arial" w:hAnsi="Arial"/>
                <w:sz w:val="16"/>
                <w:szCs w:val="16"/>
                <w:color w:val="auto"/>
              </w:rPr>
              <w:t>Eric​ J. Guerin</w:t>
            </w:r>
          </w:p>
        </w:tc>
        <w:tc>
          <w:tcPr>
            <w:tcW w:w="2480" w:type="dxa"/>
            <w:vAlign w:val="bottom"/>
          </w:tcPr>
          <w:p>
            <w:pPr>
              <w:ind w:left="2300"/>
              <w:spacing w:after="0"/>
              <w:rPr>
                <w:sz w:val="20"/>
                <w:szCs w:val="20"/>
                <w:color w:val="auto"/>
              </w:rPr>
            </w:pPr>
            <w:r>
              <w:rPr>
                <w:rFonts w:ascii="Arial" w:cs="Arial" w:eastAsia="Arial" w:hAnsi="Arial"/>
                <w:sz w:val="16"/>
                <w:szCs w:val="16"/>
                <w:color w:val="auto"/>
              </w:rPr>
              <w:t>​ ​</w:t>
            </w:r>
          </w:p>
        </w:tc>
        <w:tc>
          <w:tcPr>
            <w:tcW w:w="1240" w:type="dxa"/>
            <w:vAlign w:val="bottom"/>
          </w:tcPr>
          <w:p>
            <w:pPr>
              <w:jc w:val="center"/>
              <w:spacing w:after="0"/>
              <w:rPr>
                <w:sz w:val="20"/>
                <w:szCs w:val="20"/>
                <w:color w:val="auto"/>
              </w:rPr>
            </w:pPr>
            <w:r>
              <w:rPr>
                <w:rFonts w:ascii="Arial" w:cs="Arial" w:eastAsia="Arial" w:hAnsi="Arial"/>
                <w:sz w:val="16"/>
                <w:szCs w:val="16"/>
                <w:color w:val="auto"/>
              </w:rPr>
              <w:t>​102,500​</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 ​ ​​225,042​​ ​ ​327,542​​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gridSpan w:val="4"/>
            <w:shd w:val="clear" w:color="auto" w:fill="E5E5E5"/>
          </w:tcPr>
          <w:p>
            <w:pPr>
              <w:ind w:left="40"/>
              <w:spacing w:after="0"/>
              <w:rPr>
                <w:sz w:val="20"/>
                <w:szCs w:val="20"/>
                <w:color w:val="auto"/>
              </w:rPr>
            </w:pPr>
            <w:r>
              <w:rPr>
                <w:rFonts w:ascii="Arial" w:cs="Arial" w:eastAsia="Arial" w:hAnsi="Arial"/>
                <w:sz w:val="16"/>
                <w:szCs w:val="16"/>
                <w:color w:val="auto"/>
              </w:rPr>
              <w:t>Suzanne​</w:t>
            </w:r>
          </w:p>
        </w:tc>
        <w:tc>
          <w:tcPr>
            <w:tcW w:w="3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E. McBride</w:t>
            </w:r>
          </w:p>
        </w:tc>
        <w:tc>
          <w:tcPr>
            <w:tcW w:w="24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95,000​</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​​225,042​​ ​ ​320,042​​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gridSpan w:val="2"/>
          </w:tcPr>
          <w:p>
            <w:pPr>
              <w:ind w:left="40"/>
              <w:spacing w:after="0"/>
              <w:rPr>
                <w:sz w:val="20"/>
                <w:szCs w:val="20"/>
                <w:color w:val="auto"/>
              </w:rPr>
            </w:pPr>
            <w:r>
              <w:rPr>
                <w:rFonts w:ascii="Arial" w:cs="Arial" w:eastAsia="Arial" w:hAnsi="Arial"/>
                <w:sz w:val="16"/>
                <w:szCs w:val="16"/>
                <w:color w:val="auto"/>
              </w:rPr>
              <w:t>David​</w:t>
            </w:r>
          </w:p>
        </w:tc>
        <w:tc>
          <w:tcPr>
            <w:tcW w:w="3400" w:type="dxa"/>
            <w:vAlign w:val="bottom"/>
            <w:gridSpan w:val="3"/>
          </w:tcPr>
          <w:p>
            <w:pPr>
              <w:ind w:left="20"/>
              <w:spacing w:after="0"/>
              <w:rPr>
                <w:sz w:val="20"/>
                <w:szCs w:val="20"/>
                <w:color w:val="auto"/>
              </w:rPr>
            </w:pPr>
            <w:r>
              <w:rPr>
                <w:rFonts w:ascii="Arial" w:cs="Arial" w:eastAsia="Arial" w:hAnsi="Arial"/>
                <w:sz w:val="16"/>
                <w:szCs w:val="16"/>
                <w:color w:val="auto"/>
              </w:rPr>
              <w:t>P. McGlade</w:t>
            </w:r>
          </w:p>
        </w:tc>
        <w:tc>
          <w:tcPr>
            <w:tcW w:w="2480" w:type="dxa"/>
            <w:vAlign w:val="bottom"/>
          </w:tcPr>
          <w:p>
            <w:pPr>
              <w:ind w:left="2300"/>
              <w:spacing w:after="0"/>
              <w:rPr>
                <w:sz w:val="20"/>
                <w:szCs w:val="20"/>
                <w:color w:val="auto"/>
              </w:rPr>
            </w:pPr>
            <w:r>
              <w:rPr>
                <w:rFonts w:ascii="Arial" w:cs="Arial" w:eastAsia="Arial" w:hAnsi="Arial"/>
                <w:sz w:val="16"/>
                <w:szCs w:val="16"/>
                <w:color w:val="auto"/>
              </w:rPr>
              <w:t>​ ​</w:t>
            </w:r>
          </w:p>
        </w:tc>
        <w:tc>
          <w:tcPr>
            <w:tcW w:w="1240" w:type="dxa"/>
            <w:vAlign w:val="bottom"/>
          </w:tcPr>
          <w:p>
            <w:pPr>
              <w:jc w:val="center"/>
              <w:spacing w:after="0"/>
              <w:rPr>
                <w:sz w:val="20"/>
                <w:szCs w:val="20"/>
                <w:color w:val="auto"/>
              </w:rPr>
            </w:pPr>
            <w:r>
              <w:rPr>
                <w:rFonts w:ascii="Arial" w:cs="Arial" w:eastAsia="Arial" w:hAnsi="Arial"/>
                <w:sz w:val="16"/>
                <w:szCs w:val="16"/>
                <w:color w:val="auto"/>
              </w:rPr>
              <w:t>​125,000​</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 ​ ​​225,042​​ ​ ​350,042​​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gridSpan w:val="3"/>
            <w:shd w:val="clear" w:color="auto" w:fill="E5E5E5"/>
          </w:tcPr>
          <w:p>
            <w:pPr>
              <w:ind w:left="40"/>
              <w:spacing w:after="0"/>
              <w:rPr>
                <w:sz w:val="20"/>
                <w:szCs w:val="20"/>
                <w:color w:val="auto"/>
              </w:rPr>
            </w:pPr>
            <w:r>
              <w:rPr>
                <w:rFonts w:ascii="Arial" w:cs="Arial" w:eastAsia="Arial" w:hAnsi="Arial"/>
                <w:sz w:val="16"/>
                <w:szCs w:val="16"/>
                <w:color w:val="auto"/>
              </w:rPr>
              <w:t>Robert​</w:t>
            </w:r>
          </w:p>
        </w:tc>
        <w:tc>
          <w:tcPr>
            <w:tcW w:w="33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 Schriesheim</w:t>
            </w:r>
          </w:p>
        </w:tc>
        <w:tc>
          <w:tcPr>
            <w:tcW w:w="24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​112,500​</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​​225,042​​ ​ ​337,542​​</w:t>
            </w: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BFBFBF"/>
            </w:tcBorders>
            <w:gridSpan w:val="5"/>
          </w:tcPr>
          <w:p>
            <w:pPr>
              <w:ind w:left="40"/>
              <w:spacing w:after="0"/>
              <w:rPr>
                <w:sz w:val="20"/>
                <w:szCs w:val="20"/>
                <w:color w:val="auto"/>
              </w:rPr>
            </w:pPr>
            <w:r>
              <w:rPr>
                <w:rFonts w:ascii="Arial" w:cs="Arial" w:eastAsia="Arial" w:hAnsi="Arial"/>
                <w:sz w:val="16"/>
                <w:szCs w:val="16"/>
                <w:color w:val="auto"/>
              </w:rPr>
              <w:t>​Maryann Turcke</w:t>
            </w:r>
          </w:p>
        </w:tc>
        <w:tc>
          <w:tcPr>
            <w:tcW w:w="2480" w:type="dxa"/>
            <w:vAlign w:val="bottom"/>
            <w:tcBorders>
              <w:bottom w:val="single" w:sz="8" w:color="BFBFBF"/>
            </w:tcBorders>
          </w:tcPr>
          <w:p>
            <w:pPr>
              <w:ind w:left="2300"/>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BFBFBF"/>
            </w:tcBorders>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95,000​</w:t>
            </w:r>
          </w:p>
        </w:tc>
        <w:tc>
          <w:tcPr>
            <w:tcW w:w="1800" w:type="dxa"/>
            <w:vAlign w:val="bottom"/>
            <w:tcBorders>
              <w:bottom w:val="single" w:sz="8" w:color="BFBFBF"/>
            </w:tcBorders>
            <w:gridSpan w:val="2"/>
          </w:tcPr>
          <w:p>
            <w:pPr>
              <w:ind w:left="20"/>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 xml:space="preserve">225,042​​ ​ </w:t>
            </w:r>
            <w:r>
              <w:rPr>
                <w:rFonts w:ascii="Arial" w:cs="Arial" w:eastAsia="Arial" w:hAnsi="Arial"/>
                <w:sz w:val="16"/>
                <w:szCs w:val="16"/>
                <w:b w:val="1"/>
                <w:bCs w:val="1"/>
                <w:color w:val="auto"/>
              </w:rPr>
              <w:t>​</w:t>
            </w:r>
            <w:r>
              <w:rPr>
                <w:rFonts w:ascii="Arial" w:cs="Arial" w:eastAsia="Arial" w:hAnsi="Arial"/>
                <w:sz w:val="16"/>
                <w:szCs w:val="16"/>
                <w:color w:val="auto"/>
              </w:rPr>
              <w:t>320,042</w:t>
            </w:r>
            <w:r>
              <w:rPr>
                <w:rFonts w:ascii="Arial" w:cs="Arial" w:eastAsia="Arial" w:hAnsi="Arial"/>
                <w:sz w:val="16"/>
                <w:szCs w:val="16"/>
                <w:b w:val="1"/>
                <w:bCs w:val="1"/>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80" w:right="160" w:hanging="354"/>
        <w:spacing w:after="0" w:line="301" w:lineRule="auto"/>
        <w:tabs>
          <w:tab w:leader="none" w:pos="108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The non-employee members of the Board who were directors on September 27, 2024, held the following aggregate number of unexercised stock options and unvested RSU awards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48895</wp:posOffset>
            </wp:positionV>
            <wp:extent cx="4603115" cy="651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603115" cy="651510"/>
                    </a:xfrm>
                    <a:prstGeom prst="rect">
                      <a:avLst/>
                    </a:prstGeom>
                    <a:noFill/>
                  </pic:spPr>
                </pic:pic>
              </a:graphicData>
            </a:graphic>
          </wp:anchor>
        </w:drawing>
      </w:r>
    </w:p>
    <w:p>
      <w:pPr>
        <w:spacing w:after="0" w:line="57" w:lineRule="exact"/>
        <w:rPr>
          <w:sz w:val="20"/>
          <w:szCs w:val="20"/>
          <w:color w:val="auto"/>
        </w:rPr>
      </w:pPr>
    </w:p>
    <w:tbl>
      <w:tblPr>
        <w:tblLayout w:type="fixed"/>
        <w:tblInd w:w="174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7"/>
              </w:rPr>
              <w:t>Number of</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7"/>
              </w:rPr>
              <w:t>Securities</w:t>
            </w:r>
          </w:p>
        </w:tc>
        <w:tc>
          <w:tcPr>
            <w:tcW w:w="1800" w:type="dxa"/>
            <w:vAlign w:val="bottom"/>
            <w:gridSpan w:val="2"/>
            <w:vMerge w:val="restart"/>
          </w:tcPr>
          <w:p>
            <w:pPr>
              <w:jc w:val="center"/>
              <w:ind w:left="157"/>
              <w:spacing w:after="0"/>
              <w:rPr>
                <w:sz w:val="20"/>
                <w:szCs w:val="20"/>
                <w:color w:val="auto"/>
              </w:rPr>
            </w:pPr>
            <w:r>
              <w:rPr>
                <w:rFonts w:ascii="Arial" w:cs="Arial" w:eastAsia="Arial" w:hAnsi="Arial"/>
                <w:sz w:val="18"/>
                <w:szCs w:val="18"/>
                <w:b w:val="1"/>
                <w:bCs w:val="1"/>
                <w:color w:val="FFFFFF"/>
                <w:w w:val="98"/>
              </w:rPr>
              <w:t>Number of Shares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7"/>
              </w:rPr>
              <w:t>Underlying</w:t>
            </w:r>
          </w:p>
        </w:tc>
        <w:tc>
          <w:tcPr>
            <w:tcW w:w="1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80" w:type="dxa"/>
            <w:vAlign w:val="bottom"/>
            <w:gridSpan w:val="3"/>
          </w:tcPr>
          <w:p>
            <w:pPr>
              <w:jc w:val="center"/>
              <w:ind w:left="1317"/>
              <w:spacing w:after="0" w:line="189" w:lineRule="exact"/>
              <w:rPr>
                <w:sz w:val="20"/>
                <w:szCs w:val="20"/>
                <w:color w:val="auto"/>
              </w:rPr>
            </w:pPr>
            <w:r>
              <w:rPr>
                <w:rFonts w:ascii="Arial" w:cs="Arial" w:eastAsia="Arial" w:hAnsi="Arial"/>
                <w:sz w:val="18"/>
                <w:szCs w:val="18"/>
                <w:b w:val="1"/>
                <w:bCs w:val="1"/>
                <w:color w:val="FFFFFF"/>
                <w:w w:val="97"/>
              </w:rPr>
              <w:t>Unexercised</w:t>
            </w:r>
          </w:p>
        </w:tc>
        <w:tc>
          <w:tcPr>
            <w:tcW w:w="340" w:type="dxa"/>
            <w:vAlign w:val="bottom"/>
          </w:tcPr>
          <w:p>
            <w:pPr>
              <w:spacing w:after="0"/>
              <w:rPr>
                <w:sz w:val="16"/>
                <w:szCs w:val="16"/>
                <w:color w:val="auto"/>
              </w:rPr>
            </w:pPr>
          </w:p>
        </w:tc>
        <w:tc>
          <w:tcPr>
            <w:tcW w:w="1460" w:type="dxa"/>
            <w:vAlign w:val="bottom"/>
          </w:tcPr>
          <w:p>
            <w:pPr>
              <w:jc w:val="center"/>
              <w:ind w:right="17"/>
              <w:spacing w:after="0" w:line="189" w:lineRule="exact"/>
              <w:rPr>
                <w:sz w:val="20"/>
                <w:szCs w:val="20"/>
                <w:color w:val="auto"/>
              </w:rPr>
            </w:pPr>
            <w:r>
              <w:rPr>
                <w:rFonts w:ascii="Arial" w:cs="Arial" w:eastAsia="Arial" w:hAnsi="Arial"/>
                <w:sz w:val="18"/>
                <w:szCs w:val="18"/>
                <w:b w:val="1"/>
                <w:bCs w:val="1"/>
                <w:color w:val="FFFFFF"/>
                <w:w w:val="96"/>
              </w:rPr>
              <w:t>Subject to</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0" w:type="dxa"/>
            <w:vAlign w:val="bottom"/>
            <w:gridSpan w:val="3"/>
          </w:tcPr>
          <w:p>
            <w:pPr>
              <w:ind w:left="20"/>
              <w:spacing w:after="0"/>
              <w:rPr>
                <w:sz w:val="20"/>
                <w:szCs w:val="20"/>
                <w:color w:val="auto"/>
              </w:rPr>
            </w:pPr>
            <w:r>
              <w:rPr>
                <w:rFonts w:ascii="Arial" w:cs="Arial" w:eastAsia="Arial" w:hAnsi="Arial"/>
                <w:sz w:val="18"/>
                <w:szCs w:val="18"/>
                <w:b w:val="1"/>
                <w:bCs w:val="1"/>
                <w:color w:val="FFFFFF"/>
              </w:rPr>
              <w:t>​Name</w:t>
            </w: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60" w:type="dxa"/>
            <w:vAlign w:val="bottom"/>
          </w:tcPr>
          <w:p>
            <w:pPr>
              <w:ind w:left="1240"/>
              <w:spacing w:after="0"/>
              <w:rPr>
                <w:sz w:val="20"/>
                <w:szCs w:val="20"/>
                <w:color w:val="auto"/>
              </w:rPr>
            </w:pPr>
            <w:r>
              <w:rPr>
                <w:rFonts w:ascii="Arial" w:cs="Arial" w:eastAsia="Arial" w:hAnsi="Arial"/>
                <w:sz w:val="18"/>
                <w:szCs w:val="18"/>
                <w:b w:val="1"/>
                <w:bCs w:val="1"/>
                <w:color w:val="FFFFFF"/>
              </w:rPr>
              <w:t>​ ​</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9"/>
              </w:rPr>
              <w:t>Options</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FFFFFF"/>
              </w:rPr>
              <w:t>​ ​</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FFFFFF"/>
                <w:w w:val="98"/>
              </w:rPr>
              <w:t>Unvested RSUs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89"/>
        </w:trPr>
        <w:tc>
          <w:tcPr>
            <w:tcW w:w="700" w:type="dxa"/>
            <w:vAlign w:val="bottom"/>
            <w:gridSpan w:val="4"/>
          </w:tcPr>
          <w:p>
            <w:pPr>
              <w:ind w:left="40"/>
              <w:spacing w:after="0"/>
              <w:rPr>
                <w:sz w:val="20"/>
                <w:szCs w:val="20"/>
                <w:color w:val="auto"/>
              </w:rPr>
            </w:pPr>
            <w:r>
              <w:rPr>
                <w:rFonts w:ascii="Arial" w:cs="Arial" w:eastAsia="Arial" w:hAnsi="Arial"/>
                <w:sz w:val="16"/>
                <w:szCs w:val="16"/>
                <w:color w:val="auto"/>
              </w:rPr>
              <w:t>Christine​</w:t>
            </w:r>
          </w:p>
        </w:tc>
        <w:tc>
          <w:tcPr>
            <w:tcW w:w="2180" w:type="dxa"/>
            <w:vAlign w:val="bottom"/>
          </w:tcPr>
          <w:p>
            <w:pPr>
              <w:ind w:left="20"/>
              <w:spacing w:after="0"/>
              <w:rPr>
                <w:sz w:val="20"/>
                <w:szCs w:val="20"/>
                <w:color w:val="auto"/>
              </w:rPr>
            </w:pPr>
            <w:r>
              <w:rPr>
                <w:rFonts w:ascii="Arial" w:cs="Arial" w:eastAsia="Arial" w:hAnsi="Arial"/>
                <w:sz w:val="16"/>
                <w:szCs w:val="16"/>
                <w:color w:val="auto"/>
              </w:rPr>
              <w:t>King</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​2,272​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w w:val="99"/>
              </w:rPr>
              <w:t>Alan​</w:t>
            </w:r>
          </w:p>
        </w:tc>
        <w:tc>
          <w:tcPr>
            <w:tcW w:w="2500" w:type="dxa"/>
            <w:vAlign w:val="bottom"/>
            <w:gridSpan w:val="4"/>
          </w:tcPr>
          <w:p>
            <w:pPr>
              <w:ind w:left="20"/>
              <w:spacing w:after="0"/>
              <w:rPr>
                <w:sz w:val="20"/>
                <w:szCs w:val="20"/>
                <w:color w:val="auto"/>
              </w:rPr>
            </w:pPr>
            <w:r>
              <w:rPr>
                <w:rFonts w:ascii="Arial" w:cs="Arial" w:eastAsia="Arial" w:hAnsi="Arial"/>
                <w:sz w:val="16"/>
                <w:szCs w:val="16"/>
                <w:color w:val="auto"/>
              </w:rPr>
              <w:t>S. Batey</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​2,272​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 w:type="dxa"/>
            <w:vAlign w:val="bottom"/>
            <w:gridSpan w:val="2"/>
          </w:tcPr>
          <w:p>
            <w:pPr>
              <w:ind w:left="40"/>
              <w:spacing w:after="0"/>
              <w:rPr>
                <w:sz w:val="20"/>
                <w:szCs w:val="20"/>
                <w:color w:val="auto"/>
              </w:rPr>
            </w:pPr>
            <w:r>
              <w:rPr>
                <w:rFonts w:ascii="Arial" w:cs="Arial" w:eastAsia="Arial" w:hAnsi="Arial"/>
                <w:sz w:val="16"/>
                <w:szCs w:val="16"/>
                <w:color w:val="auto"/>
              </w:rPr>
              <w:t>Kevin​</w:t>
            </w:r>
          </w:p>
        </w:tc>
        <w:tc>
          <w:tcPr>
            <w:tcW w:w="2400" w:type="dxa"/>
            <w:vAlign w:val="bottom"/>
            <w:gridSpan w:val="3"/>
          </w:tcPr>
          <w:p>
            <w:pPr>
              <w:spacing w:after="0"/>
              <w:rPr>
                <w:sz w:val="20"/>
                <w:szCs w:val="20"/>
                <w:color w:val="auto"/>
              </w:rPr>
            </w:pPr>
            <w:r>
              <w:rPr>
                <w:rFonts w:ascii="Arial" w:cs="Arial" w:eastAsia="Arial" w:hAnsi="Arial"/>
                <w:sz w:val="16"/>
                <w:szCs w:val="16"/>
                <w:color w:val="auto"/>
              </w:rPr>
              <w:t>L. Beebe</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​2,272​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880" w:type="dxa"/>
            <w:vAlign w:val="bottom"/>
            <w:gridSpan w:val="5"/>
          </w:tcPr>
          <w:p>
            <w:pPr>
              <w:ind w:left="40"/>
              <w:spacing w:after="0"/>
              <w:rPr>
                <w:sz w:val="20"/>
                <w:szCs w:val="20"/>
                <w:color w:val="auto"/>
              </w:rPr>
            </w:pPr>
            <w:r>
              <w:rPr>
                <w:rFonts w:ascii="Arial" w:cs="Arial" w:eastAsia="Arial" w:hAnsi="Arial"/>
                <w:sz w:val="16"/>
                <w:szCs w:val="16"/>
                <w:color w:val="auto"/>
              </w:rPr>
              <w:t>Eric​ J. Guerin</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​2,718​</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00" w:type="dxa"/>
            <w:vAlign w:val="bottom"/>
            <w:gridSpan w:val="4"/>
          </w:tcPr>
          <w:p>
            <w:pPr>
              <w:ind w:left="40"/>
              <w:spacing w:after="0"/>
              <w:rPr>
                <w:sz w:val="20"/>
                <w:szCs w:val="20"/>
                <w:color w:val="auto"/>
              </w:rPr>
            </w:pPr>
            <w:r>
              <w:rPr>
                <w:rFonts w:ascii="Arial" w:cs="Arial" w:eastAsia="Arial" w:hAnsi="Arial"/>
                <w:sz w:val="16"/>
                <w:szCs w:val="16"/>
                <w:color w:val="auto"/>
              </w:rPr>
              <w:t>Suzanne​</w:t>
            </w:r>
          </w:p>
        </w:tc>
        <w:tc>
          <w:tcPr>
            <w:tcW w:w="2180" w:type="dxa"/>
            <w:vAlign w:val="bottom"/>
          </w:tcPr>
          <w:p>
            <w:pPr>
              <w:ind w:left="20"/>
              <w:spacing w:after="0"/>
              <w:rPr>
                <w:sz w:val="20"/>
                <w:szCs w:val="20"/>
                <w:color w:val="auto"/>
              </w:rPr>
            </w:pPr>
            <w:r>
              <w:rPr>
                <w:rFonts w:ascii="Arial" w:cs="Arial" w:eastAsia="Arial" w:hAnsi="Arial"/>
                <w:sz w:val="16"/>
                <w:szCs w:val="16"/>
                <w:color w:val="auto"/>
              </w:rPr>
              <w:t>E. McBride</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​2,721​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 w:type="dxa"/>
            <w:vAlign w:val="bottom"/>
            <w:gridSpan w:val="2"/>
          </w:tcPr>
          <w:p>
            <w:pPr>
              <w:ind w:left="40"/>
              <w:spacing w:after="0"/>
              <w:rPr>
                <w:sz w:val="20"/>
                <w:szCs w:val="20"/>
                <w:color w:val="auto"/>
              </w:rPr>
            </w:pPr>
            <w:r>
              <w:rPr>
                <w:rFonts w:ascii="Arial" w:cs="Arial" w:eastAsia="Arial" w:hAnsi="Arial"/>
                <w:sz w:val="16"/>
                <w:szCs w:val="16"/>
                <w:color w:val="auto"/>
              </w:rPr>
              <w:t>David​</w:t>
            </w:r>
          </w:p>
        </w:tc>
        <w:tc>
          <w:tcPr>
            <w:tcW w:w="2400" w:type="dxa"/>
            <w:vAlign w:val="bottom"/>
            <w:gridSpan w:val="3"/>
          </w:tcPr>
          <w:p>
            <w:pPr>
              <w:ind w:left="20"/>
              <w:spacing w:after="0"/>
              <w:rPr>
                <w:sz w:val="20"/>
                <w:szCs w:val="20"/>
                <w:color w:val="auto"/>
              </w:rPr>
            </w:pPr>
            <w:r>
              <w:rPr>
                <w:rFonts w:ascii="Arial" w:cs="Arial" w:eastAsia="Arial" w:hAnsi="Arial"/>
                <w:sz w:val="16"/>
                <w:szCs w:val="16"/>
                <w:color w:val="auto"/>
              </w:rPr>
              <w:t>P. McGlade</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​2,272​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60" w:type="dxa"/>
            <w:vAlign w:val="bottom"/>
            <w:gridSpan w:val="3"/>
          </w:tcPr>
          <w:p>
            <w:pPr>
              <w:ind w:left="40"/>
              <w:spacing w:after="0"/>
              <w:rPr>
                <w:sz w:val="20"/>
                <w:szCs w:val="20"/>
                <w:color w:val="auto"/>
              </w:rPr>
            </w:pPr>
            <w:r>
              <w:rPr>
                <w:rFonts w:ascii="Arial" w:cs="Arial" w:eastAsia="Arial" w:hAnsi="Arial"/>
                <w:sz w:val="16"/>
                <w:szCs w:val="16"/>
                <w:color w:val="auto"/>
              </w:rPr>
              <w:t>Robert​</w:t>
            </w:r>
          </w:p>
        </w:tc>
        <w:tc>
          <w:tcPr>
            <w:tcW w:w="2320" w:type="dxa"/>
            <w:vAlign w:val="bottom"/>
            <w:gridSpan w:val="2"/>
          </w:tcPr>
          <w:p>
            <w:pPr>
              <w:spacing w:after="0"/>
              <w:rPr>
                <w:sz w:val="20"/>
                <w:szCs w:val="20"/>
                <w:color w:val="auto"/>
              </w:rPr>
            </w:pPr>
            <w:r>
              <w:rPr>
                <w:rFonts w:ascii="Arial" w:cs="Arial" w:eastAsia="Arial" w:hAnsi="Arial"/>
                <w:sz w:val="16"/>
                <w:szCs w:val="16"/>
                <w:color w:val="auto"/>
              </w:rPr>
              <w:t>A. Schriesheim</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​2,272​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80" w:type="dxa"/>
            <w:vAlign w:val="bottom"/>
            <w:gridSpan w:val="5"/>
          </w:tcPr>
          <w:p>
            <w:pPr>
              <w:ind w:left="40"/>
              <w:spacing w:after="0"/>
              <w:rPr>
                <w:sz w:val="20"/>
                <w:szCs w:val="20"/>
                <w:color w:val="auto"/>
              </w:rPr>
            </w:pPr>
            <w:r>
              <w:rPr>
                <w:rFonts w:ascii="Arial" w:cs="Arial" w:eastAsia="Arial" w:hAnsi="Arial"/>
                <w:sz w:val="16"/>
                <w:szCs w:val="16"/>
                <w:color w:val="auto"/>
              </w:rPr>
              <w:t>​Maryann Turcke</w:t>
            </w:r>
          </w:p>
        </w:tc>
        <w:tc>
          <w:tcPr>
            <w:tcW w:w="1460" w:type="dxa"/>
            <w:vAlign w:val="bottom"/>
          </w:tcPr>
          <w:p>
            <w:pPr>
              <w:ind w:left="130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3,656​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140" w:type="dxa"/>
            <w:vAlign w:val="bottom"/>
            <w:shd w:val="clear" w:color="auto" w:fill="BFBFBF"/>
          </w:tcPr>
          <w:p>
            <w:pPr>
              <w:spacing w:after="0" w:line="20" w:lineRule="exact"/>
              <w:rPr>
                <w:sz w:val="1"/>
                <w:szCs w:val="1"/>
                <w:color w:val="auto"/>
              </w:rPr>
            </w:pPr>
          </w:p>
        </w:tc>
        <w:tc>
          <w:tcPr>
            <w:tcW w:w="2180" w:type="dxa"/>
            <w:vAlign w:val="bottom"/>
            <w:shd w:val="clear" w:color="auto" w:fill="BFBFBF"/>
          </w:tcPr>
          <w:p>
            <w:pPr>
              <w:spacing w:after="0" w:line="20" w:lineRule="exact"/>
              <w:rPr>
                <w:sz w:val="1"/>
                <w:szCs w:val="1"/>
                <w:color w:val="auto"/>
              </w:rPr>
            </w:pPr>
          </w:p>
        </w:tc>
        <w:tc>
          <w:tcPr>
            <w:tcW w:w="146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1460" w:type="dxa"/>
            <w:vAlign w:val="bottom"/>
            <w:shd w:val="clear" w:color="auto" w:fill="BFBFBF"/>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-976630</wp:posOffset>
            </wp:positionV>
            <wp:extent cx="4603115" cy="1200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603115" cy="12001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-736600</wp:posOffset>
            </wp:positionV>
            <wp:extent cx="4603115"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603115" cy="12001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-496570</wp:posOffset>
            </wp:positionV>
            <wp:extent cx="4603115" cy="1200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03115" cy="12001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-256540</wp:posOffset>
            </wp:positionV>
            <wp:extent cx="4603115"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03115" cy="120015"/>
                    </a:xfrm>
                    <a:prstGeom prst="rect">
                      <a:avLst/>
                    </a:prstGeom>
                    <a:noFill/>
                  </pic:spPr>
                </pic:pic>
              </a:graphicData>
            </a:graphic>
          </wp:anchor>
        </w:drawing>
      </w:r>
    </w:p>
    <w:p>
      <w:pPr>
        <w:spacing w:after="0" w:line="89" w:lineRule="exact"/>
        <w:rPr>
          <w:sz w:val="20"/>
          <w:szCs w:val="20"/>
          <w:color w:val="auto"/>
        </w:rPr>
      </w:pPr>
    </w:p>
    <w:p>
      <w:pPr>
        <w:jc w:val="both"/>
        <w:ind w:left="1080" w:right="400" w:hanging="354"/>
        <w:spacing w:after="0" w:line="282" w:lineRule="auto"/>
        <w:tabs>
          <w:tab w:leader="none" w:pos="1080"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for each non-employee director elected at the 2024 Annual Meeting (i.e., Mses. King, McBride, and Turcke and Messrs. Batey, Beebe, Guerin, McGlade, and Schriesheim), the grant date fair value of 2,272 RSUs granted on May 14, 2024, computed in accordance with the provisions of ASC 718 using a price of  $99.05 per share.</w:t>
      </w:r>
    </w:p>
    <w:p>
      <w:pPr>
        <w:sectPr>
          <w:pgSz w:w="11900" w:h="16838" w:orient="portrait"/>
          <w:cols w:equalWidth="0" w:num="1">
            <w:col w:w="10100"/>
          </w:cols>
          <w:pgMar w:left="580" w:top="97" w:right="1219" w:bottom="1440" w:gutter="0" w:footer="0" w:header="0"/>
        </w:sectPr>
      </w:pPr>
    </w:p>
    <w:p>
      <w:pPr>
        <w:spacing w:after="0" w:line="48" w:lineRule="exact"/>
        <w:rPr>
          <w:sz w:val="20"/>
          <w:szCs w:val="20"/>
          <w:color w:val="auto"/>
        </w:rPr>
      </w:pPr>
    </w:p>
    <w:p>
      <w:pPr>
        <w:ind w:left="660" w:right="1620"/>
        <w:spacing w:after="0" w:line="295" w:lineRule="auto"/>
        <w:rPr>
          <w:sz w:val="20"/>
          <w:szCs w:val="20"/>
          <w:color w:val="auto"/>
        </w:rPr>
      </w:pPr>
      <w:r>
        <w:rPr>
          <w:rFonts w:ascii="Arial" w:cs="Arial" w:eastAsia="Arial" w:hAnsi="Arial"/>
          <w:sz w:val="23"/>
          <w:szCs w:val="23"/>
          <w:b w:val="1"/>
          <w:bCs w:val="1"/>
          <w:i w:val="1"/>
          <w:iCs w:val="1"/>
          <w:color w:val="auto"/>
        </w:rPr>
        <w:t>Director Stock Ownership Requirements</w:t>
      </w:r>
    </w:p>
    <w:p>
      <w:pPr>
        <w:spacing w:after="0" w:line="21"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$90,000) multiplied by five (5), divided by the fair market value of the Company’s common stock (rounded to the nearest 100 shares). For purposes of the director stock</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non-employee directors have met the stock ownership guidelines as of the date hereof (with the exception of Ms. Turcke, who is not required to comply with the guidelines until the fifth anniversary of her appointment to the Board).</w:t>
      </w:r>
    </w:p>
    <w:p>
      <w:pPr>
        <w:spacing w:after="0" w:line="494"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COMPENSATION COMMITTEE REPORT</w:t>
      </w:r>
    </w:p>
    <w:p>
      <w:pPr>
        <w:spacing w:after="0" w:line="235" w:lineRule="exact"/>
        <w:rPr>
          <w:sz w:val="20"/>
          <w:szCs w:val="20"/>
          <w:color w:val="auto"/>
        </w:rPr>
      </w:pPr>
    </w:p>
    <w:p>
      <w:pPr>
        <w:ind w:left="660" w:right="220"/>
        <w:spacing w:after="0" w:line="264" w:lineRule="auto"/>
        <w:rPr>
          <w:sz w:val="20"/>
          <w:szCs w:val="20"/>
          <w:color w:val="auto"/>
        </w:rPr>
      </w:pPr>
      <w:r>
        <w:rPr>
          <w:rFonts w:ascii="Arial" w:cs="Arial" w:eastAsia="Arial" w:hAnsi="Arial"/>
          <w:sz w:val="20"/>
          <w:szCs w:val="20"/>
          <w:color w:val="auto"/>
        </w:rPr>
        <w:t>The Compensation Committee has reviewed and discussed the Compensation Discussion and Analysis included herein with management, and based on the review and discussions, the Compensation Committee recommended to the Board that the Compensation Discussion and Analysis be included in this Proxy Statement for the 2025 Annual Meeting of Stockholders.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Christine King, Chairman</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Alan S. Batey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0" w:name="page71"/>
    <w:bookmarkEnd w:id="70"/>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4:</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680"/>
        <w:spacing w:after="0" w:line="280" w:lineRule="auto"/>
        <w:rPr>
          <w:sz w:val="20"/>
          <w:szCs w:val="20"/>
          <w:color w:val="auto"/>
        </w:rPr>
      </w:pPr>
      <w:r>
        <w:rPr>
          <w:rFonts w:ascii="Arial" w:cs="Arial" w:eastAsia="Arial" w:hAnsi="Arial"/>
          <w:sz w:val="32"/>
          <w:szCs w:val="32"/>
          <w:b w:val="1"/>
          <w:bCs w:val="1"/>
          <w:color w:val="0075A8"/>
        </w:rPr>
        <w:t>STOCKHOLDER PROPOSAL REGARDING SIMPLE MAJORITY VOTE</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right="320"/>
        <w:spacing w:after="0" w:line="270" w:lineRule="auto"/>
        <w:rPr>
          <w:sz w:val="20"/>
          <w:szCs w:val="20"/>
          <w:color w:val="auto"/>
        </w:rPr>
      </w:pPr>
      <w:r>
        <w:rPr>
          <w:rFonts w:ascii="Arial" w:cs="Arial" w:eastAsia="Arial" w:hAnsi="Arial"/>
          <w:sz w:val="19"/>
          <w:szCs w:val="19"/>
          <w:color w:val="auto"/>
        </w:rPr>
        <w:t>In accordance with SEC rules, we have set forth below a stockholder proposal from Mr. John Chevedden, 2215 Nelson Avenue, No. 205, Redondo Beach, CA 90278. Mr. Chevedden has notified us that he is the beneficial owner of</w:t>
      </w:r>
    </w:p>
    <w:p>
      <w:pPr>
        <w:spacing w:after="0" w:line="4" w:lineRule="exact"/>
        <w:rPr>
          <w:sz w:val="20"/>
          <w:szCs w:val="20"/>
          <w:color w:val="auto"/>
        </w:rPr>
      </w:pPr>
    </w:p>
    <w:p>
      <w:pPr>
        <w:ind w:left="760"/>
        <w:spacing w:after="0" w:line="258" w:lineRule="auto"/>
        <w:rPr>
          <w:sz w:val="20"/>
          <w:szCs w:val="20"/>
          <w:color w:val="auto"/>
        </w:rPr>
      </w:pPr>
      <w:r>
        <w:rPr>
          <w:rFonts w:ascii="Arial" w:cs="Arial" w:eastAsia="Arial" w:hAnsi="Arial"/>
          <w:sz w:val="20"/>
          <w:szCs w:val="20"/>
          <w:color w:val="auto"/>
        </w:rPr>
        <w:t>50 shares of the Company’s common stock and that he intends to present the following proposal at the Annual Meeting. The stockholder proposal will be voted upon at the Annual Meeting if</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properly 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431165</wp:posOffset>
            </wp:positionV>
            <wp:extent cx="59747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675" w:lineRule="exact"/>
        <w:rPr>
          <w:sz w:val="20"/>
          <w:szCs w:val="20"/>
          <w:color w:val="auto"/>
        </w:rPr>
      </w:pPr>
    </w:p>
    <w:p>
      <w:pPr>
        <w:sectPr>
          <w:pgSz w:w="11900" w:h="16838" w:orient="portrait"/>
          <w:cols w:equalWidth="0" w:num="2">
            <w:col w:w="5220" w:space="460"/>
            <w:col w:w="4520"/>
          </w:cols>
          <w:pgMar w:left="480" w:top="97" w:right="1219" w:bottom="1440" w:gutter="0" w:footer="0" w:header="0"/>
          <w:type w:val="continuous"/>
        </w:sectPr>
      </w:pPr>
    </w:p>
    <w:p>
      <w:pPr>
        <w:spacing w:after="0" w:line="253" w:lineRule="exact"/>
        <w:rPr>
          <w:sz w:val="20"/>
          <w:szCs w:val="20"/>
          <w:color w:val="auto"/>
        </w:rPr>
      </w:pPr>
    </w:p>
    <w:p>
      <w:pPr>
        <w:ind w:left="760"/>
        <w:spacing w:after="0" w:line="309" w:lineRule="auto"/>
        <w:rPr>
          <w:sz w:val="20"/>
          <w:szCs w:val="20"/>
          <w:color w:val="auto"/>
        </w:rPr>
      </w:pPr>
      <w:r>
        <w:rPr>
          <w:rFonts w:ascii="Arial" w:cs="Arial" w:eastAsia="Arial" w:hAnsi="Arial"/>
          <w:sz w:val="23"/>
          <w:szCs w:val="23"/>
          <w:b w:val="1"/>
          <w:bCs w:val="1"/>
          <w:color w:val="auto"/>
        </w:rPr>
        <w:t>Proposal 4 — Support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102870</wp:posOffset>
            </wp:positionV>
            <wp:extent cx="1962785" cy="3860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627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60"/>
        <w:spacing w:after="0" w:line="256" w:lineRule="auto"/>
        <w:rPr>
          <w:sz w:val="20"/>
          <w:szCs w:val="20"/>
          <w:color w:val="auto"/>
        </w:rPr>
      </w:pPr>
      <w:r>
        <w:rPr>
          <w:rFonts w:ascii="Arial" w:cs="Arial" w:eastAsia="Arial" w:hAnsi="Arial"/>
          <w:sz w:val="20"/>
          <w:szCs w:val="20"/>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188" w:lineRule="exact"/>
        <w:rPr>
          <w:sz w:val="20"/>
          <w:szCs w:val="20"/>
          <w:color w:val="auto"/>
        </w:rPr>
      </w:pPr>
    </w:p>
    <w:p>
      <w:pPr>
        <w:ind w:left="760" w:right="20"/>
        <w:spacing w:after="0" w:line="256" w:lineRule="auto"/>
        <w:rPr>
          <w:sz w:val="20"/>
          <w:szCs w:val="20"/>
          <w:color w:val="auto"/>
        </w:rPr>
      </w:pPr>
      <w:r>
        <w:rPr>
          <w:rFonts w:ascii="Arial" w:cs="Arial" w:eastAsia="Arial" w:hAnsi="Arial"/>
          <w:sz w:val="20"/>
          <w:szCs w:val="20"/>
          <w:color w:val="auto"/>
        </w:rPr>
        <w:t>Shareholders are willing to pay a premium for shares of companies that have excellent corporate governance. The supermajority voting requirements of Skyworks Solutions have been found to be one of 6 entrenching mechanisms that are negatively related to company performance according to “What Matters in Corporate Governance” by Lucien Bebchuk, Alma Cohen and Allen Ferrell of the Harvard Law School. Supermajority requirements can be used to block initiatives supported by 99% of Skyworks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right="820"/>
        <w:spacing w:after="0" w:line="269" w:lineRule="auto"/>
        <w:rPr>
          <w:sz w:val="20"/>
          <w:szCs w:val="20"/>
          <w:color w:val="auto"/>
        </w:rPr>
      </w:pPr>
      <w:r>
        <w:rPr>
          <w:rFonts w:ascii="Arial" w:cs="Arial" w:eastAsia="Arial" w:hAnsi="Arial"/>
          <w:sz w:val="20"/>
          <w:szCs w:val="20"/>
          <w:color w:val="auto"/>
        </w:rPr>
        <w:t>Solutions shareholders but opposed by the Skyworks Solutions Corporate Governance Committee.</w:t>
      </w:r>
    </w:p>
    <w:p>
      <w:pPr>
        <w:spacing w:after="0" w:line="172"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Skyworks Solutions shareholders have given 99% support to 12 Skyworks Solutions proposals on this topic since 2020. However the corporate governance of Skyworks Solutions is so undemocratic that these 99% votes did not equal 80% of the vote from all shares outstanding which is the undemocratic requirement at Skyworks Solutions.</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The solution to this lack of votes is to adjourn the annual meeting and seek more votes until the 80% requirement is met. The Skyworks Solutions Corporate Governance Committee is potentially derelict in not taking this simple step in response to 12 Skyworks Solutions shareholder votes of 99% approval on this topic since 2020.</w:t>
      </w:r>
    </w:p>
    <w:p>
      <w:pPr>
        <w:spacing w:after="0" w:line="180"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This proposal includes adjourning the annual meeting to seek the small amount of additional required votes needed unless each Skyworks Solutions proposal on this topic has already received the required vote.</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Please vote yes: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Simple Majority Vote — Proposal 4</w:t>
      </w:r>
    </w:p>
    <w:p>
      <w:pPr>
        <w:spacing w:after="0" w:line="850"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113"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Statement by the Board of Directors on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31" w:lineRule="exact"/>
        <w:rPr>
          <w:sz w:val="20"/>
          <w:szCs w:val="20"/>
          <w:color w:val="auto"/>
        </w:rPr>
      </w:pPr>
    </w:p>
    <w:p>
      <w:pPr>
        <w:ind w:left="660" w:right="120"/>
        <w:spacing w:after="0" w:line="278" w:lineRule="auto"/>
        <w:rPr>
          <w:sz w:val="20"/>
          <w:szCs w:val="20"/>
          <w:color w:val="auto"/>
        </w:rPr>
      </w:pPr>
      <w:r>
        <w:rPr>
          <w:rFonts w:ascii="Arial" w:cs="Arial" w:eastAsia="Arial" w:hAnsi="Arial"/>
          <w:sz w:val="19"/>
          <w:szCs w:val="19"/>
          <w:color w:val="auto"/>
        </w:rPr>
        <w:t>Over the past several years, Skyworks and our Board of Directors have taken action to try and eliminate the supermajority voting provisions in our Restated Certificate of Incorporation. The details of our efforts since 2016 are outlined below.</w:t>
      </w:r>
    </w:p>
    <w:p>
      <w:pPr>
        <w:spacing w:after="0" w:line="166" w:lineRule="exact"/>
        <w:rPr>
          <w:sz w:val="20"/>
          <w:szCs w:val="20"/>
          <w:color w:val="auto"/>
        </w:rPr>
      </w:pPr>
    </w:p>
    <w:p>
      <w:pPr>
        <w:ind w:left="660" w:right="40"/>
        <w:spacing w:after="0" w:line="256" w:lineRule="auto"/>
        <w:rPr>
          <w:sz w:val="20"/>
          <w:szCs w:val="20"/>
          <w:color w:val="auto"/>
        </w:rPr>
      </w:pPr>
      <w:r>
        <w:rPr>
          <w:rFonts w:ascii="Arial" w:cs="Arial" w:eastAsia="Arial" w:hAnsi="Arial"/>
          <w:sz w:val="20"/>
          <w:szCs w:val="20"/>
          <w:color w:val="auto"/>
        </w:rPr>
        <w:t>At at the Company’s 2016 Annual Meeting of Stockholders (the “2016 Annual Meeting”), we presented five Company proposals that, if approved by the stockholders, would have removed all existing supermajority voting provisions from our Restated Certificate of Incorporation. Despite the recommendation of the Board in favor of all five proposals, only one of the five proposals (which required the affirmative vote of only two-thirds of the shares of the Company’s outstanding common stock) passed.</w:t>
      </w:r>
    </w:p>
    <w:p>
      <w:pPr>
        <w:spacing w:after="0" w:line="191"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color w:val="auto"/>
        </w:rPr>
        <w:t>After taking into consideration the approval by our stockholders of a stockholder proposal in 2019 requesting that the Board take steps to remove the supermajority provisions in our Restated Certificate of Incorporation, the four proposals that did not pass in 2016 were again presented at the 2020 Annual Meeting of Stockholders (the “2020 Annual Meeting”) for stockholder approval. Despite the recommendation of the Board once again in favor of all four proposals, as well as the Company engaging in enhanced solicitation of stockholder votes for the 2020 Annual Meeting with the goal of increasing the number of shares represented at the meeting, none of the four proposals passed.</w:t>
      </w:r>
    </w:p>
    <w:p>
      <w:pPr>
        <w:spacing w:after="0" w:line="177" w:lineRule="exact"/>
        <w:rPr>
          <w:sz w:val="20"/>
          <w:szCs w:val="20"/>
          <w:color w:val="auto"/>
        </w:rPr>
      </w:pPr>
    </w:p>
    <w:p>
      <w:pPr>
        <w:ind w:left="660" w:right="40"/>
        <w:spacing w:after="0" w:line="270" w:lineRule="auto"/>
        <w:rPr>
          <w:sz w:val="20"/>
          <w:szCs w:val="20"/>
          <w:color w:val="auto"/>
        </w:rPr>
      </w:pPr>
      <w:r>
        <w:rPr>
          <w:rFonts w:ascii="Arial" w:cs="Arial" w:eastAsia="Arial" w:hAnsi="Arial"/>
          <w:sz w:val="19"/>
          <w:szCs w:val="19"/>
          <w:color w:val="auto"/>
        </w:rPr>
        <w:t>After taking into consideration the approval by our stockholders of a stockholder proposal in 2021 requesting that the Board take steps to remove the supermajority provisions in our Restated Certificate of Incorporation, as well as the feedback received from stockholders following the 2021 Annual Meeting, the Board again presented the four proposals that did not pass in 2016 or in 2020 at the 2022 Annual Meeting of Stockholders (the “2022 Annual Meeting”) for stockholder approval. However, despite the recommendation of the Board in favor of all four proposals, as well as the Company again engaging in enhanced solicitation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 w:right="320"/>
        <w:spacing w:after="0" w:line="264" w:lineRule="auto"/>
        <w:rPr>
          <w:sz w:val="20"/>
          <w:szCs w:val="20"/>
          <w:color w:val="auto"/>
        </w:rPr>
      </w:pPr>
      <w:r>
        <w:rPr>
          <w:rFonts w:ascii="Arial" w:cs="Arial" w:eastAsia="Arial" w:hAnsi="Arial"/>
          <w:sz w:val="20"/>
          <w:szCs w:val="20"/>
          <w:color w:val="auto"/>
        </w:rPr>
        <w:t>of stockholder votes for the 2022 Annual Meeting with the goal of increasing the number of shares represented at the meeting, none of the four proposals passed.</w:t>
      </w:r>
    </w:p>
    <w:p>
      <w:pPr>
        <w:spacing w:after="0" w:line="176" w:lineRule="exact"/>
        <w:rPr>
          <w:sz w:val="20"/>
          <w:szCs w:val="20"/>
          <w:color w:val="auto"/>
        </w:rPr>
      </w:pPr>
    </w:p>
    <w:p>
      <w:pPr>
        <w:ind w:left="3" w:right="40"/>
        <w:spacing w:after="0" w:line="255" w:lineRule="auto"/>
        <w:rPr>
          <w:sz w:val="20"/>
          <w:szCs w:val="20"/>
          <w:color w:val="auto"/>
        </w:rPr>
      </w:pPr>
      <w:r>
        <w:rPr>
          <w:rFonts w:ascii="Arial" w:cs="Arial" w:eastAsia="Arial" w:hAnsi="Arial"/>
          <w:sz w:val="20"/>
          <w:szCs w:val="20"/>
          <w:color w:val="auto"/>
        </w:rPr>
        <w:t>After taking into consideration the approval by our stockholders of a stockholder proposal in 2023 requesting that the Board take steps to remove the supermajority provisions in our Restated Certificate of Incorporation, as well as the feedback received from stockholders following the 2023 Annual Meeting, the Board again presented the four proposals that did not pass in 2016, 2020 or 2022 at the 2024 Annual Meeting for stockholder approval. However, despite the recommendation of the Board in favor of all four proposals, as well as the Company again engaging in enhanced solicitation of stockholder votes for the 2024 Annual Meeting with the goal of increasing the number of shares represented at the meeting, none of the four proposals passed.</w:t>
      </w:r>
    </w:p>
    <w:p>
      <w:pPr>
        <w:spacing w:after="0" w:line="194" w:lineRule="exact"/>
        <w:rPr>
          <w:sz w:val="20"/>
          <w:szCs w:val="20"/>
          <w:color w:val="auto"/>
        </w:rPr>
      </w:pPr>
    </w:p>
    <w:p>
      <w:pPr>
        <w:ind w:left="3" w:right="40"/>
        <w:spacing w:after="0" w:line="259" w:lineRule="auto"/>
        <w:rPr>
          <w:sz w:val="20"/>
          <w:szCs w:val="20"/>
          <w:color w:val="auto"/>
        </w:rPr>
      </w:pPr>
      <w:r>
        <w:rPr>
          <w:rFonts w:ascii="Arial" w:cs="Arial" w:eastAsia="Arial" w:hAnsi="Arial"/>
          <w:sz w:val="20"/>
          <w:szCs w:val="20"/>
          <w:color w:val="auto"/>
        </w:rPr>
        <w:t>Specifically, the four proposals that failed to pass at each of the 2016 Annual Meeting, the 2020 Annual Meeting, the 2022 Annual Meeting and the 2024 Annual Meeting were for approval of amendments to our Restated Certificate of Incorporation to eliminate the supermajority voting provisions relating to the following:</w:t>
      </w:r>
    </w:p>
    <w:p>
      <w:pPr>
        <w:spacing w:after="0" w:line="166" w:lineRule="exact"/>
        <w:rPr>
          <w:sz w:val="20"/>
          <w:szCs w:val="20"/>
          <w:color w:val="auto"/>
        </w:rPr>
      </w:pPr>
    </w:p>
    <w:p>
      <w:pPr>
        <w:ind w:left="183" w:right="80" w:hanging="183"/>
        <w:spacing w:after="0" w:line="266" w:lineRule="auto"/>
        <w:tabs>
          <w:tab w:leader="none" w:pos="183" w:val="left"/>
        </w:tabs>
        <w:numPr>
          <w:ilvl w:val="0"/>
          <w:numId w:val="87"/>
        </w:numPr>
        <w:rPr>
          <w:rFonts w:ascii="Arial" w:cs="Arial" w:eastAsia="Arial" w:hAnsi="Arial"/>
          <w:sz w:val="20"/>
          <w:szCs w:val="20"/>
          <w:color w:val="auto"/>
        </w:rPr>
      </w:pPr>
      <w:r>
        <w:rPr>
          <w:rFonts w:ascii="Arial" w:cs="Arial" w:eastAsia="Arial" w:hAnsi="Arial"/>
          <w:sz w:val="20"/>
          <w:szCs w:val="20"/>
          <w:color w:val="auto"/>
        </w:rPr>
        <w:t>Stockholder approval of a merger or consolidation, disposition of all or substantially all of our assets, or issuance of a substantial amount of our securities (requiring the affirmative vote of at least 80% of the shares of the Company’s outstanding common stock);</w:t>
      </w:r>
    </w:p>
    <w:p>
      <w:pPr>
        <w:ind w:left="183" w:right="200" w:hanging="183"/>
        <w:spacing w:after="0" w:line="274" w:lineRule="auto"/>
        <w:tabs>
          <w:tab w:leader="none" w:pos="183" w:val="left"/>
        </w:tabs>
        <w:numPr>
          <w:ilvl w:val="0"/>
          <w:numId w:val="87"/>
        </w:numPr>
        <w:rPr>
          <w:rFonts w:ascii="Arial" w:cs="Arial" w:eastAsia="Arial" w:hAnsi="Arial"/>
          <w:sz w:val="19"/>
          <w:szCs w:val="19"/>
          <w:color w:val="auto"/>
        </w:rPr>
      </w:pPr>
      <w:r>
        <w:rPr>
          <w:rFonts w:ascii="Arial" w:cs="Arial" w:eastAsia="Arial" w:hAnsi="Arial"/>
          <w:sz w:val="19"/>
          <w:szCs w:val="19"/>
          <w:color w:val="auto"/>
        </w:rPr>
        <w:t>Stockholder approval of a business combination with any related person (requiring the affirmative vote of at least 90% of the shares of the Company’s outstanding common stock);</w:t>
      </w:r>
    </w:p>
    <w:p>
      <w:pPr>
        <w:spacing w:after="0" w:line="1" w:lineRule="exact"/>
        <w:rPr>
          <w:rFonts w:ascii="Arial" w:cs="Arial" w:eastAsia="Arial" w:hAnsi="Arial"/>
          <w:sz w:val="19"/>
          <w:szCs w:val="19"/>
          <w:color w:val="auto"/>
        </w:rPr>
      </w:pPr>
    </w:p>
    <w:p>
      <w:pPr>
        <w:ind w:left="183" w:right="140" w:hanging="183"/>
        <w:spacing w:after="0" w:line="264" w:lineRule="auto"/>
        <w:tabs>
          <w:tab w:leader="none" w:pos="183" w:val="left"/>
        </w:tabs>
        <w:numPr>
          <w:ilvl w:val="0"/>
          <w:numId w:val="87"/>
        </w:numPr>
        <w:rPr>
          <w:rFonts w:ascii="Arial" w:cs="Arial" w:eastAsia="Arial" w:hAnsi="Arial"/>
          <w:sz w:val="20"/>
          <w:szCs w:val="20"/>
          <w:color w:val="auto"/>
        </w:rPr>
      </w:pPr>
      <w:r>
        <w:rPr>
          <w:rFonts w:ascii="Arial" w:cs="Arial" w:eastAsia="Arial" w:hAnsi="Arial"/>
          <w:sz w:val="20"/>
          <w:szCs w:val="20"/>
          <w:color w:val="auto"/>
        </w:rPr>
        <w:t>Stockholder amendment of Charter provisions governing directors (requiring the affirmative vote of at least 80% of the shares of the Company’s outstanding common stock); and</w:t>
      </w:r>
    </w:p>
    <w:p>
      <w:pPr>
        <w:jc w:val="both"/>
        <w:ind w:left="183" w:right="340" w:hanging="183"/>
        <w:spacing w:after="0" w:line="308" w:lineRule="auto"/>
        <w:tabs>
          <w:tab w:leader="none" w:pos="183" w:val="left"/>
        </w:tabs>
        <w:numPr>
          <w:ilvl w:val="0"/>
          <w:numId w:val="87"/>
        </w:numPr>
        <w:rPr>
          <w:rFonts w:ascii="Arial" w:cs="Arial" w:eastAsia="Arial" w:hAnsi="Arial"/>
          <w:sz w:val="19"/>
          <w:szCs w:val="19"/>
          <w:color w:val="auto"/>
        </w:rPr>
      </w:pPr>
      <w:r>
        <w:rPr>
          <w:rFonts w:ascii="Arial" w:cs="Arial" w:eastAsia="Arial" w:hAnsi="Arial"/>
          <w:sz w:val="19"/>
          <w:szCs w:val="19"/>
          <w:color w:val="auto"/>
        </w:rPr>
        <w:t>Stockholder amendment of Charter provisions governing action by stockholders (requiring the</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type w:val="continuous"/>
        </w:sectPr>
      </w:pPr>
    </w:p>
    <w:p>
      <w:pPr>
        <w:spacing w:after="0" w:line="113"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840" w:right="180"/>
        <w:spacing w:after="0" w:line="328" w:lineRule="auto"/>
        <w:rPr>
          <w:sz w:val="20"/>
          <w:szCs w:val="20"/>
          <w:color w:val="auto"/>
        </w:rPr>
      </w:pPr>
      <w:r>
        <w:rPr>
          <w:rFonts w:ascii="Arial" w:cs="Arial" w:eastAsia="Arial" w:hAnsi="Arial"/>
          <w:sz w:val="19"/>
          <w:szCs w:val="19"/>
          <w:color w:val="auto"/>
        </w:rPr>
        <w:t>affirmative vote of at least 80% of the shares of the Company’s outstanding common stock).</w:t>
      </w:r>
    </w:p>
    <w:p>
      <w:pPr>
        <w:spacing w:after="0" w:line="132"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As before, we view the advisory vote on the stockholder proposal above as an opportunity for our stockholders to indicate whether there might be sufficient support to pass the four previously failed proposals should they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reintroduced in the future. The Board will again carefully consider the outcome of the vote on this proposal, together with additional investor input received in the course of the Company’s regular stockholder engagement program, in reaching a decision regarding how to proceed.</w:t>
      </w:r>
    </w:p>
    <w:p>
      <w:pPr>
        <w:spacing w:after="0" w:line="680" w:lineRule="exact"/>
        <w:rPr>
          <w:sz w:val="20"/>
          <w:szCs w:val="20"/>
          <w:color w:val="auto"/>
        </w:rPr>
      </w:pPr>
    </w:p>
    <w:p>
      <w:pPr>
        <w:sectPr>
          <w:pgSz w:w="11900" w:h="16838" w:orient="portrait"/>
          <w:cols w:equalWidth="0" w:num="2">
            <w:col w:w="5040" w:space="540"/>
            <w:col w:w="4520"/>
          </w:cols>
          <w:pgMar w:left="580" w:top="97" w:right="1219" w:bottom="1440" w:gutter="0" w:footer="0" w:header="0"/>
        </w:sectPr>
      </w:pPr>
    </w:p>
    <w:tbl>
      <w:tblPr>
        <w:tblLayout w:type="fixed"/>
        <w:tblInd w:w="1570" w:type="dxa"/>
        <w:tblCellMar>
          <w:top w:w="0" w:type="dxa"/>
          <w:left w:w="0" w:type="dxa"/>
          <w:bottom w:w="0" w:type="dxa"/>
          <w:right w:w="0" w:type="dxa"/>
        </w:tblCellMar>
      </w:tblPr>
      <w:tr>
        <w:trPr>
          <w:trHeight w:val="510"/>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b w:val="1"/>
                <w:bCs w:val="1"/>
                <w:i w:val="1"/>
                <w:iCs w:val="1"/>
                <w:color w:val="0075A8"/>
              </w:rPr>
              <w:t>​</w:t>
            </w:r>
          </w:p>
        </w:tc>
        <w:tc>
          <w:tcPr>
            <w:tcW w:w="72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b w:val="1"/>
                <w:bCs w:val="1"/>
                <w:i w:val="1"/>
                <w:iCs w:val="1"/>
                <w:color w:val="0075A8"/>
              </w:rPr>
              <w:t>​​</w:t>
            </w:r>
          </w:p>
        </w:tc>
        <w:tc>
          <w:tcPr>
            <w:tcW w:w="612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MAKES NO RECOMMENDATION</w:t>
            </w:r>
          </w:p>
        </w:tc>
        <w:tc>
          <w:tcPr>
            <w:tcW w:w="220" w:type="dxa"/>
            <w:vAlign w:val="bottom"/>
            <w:tcBorders>
              <w:top w:val="single" w:sz="8" w:color="0075A8"/>
              <w:right w:val="single" w:sz="8" w:color="0075A8"/>
            </w:tcBorders>
            <w:vMerge w:val="restart"/>
          </w:tcPr>
          <w:p>
            <w:pPr>
              <w:ind w:left="80"/>
              <w:spacing w:after="0"/>
              <w:rPr>
                <w:sz w:val="20"/>
                <w:szCs w:val="20"/>
                <w:color w:val="auto"/>
              </w:rPr>
            </w:pPr>
            <w:r>
              <w:rPr>
                <w:rFonts w:ascii="Arial" w:cs="Arial" w:eastAsia="Arial" w:hAnsi="Arial"/>
                <w:sz w:val="18"/>
                <w:szCs w:val="18"/>
                <w:b w:val="1"/>
                <w:bCs w:val="1"/>
                <w:i w:val="1"/>
                <w:iCs w:val="1"/>
                <w:color w:val="0075A8"/>
              </w:rPr>
              <w:t>​</w:t>
            </w:r>
          </w:p>
        </w:tc>
        <w:tc>
          <w:tcPr>
            <w:tcW w:w="0" w:type="dxa"/>
            <w:vAlign w:val="bottom"/>
          </w:tcPr>
          <w:p>
            <w:pPr>
              <w:spacing w:after="0"/>
              <w:rPr>
                <w:sz w:val="1"/>
                <w:szCs w:val="1"/>
                <w:color w:val="auto"/>
              </w:rPr>
            </w:pPr>
          </w:p>
        </w:tc>
      </w:tr>
      <w:tr>
        <w:trPr>
          <w:trHeight w:val="245"/>
        </w:trPr>
        <w:tc>
          <w:tcPr>
            <w:tcW w:w="560" w:type="dxa"/>
            <w:vAlign w:val="bottom"/>
            <w:tcBorders>
              <w:left w:val="single" w:sz="8" w:color="0075A8"/>
            </w:tcBorders>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i w:val="1"/>
                <w:iCs w:val="1"/>
                <w:color w:val="0075A8"/>
                <w:w w:val="98"/>
              </w:rPr>
              <w:t>REGARDING HOW STOCKHOLDERS SHOULD VOTE ON PROPOSAL 4</w:t>
            </w:r>
          </w:p>
        </w:tc>
        <w:tc>
          <w:tcPr>
            <w:tcW w:w="220" w:type="dxa"/>
            <w:vAlign w:val="bottom"/>
            <w:tcBorders>
              <w:right w:val="single" w:sz="8" w:color="0075A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60" w:type="dxa"/>
            <w:vAlign w:val="bottom"/>
            <w:tcBorders>
              <w:left w:val="single" w:sz="8" w:color="0075A8"/>
              <w:bottom w:val="single" w:sz="8" w:color="0075A8"/>
            </w:tcBorders>
          </w:tcPr>
          <w:p>
            <w:pPr>
              <w:spacing w:after="0"/>
              <w:rPr>
                <w:sz w:val="22"/>
                <w:szCs w:val="22"/>
                <w:color w:val="auto"/>
              </w:rPr>
            </w:pPr>
          </w:p>
        </w:tc>
        <w:tc>
          <w:tcPr>
            <w:tcW w:w="720" w:type="dxa"/>
            <w:vAlign w:val="bottom"/>
            <w:tcBorders>
              <w:bottom w:val="single" w:sz="8" w:color="0075A8"/>
            </w:tcBorders>
          </w:tcPr>
          <w:p>
            <w:pPr>
              <w:spacing w:after="0"/>
              <w:rPr>
                <w:sz w:val="22"/>
                <w:szCs w:val="22"/>
                <w:color w:val="auto"/>
              </w:rPr>
            </w:pPr>
          </w:p>
        </w:tc>
        <w:tc>
          <w:tcPr>
            <w:tcW w:w="6120" w:type="dxa"/>
            <w:vAlign w:val="bottom"/>
            <w:tcBorders>
              <w:bottom w:val="single" w:sz="8" w:color="0075A8"/>
            </w:tcBorders>
          </w:tcPr>
          <w:p>
            <w:pPr>
              <w:spacing w:after="0"/>
              <w:rPr>
                <w:sz w:val="22"/>
                <w:szCs w:val="22"/>
                <w:color w:val="auto"/>
              </w:rPr>
            </w:pPr>
          </w:p>
        </w:tc>
        <w:tc>
          <w:tcPr>
            <w:tcW w:w="220" w:type="dxa"/>
            <w:vAlign w:val="bottom"/>
            <w:tcBorders>
              <w:bottom w:val="single" w:sz="8" w:color="0075A8"/>
              <w:right w:val="single" w:sz="8" w:color="0075A8"/>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-574040</wp:posOffset>
            </wp:positionV>
            <wp:extent cx="514350" cy="4883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3" w:name="page74"/>
    <w:bookmarkEnd w:id="73"/>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5:</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220"/>
        <w:spacing w:after="0" w:line="280" w:lineRule="auto"/>
        <w:rPr>
          <w:sz w:val="20"/>
          <w:szCs w:val="20"/>
          <w:color w:val="auto"/>
        </w:rPr>
      </w:pPr>
      <w:r>
        <w:rPr>
          <w:rFonts w:ascii="Arial" w:cs="Arial" w:eastAsia="Arial" w:hAnsi="Arial"/>
          <w:sz w:val="32"/>
          <w:szCs w:val="32"/>
          <w:b w:val="1"/>
          <w:bCs w:val="1"/>
          <w:color w:val="0075A8"/>
        </w:rPr>
        <w:t>STOCKHOLDER PROPOSAL REGARDING DISCLOSURE OF SCOPE 3 GREENHOUSE GAS EMISSIONS</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9" w:lineRule="auto"/>
        <w:rPr>
          <w:sz w:val="20"/>
          <w:szCs w:val="20"/>
          <w:color w:val="auto"/>
        </w:rPr>
      </w:pPr>
      <w:r>
        <w:rPr>
          <w:rFonts w:ascii="Arial" w:cs="Arial" w:eastAsia="Arial" w:hAnsi="Arial"/>
          <w:sz w:val="20"/>
          <w:szCs w:val="20"/>
          <w:color w:val="auto"/>
        </w:rPr>
        <w:t>In accordance with SEC rules, we have set forth below a stockholder proposal from Green Century Funds, 114 State Street, Boston, MA 02109. Representatives from Green Century Funds have notified us that the entity is the beneficial owner of at least $25,000 worth of shares of the Company’s common stock and that they intend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127635</wp:posOffset>
            </wp:positionV>
            <wp:extent cx="59747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 following proposal at the Annual Meeting. The stockholder proposal will be voted upon at the Annual Meeting if properly presented. The Company assumes no responsibility for the content or accuracy of the text of the stockholder’s resolution or the statement, which appears below exactly as submitted.</w:t>
      </w:r>
    </w:p>
    <w:p>
      <w:pPr>
        <w:spacing w:after="0" w:line="200"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25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Disclose Greenhouse Gas Emissions</w:t>
      </w:r>
    </w:p>
    <w:p>
      <w:pPr>
        <w:spacing w:after="0" w:line="143" w:lineRule="exact"/>
        <w:rPr>
          <w:sz w:val="20"/>
          <w:szCs w:val="20"/>
          <w:color w:val="auto"/>
        </w:rPr>
      </w:pPr>
    </w:p>
    <w:p>
      <w:pPr>
        <w:ind w:left="760" w:right="80"/>
        <w:spacing w:after="0" w:line="21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1°C of temperature rise will reduce</w:t>
      </w:r>
      <w:r>
        <w:rPr>
          <w:rFonts w:ascii="Arial" w:cs="Arial" w:eastAsia="Arial" w:hAnsi="Arial"/>
          <w:sz w:val="20"/>
          <w:szCs w:val="20"/>
          <w:b w:val="1"/>
          <w:bCs w:val="1"/>
          <w:color w:val="auto"/>
        </w:rPr>
        <w:t xml:space="preserve"> </w:t>
      </w:r>
      <w:r>
        <w:rPr>
          <w:rFonts w:ascii="Arial" w:cs="Arial" w:eastAsia="Arial" w:hAnsi="Arial"/>
          <w:sz w:val="20"/>
          <w:szCs w:val="20"/>
          <w:color w:val="auto"/>
        </w:rPr>
        <w:t>global GDP by as much as 12%.</w:t>
      </w:r>
      <w:r>
        <w:rPr>
          <w:rFonts w:ascii="Arial" w:cs="Arial" w:eastAsia="Arial" w:hAnsi="Arial"/>
          <w:sz w:val="30"/>
          <w:szCs w:val="30"/>
          <w:color w:val="auto"/>
          <w:vertAlign w:val="superscript"/>
        </w:rPr>
        <w:t>(1)</w:t>
      </w:r>
      <w:r>
        <w:rPr>
          <w:rFonts w:ascii="Arial" w:cs="Arial" w:eastAsia="Arial" w:hAnsi="Arial"/>
          <w:sz w:val="20"/>
          <w:szCs w:val="20"/>
          <w:color w:val="auto"/>
        </w:rPr>
        <w:t xml:space="preserve"> The</w:t>
      </w:r>
    </w:p>
    <w:p>
      <w:pPr>
        <w:spacing w:after="0" w:line="2" w:lineRule="exact"/>
        <w:rPr>
          <w:sz w:val="20"/>
          <w:szCs w:val="20"/>
          <w:color w:val="auto"/>
        </w:rPr>
      </w:pPr>
    </w:p>
    <w:p>
      <w:pPr>
        <w:ind w:left="760"/>
        <w:spacing w:after="0" w:line="266" w:lineRule="auto"/>
        <w:rPr>
          <w:sz w:val="20"/>
          <w:szCs w:val="20"/>
          <w:color w:val="auto"/>
        </w:rPr>
      </w:pPr>
      <w:r>
        <w:rPr>
          <w:rFonts w:ascii="Arial" w:cs="Arial" w:eastAsia="Arial" w:hAnsi="Arial"/>
          <w:sz w:val="19"/>
          <w:szCs w:val="19"/>
          <w:color w:val="auto"/>
        </w:rPr>
        <w:t>Intergovernmental Panel on Climate Change (IPCC) advises that greenhouse gas (GHG) emissions must reach net zero by 2050 to avoid exceeding 2°C of warming. Nevertheless, semiconductor industry emissions are forecasted to overshoot a 1.5°C</w:t>
      </w:r>
    </w:p>
    <w:p>
      <w:pPr>
        <w:spacing w:after="0" w:line="4" w:lineRule="exact"/>
        <w:rPr>
          <w:sz w:val="20"/>
          <w:szCs w:val="20"/>
          <w:color w:val="auto"/>
        </w:rPr>
      </w:pPr>
    </w:p>
    <w:p>
      <w:pPr>
        <w:ind w:left="760" w:right="320"/>
        <w:spacing w:after="0" w:line="255" w:lineRule="auto"/>
        <w:rPr>
          <w:sz w:val="20"/>
          <w:szCs w:val="20"/>
          <w:color w:val="auto"/>
        </w:rPr>
      </w:pPr>
      <w:r>
        <w:rPr>
          <w:rFonts w:ascii="Arial" w:cs="Arial" w:eastAsia="Arial" w:hAnsi="Arial"/>
          <w:sz w:val="20"/>
          <w:szCs w:val="20"/>
          <w:color w:val="auto"/>
        </w:rPr>
        <w:t>pathway by 3.5 times and fall short of net-zero in 2050.</w:t>
      </w:r>
      <w:r>
        <w:rPr>
          <w:rFonts w:ascii="Arial" w:cs="Arial" w:eastAsia="Arial" w:hAnsi="Arial"/>
          <w:sz w:val="30"/>
          <w:szCs w:val="30"/>
          <w:color w:val="auto"/>
          <w:vertAlign w:val="superscript"/>
        </w:rPr>
        <w:t>(2)</w:t>
      </w:r>
    </w:p>
    <w:p>
      <w:pPr>
        <w:spacing w:after="0" w:line="87" w:lineRule="exact"/>
        <w:rPr>
          <w:sz w:val="20"/>
          <w:szCs w:val="20"/>
          <w:color w:val="auto"/>
        </w:rPr>
      </w:pPr>
    </w:p>
    <w:p>
      <w:pPr>
        <w:ind w:left="760" w:right="20"/>
        <w:spacing w:after="0" w:line="261" w:lineRule="auto"/>
        <w:rPr>
          <w:sz w:val="20"/>
          <w:szCs w:val="20"/>
          <w:color w:val="auto"/>
        </w:rPr>
      </w:pPr>
      <w:r>
        <w:rPr>
          <w:rFonts w:ascii="Arial" w:cs="Arial" w:eastAsia="Arial" w:hAnsi="Arial"/>
          <w:sz w:val="20"/>
          <w:szCs w:val="20"/>
          <w:color w:val="auto"/>
        </w:rPr>
        <w:t>In its 10-K, Skyworks acknowledges the risks of “severe weather events, including, but not limited to, earthquakes, wildfires, droughts, hurricanes, tsunamis, rising sea levels, as well as other impacts of climate change.”</w:t>
      </w:r>
    </w:p>
    <w:p>
      <w:pPr>
        <w:spacing w:after="0" w:line="180" w:lineRule="exact"/>
        <w:rPr>
          <w:sz w:val="20"/>
          <w:szCs w:val="20"/>
          <w:color w:val="auto"/>
        </w:rPr>
      </w:pPr>
    </w:p>
    <w:p>
      <w:pPr>
        <w:ind w:left="760" w:right="80"/>
        <w:spacing w:after="0" w:line="260" w:lineRule="auto"/>
        <w:rPr>
          <w:sz w:val="20"/>
          <w:szCs w:val="20"/>
          <w:color w:val="auto"/>
        </w:rPr>
      </w:pPr>
      <w:r>
        <w:rPr>
          <w:rFonts w:ascii="Arial" w:cs="Arial" w:eastAsia="Arial" w:hAnsi="Arial"/>
          <w:sz w:val="19"/>
          <w:szCs w:val="19"/>
          <w:color w:val="auto"/>
        </w:rPr>
        <w:t>Skyworks discloses Scope 1 and 2 emissions from operations and electricity purchases. Yet, Scope 3 emissions across the value chain account for over 80% of the semiconductor industry’s GHG footprint.</w:t>
      </w:r>
    </w:p>
    <w:p>
      <w:pPr>
        <w:spacing w:after="0" w:line="25" w:lineRule="exact"/>
        <w:rPr>
          <w:sz w:val="20"/>
          <w:szCs w:val="20"/>
          <w:color w:val="auto"/>
        </w:rPr>
      </w:pPr>
    </w:p>
    <w:p>
      <w:pPr>
        <w:ind w:left="760" w:right="160" w:hanging="6"/>
        <w:spacing w:after="0" w:line="245" w:lineRule="auto"/>
        <w:tabs>
          <w:tab w:leader="none" w:pos="995" w:val="left"/>
        </w:tabs>
        <w:numPr>
          <w:ilvl w:val="0"/>
          <w:numId w:val="88"/>
        </w:numPr>
        <w:rPr>
          <w:rFonts w:ascii="Arial" w:cs="Arial" w:eastAsia="Arial" w:hAnsi="Arial"/>
          <w:sz w:val="29"/>
          <w:szCs w:val="29"/>
          <w:color w:val="auto"/>
          <w:vertAlign w:val="superscript"/>
        </w:rPr>
      </w:pPr>
      <w:r>
        <w:rPr>
          <w:rFonts w:ascii="Arial" w:cs="Arial" w:eastAsia="Arial" w:hAnsi="Arial"/>
          <w:sz w:val="19"/>
          <w:szCs w:val="19"/>
          <w:color w:val="auto"/>
        </w:rPr>
        <w:t>Its peer NXP Semiconductors found that the categories use of sold products, purchased goods and services, and capital goods comprised 98% of total Scope 3 emissions.</w:t>
      </w:r>
      <w:r>
        <w:rPr>
          <w:rFonts w:ascii="Arial" w:cs="Arial" w:eastAsia="Arial" w:hAnsi="Arial"/>
          <w:sz w:val="28"/>
          <w:szCs w:val="2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368300</wp:posOffset>
            </wp:positionV>
            <wp:extent cx="12344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3" w:right="140"/>
        <w:spacing w:after="0" w:line="257" w:lineRule="auto"/>
        <w:rPr>
          <w:sz w:val="20"/>
          <w:szCs w:val="20"/>
          <w:color w:val="auto"/>
        </w:rPr>
      </w:pPr>
      <w:r>
        <w:rPr>
          <w:rFonts w:ascii="Arial" w:cs="Arial" w:eastAsia="Arial" w:hAnsi="Arial"/>
          <w:sz w:val="19"/>
          <w:szCs w:val="19"/>
          <w:color w:val="auto"/>
        </w:rPr>
        <w:t>While Skyworks performed an initial Scope 3 emissions inventory, it only discloses emissions from the business travel category, which accounts for under 20% of a semiconductor company’s total Scope 3 emissions.</w:t>
      </w:r>
      <w:r>
        <w:rPr>
          <w:rFonts w:ascii="Arial" w:cs="Arial" w:eastAsia="Arial" w:hAnsi="Arial"/>
          <w:sz w:val="29"/>
          <w:szCs w:val="29"/>
          <w:color w:val="auto"/>
          <w:vertAlign w:val="superscript"/>
        </w:rPr>
        <w:t>(5)</w:t>
      </w:r>
      <w:r>
        <w:rPr>
          <w:rFonts w:ascii="Arial" w:cs="Arial" w:eastAsia="Arial" w:hAnsi="Arial"/>
          <w:sz w:val="19"/>
          <w:szCs w:val="19"/>
          <w:color w:val="auto"/>
        </w:rPr>
        <w:t xml:space="preserve"> Without data for the majority of Skyworks’ emissions, investors are left uncertain about the extent to which Skyworks is exposed to the climate risks outlined in its 10-K and the level of action required to mitigate them.</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20"/>
          <w:szCs w:val="20"/>
          <w:color w:val="auto"/>
        </w:rPr>
        <w:t>Failure to disclose Scope 3 emissions exposes</w:t>
      </w:r>
    </w:p>
    <w:p>
      <w:pPr>
        <w:spacing w:after="0" w:line="31" w:lineRule="exact"/>
        <w:rPr>
          <w:sz w:val="20"/>
          <w:szCs w:val="20"/>
          <w:color w:val="auto"/>
        </w:rPr>
      </w:pPr>
    </w:p>
    <w:p>
      <w:pPr>
        <w:ind w:left="3"/>
        <w:spacing w:after="0"/>
        <w:rPr>
          <w:sz w:val="20"/>
          <w:szCs w:val="20"/>
          <w:color w:val="auto"/>
        </w:rPr>
      </w:pPr>
      <w:r>
        <w:rPr>
          <w:rFonts w:ascii="Arial" w:cs="Arial" w:eastAsia="Arial" w:hAnsi="Arial"/>
          <w:sz w:val="20"/>
          <w:szCs w:val="20"/>
          <w:color w:val="auto"/>
        </w:rPr>
        <w:t>Skyworks to further material risks:</w:t>
      </w:r>
    </w:p>
    <w:p>
      <w:pPr>
        <w:spacing w:after="0" w:line="209" w:lineRule="exact"/>
        <w:rPr>
          <w:sz w:val="20"/>
          <w:szCs w:val="20"/>
          <w:color w:val="auto"/>
        </w:rPr>
      </w:pPr>
    </w:p>
    <w:p>
      <w:pPr>
        <w:ind w:left="183" w:right="260" w:hanging="183"/>
        <w:spacing w:after="0" w:line="279" w:lineRule="auto"/>
        <w:tabs>
          <w:tab w:leader="none" w:pos="183"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 xml:space="preserve">Regulatory risk: </w:t>
      </w:r>
      <w:r>
        <w:rPr>
          <w:rFonts w:ascii="Arial" w:cs="Arial" w:eastAsia="Arial" w:hAnsi="Arial"/>
          <w:sz w:val="19"/>
          <w:szCs w:val="19"/>
          <w:color w:val="auto"/>
        </w:rPr>
        <w:t>Forthcoming regulations from</w:t>
      </w:r>
      <w:r>
        <w:rPr>
          <w:rFonts w:ascii="Arial" w:cs="Arial" w:eastAsia="Arial" w:hAnsi="Arial"/>
          <w:sz w:val="19"/>
          <w:szCs w:val="19"/>
          <w:b w:val="1"/>
          <w:bCs w:val="1"/>
          <w:color w:val="auto"/>
        </w:rPr>
        <w:t xml:space="preserve"> </w:t>
      </w:r>
      <w:r>
        <w:rPr>
          <w:rFonts w:ascii="Arial" w:cs="Arial" w:eastAsia="Arial" w:hAnsi="Arial"/>
          <w:sz w:val="19"/>
          <w:szCs w:val="19"/>
          <w:color w:val="auto"/>
        </w:rPr>
        <w:t>California and the European Union require Skyworks to disclose Scope 3 emissions.</w:t>
      </w:r>
    </w:p>
    <w:p>
      <w:pPr>
        <w:ind w:left="183" w:right="40" w:hanging="183"/>
        <w:spacing w:after="0" w:line="247" w:lineRule="auto"/>
        <w:tabs>
          <w:tab w:leader="none" w:pos="183"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 xml:space="preserve">Market access loss: </w:t>
      </w:r>
      <w:r>
        <w:rPr>
          <w:rFonts w:ascii="Arial" w:cs="Arial" w:eastAsia="Arial" w:hAnsi="Arial"/>
          <w:sz w:val="20"/>
          <w:szCs w:val="20"/>
          <w:color w:val="auto"/>
        </w:rPr>
        <w:t>Skyworks may not meet the</w:t>
      </w:r>
      <w:r>
        <w:rPr>
          <w:rFonts w:ascii="Arial" w:cs="Arial" w:eastAsia="Arial" w:hAnsi="Arial"/>
          <w:sz w:val="20"/>
          <w:szCs w:val="20"/>
          <w:b w:val="1"/>
          <w:bCs w:val="1"/>
          <w:color w:val="auto"/>
        </w:rPr>
        <w:t xml:space="preserve"> </w:t>
      </w:r>
      <w:r>
        <w:rPr>
          <w:rFonts w:ascii="Arial" w:cs="Arial" w:eastAsia="Arial" w:hAnsi="Arial"/>
          <w:sz w:val="20"/>
          <w:szCs w:val="20"/>
          <w:color w:val="auto"/>
        </w:rPr>
        <w:t>climate mitigation expectations of major customers. In Skyworks’10-K, Apple accounted for 66% of net revenue in 2023. Given Apple’s 2030 carbon neutrality commitment, Skyworks’ current policies appear incompatible with the climate mitigation goal of a major purchaser.</w:t>
      </w:r>
      <w:r>
        <w:rPr>
          <w:rFonts w:ascii="Arial" w:cs="Arial" w:eastAsia="Arial" w:hAnsi="Arial"/>
          <w:sz w:val="30"/>
          <w:szCs w:val="30"/>
          <w:color w:val="auto"/>
          <w:vertAlign w:val="superscript"/>
        </w:rPr>
        <w:t>(6)</w:t>
      </w:r>
    </w:p>
    <w:p>
      <w:pPr>
        <w:spacing w:after="0" w:line="6" w:lineRule="exact"/>
        <w:rPr>
          <w:rFonts w:ascii="Arial" w:cs="Arial" w:eastAsia="Arial" w:hAnsi="Arial"/>
          <w:sz w:val="20"/>
          <w:szCs w:val="20"/>
          <w:color w:val="auto"/>
        </w:rPr>
      </w:pPr>
    </w:p>
    <w:p>
      <w:pPr>
        <w:ind w:left="183" w:right="180" w:hanging="183"/>
        <w:spacing w:after="0" w:line="285" w:lineRule="auto"/>
        <w:tabs>
          <w:tab w:leader="none" w:pos="183"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 xml:space="preserve">Competitive risk: </w:t>
      </w:r>
      <w:r>
        <w:rPr>
          <w:rFonts w:ascii="Arial" w:cs="Arial" w:eastAsia="Arial" w:hAnsi="Arial"/>
          <w:sz w:val="19"/>
          <w:szCs w:val="19"/>
          <w:color w:val="auto"/>
        </w:rPr>
        <w:t>Skyworks lags industry peers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Analog Devices, Applied Materials Inc., Qualcomm, NXP Semiconductors, and Murata Manufacturing in disclosing Scope 3</w:t>
      </w:r>
    </w:p>
    <w:p>
      <w:pPr>
        <w:spacing w:after="0" w:line="200" w:lineRule="exact"/>
        <w:rPr>
          <w:sz w:val="20"/>
          <w:szCs w:val="20"/>
          <w:color w:val="auto"/>
        </w:rPr>
      </w:pPr>
    </w:p>
    <w:p>
      <w:pPr>
        <w:sectPr>
          <w:pgSz w:w="11900" w:h="16838" w:orient="portrait"/>
          <w:cols w:equalWidth="0" w:num="2">
            <w:col w:w="5240" w:space="437"/>
            <w:col w:w="4523"/>
          </w:cols>
          <w:pgMar w:left="480" w:top="97" w:right="1219" w:bottom="1440" w:gutter="0" w:footer="0" w:header="0"/>
          <w:type w:val="continuous"/>
        </w:sectPr>
      </w:pPr>
    </w:p>
    <w:p>
      <w:pPr>
        <w:spacing w:after="0" w:line="104" w:lineRule="exact"/>
        <w:rPr>
          <w:sz w:val="20"/>
          <w:szCs w:val="20"/>
          <w:color w:val="auto"/>
        </w:rPr>
      </w:pPr>
    </w:p>
    <w:p>
      <w:pPr>
        <w:ind w:left="1180" w:hanging="354"/>
        <w:spacing w:after="0"/>
        <w:tabs>
          <w:tab w:leader="none" w:pos="11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https://www.weforum.org/agenda/2024/06/nature-climate-news-global-warming-hurricanes/</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https://www.bcg.com/publications/2023/a-plan-to-reduce-semiconductor-emissions</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https://www.bcg.com/publications/2023/a-plan-to-reduce-semiconductor-emissions</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https://www.nxp.com/company/about-nxp/sustainability-and-esg/environment-health-and- safety/emissions:EMISSIONS</w:t>
      </w:r>
    </w:p>
    <w:p>
      <w:pPr>
        <w:spacing w:after="0" w:line="32" w:lineRule="exact"/>
        <w:rPr>
          <w:rFonts w:ascii="Arial" w:cs="Arial" w:eastAsia="Arial" w:hAnsi="Arial"/>
          <w:sz w:val="16"/>
          <w:szCs w:val="16"/>
          <w:i w:val="1"/>
          <w:iCs w:val="1"/>
          <w:color w:val="auto"/>
        </w:rPr>
      </w:pPr>
    </w:p>
    <w:p>
      <w:pPr>
        <w:ind w:left="1180" w:right="380" w:hanging="354"/>
        <w:spacing w:after="0" w:line="272" w:lineRule="auto"/>
        <w:tabs>
          <w:tab w:leader="none" w:pos="11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https://www.mckinsey.com/industries/semiconductors/our-insights/sustainability-in-semiconductor-operations-toward-net-zero-production</w:t>
      </w:r>
    </w:p>
    <w:p>
      <w:pPr>
        <w:spacing w:after="0" w:line="1" w:lineRule="exact"/>
        <w:rPr>
          <w:rFonts w:ascii="Arial" w:cs="Arial" w:eastAsia="Arial" w:hAnsi="Arial"/>
          <w:sz w:val="16"/>
          <w:szCs w:val="16"/>
          <w:i w:val="1"/>
          <w:iCs w:val="1"/>
          <w:color w:val="auto"/>
        </w:rPr>
      </w:pPr>
    </w:p>
    <w:p>
      <w:pPr>
        <w:ind w:left="1180" w:hanging="354"/>
        <w:spacing w:after="0"/>
        <w:tabs>
          <w:tab w:leader="none" w:pos="11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https://www.apple.com/newsroom/2023/09/apple-unveils-its-first-carbon-neutral-products/</w:t>
      </w:r>
    </w:p>
    <w:p>
      <w:pPr>
        <w:spacing w:after="0" w:line="294"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840" w:right="100"/>
        <w:spacing w:after="0" w:line="283" w:lineRule="auto"/>
        <w:rPr>
          <w:sz w:val="20"/>
          <w:szCs w:val="20"/>
          <w:color w:val="auto"/>
        </w:rPr>
      </w:pPr>
      <w:r>
        <w:rPr>
          <w:rFonts w:ascii="Arial" w:cs="Arial" w:eastAsia="Arial" w:hAnsi="Arial"/>
          <w:sz w:val="20"/>
          <w:szCs w:val="20"/>
          <w:color w:val="auto"/>
        </w:rPr>
        <w:t>emissions and implementing initiatives to reduce emissions from the largest Scope 3 emission categories.</w:t>
      </w:r>
    </w:p>
    <w:p>
      <w:pPr>
        <w:spacing w:after="0" w:line="158"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Skyworks’ GHG emissions disclosures are inadequately aligned with investor expectations for climate mitigation and the ambition necessary to respond to the financial, competitive, and regulatory risks of climate change.</w:t>
      </w:r>
    </w:p>
    <w:p>
      <w:pPr>
        <w:spacing w:after="0" w:line="178" w:lineRule="exact"/>
        <w:rPr>
          <w:sz w:val="20"/>
          <w:szCs w:val="20"/>
          <w:color w:val="auto"/>
        </w:rPr>
      </w:pPr>
    </w:p>
    <w:p>
      <w:pPr>
        <w:ind w:left="660" w:right="220"/>
        <w:spacing w:after="0" w:line="270" w:lineRule="auto"/>
        <w:rPr>
          <w:sz w:val="20"/>
          <w:szCs w:val="20"/>
          <w:color w:val="auto"/>
        </w:rPr>
      </w:pPr>
      <w:r>
        <w:rPr>
          <w:rFonts w:ascii="Arial" w:cs="Arial" w:eastAsia="Arial" w:hAnsi="Arial"/>
          <w:sz w:val="20"/>
          <w:szCs w:val="20"/>
          <w:b w:val="1"/>
          <w:bCs w:val="1"/>
          <w:u w:val="single" w:color="auto"/>
          <w:color w:val="auto"/>
        </w:rPr>
        <w:t>Resolved</w:t>
      </w:r>
      <w:r>
        <w:rPr>
          <w:rFonts w:ascii="Arial" w:cs="Arial" w:eastAsia="Arial" w:hAnsi="Arial"/>
          <w:sz w:val="20"/>
          <w:szCs w:val="20"/>
          <w:color w:val="auto"/>
        </w:rPr>
        <w:t>: Shareholders request that Skyworks</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 all material Scope 3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5257165</wp:posOffset>
            </wp:positionV>
            <wp:extent cx="12344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 w:right="60"/>
        <w:spacing w:after="0" w:line="273" w:lineRule="auto"/>
        <w:rPr>
          <w:sz w:val="20"/>
          <w:szCs w:val="20"/>
          <w:color w:val="auto"/>
        </w:rPr>
      </w:pPr>
      <w:r>
        <w:rPr>
          <w:rFonts w:ascii="Arial" w:cs="Arial" w:eastAsia="Arial" w:hAnsi="Arial"/>
          <w:sz w:val="19"/>
          <w:szCs w:val="19"/>
          <w:b w:val="1"/>
          <w:bCs w:val="1"/>
          <w:color w:val="auto"/>
        </w:rPr>
        <w:t xml:space="preserve">SUPPORTING STATEMENT: </w:t>
      </w:r>
      <w:r>
        <w:rPr>
          <w:rFonts w:ascii="Arial" w:cs="Arial" w:eastAsia="Arial" w:hAnsi="Arial"/>
          <w:sz w:val="19"/>
          <w:szCs w:val="19"/>
          <w:color w:val="auto"/>
        </w:rPr>
        <w:t>In assessing</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materiality of a potential Scope 3 disclosure, proponents believe the company should examine whether a shareholder may reasonably consider the information important when making an investment or voting decision. Proponents recommend, at the board and management’s discretion, that disclosures include consideration of:</w:t>
      </w:r>
    </w:p>
    <w:p>
      <w:pPr>
        <w:spacing w:after="0" w:line="174" w:lineRule="exact"/>
        <w:rPr>
          <w:sz w:val="20"/>
          <w:szCs w:val="20"/>
          <w:color w:val="auto"/>
        </w:rPr>
      </w:pPr>
    </w:p>
    <w:p>
      <w:pPr>
        <w:ind w:left="183" w:right="140" w:hanging="183"/>
        <w:spacing w:after="0" w:line="234" w:lineRule="auto"/>
        <w:tabs>
          <w:tab w:leader="none" w:pos="183" w:val="left"/>
        </w:tabs>
        <w:numPr>
          <w:ilvl w:val="0"/>
          <w:numId w:val="91"/>
        </w:numPr>
        <w:rPr>
          <w:rFonts w:ascii="Arial" w:cs="Arial" w:eastAsia="Arial" w:hAnsi="Arial"/>
          <w:sz w:val="20"/>
          <w:szCs w:val="20"/>
          <w:color w:val="auto"/>
        </w:rPr>
      </w:pPr>
      <w:r>
        <w:rPr>
          <w:rFonts w:ascii="Arial" w:cs="Arial" w:eastAsia="Arial" w:hAnsi="Arial"/>
          <w:sz w:val="20"/>
          <w:szCs w:val="20"/>
          <w:color w:val="auto"/>
        </w:rPr>
        <w:t>Guidance in the GHG Protocol’s Corporate Value Chain (Scope 3) Accounting and Reporting Standard;</w:t>
      </w:r>
      <w:r>
        <w:rPr>
          <w:rFonts w:ascii="Arial" w:cs="Arial" w:eastAsia="Arial" w:hAnsi="Arial"/>
          <w:sz w:val="30"/>
          <w:szCs w:val="30"/>
          <w:color w:val="auto"/>
          <w:vertAlign w:val="superscript"/>
        </w:rPr>
        <w:t>(7)</w:t>
      </w:r>
    </w:p>
    <w:p>
      <w:pPr>
        <w:spacing w:after="0" w:line="2" w:lineRule="exact"/>
        <w:rPr>
          <w:rFonts w:ascii="Arial" w:cs="Arial" w:eastAsia="Arial" w:hAnsi="Arial"/>
          <w:sz w:val="20"/>
          <w:szCs w:val="20"/>
          <w:color w:val="auto"/>
        </w:rPr>
      </w:pPr>
    </w:p>
    <w:p>
      <w:pPr>
        <w:ind w:left="183" w:right="140" w:hanging="183"/>
        <w:spacing w:after="0" w:line="285" w:lineRule="auto"/>
        <w:tabs>
          <w:tab w:leader="none" w:pos="183" w:val="left"/>
        </w:tabs>
        <w:numPr>
          <w:ilvl w:val="0"/>
          <w:numId w:val="91"/>
        </w:numPr>
        <w:rPr>
          <w:rFonts w:ascii="Arial" w:cs="Arial" w:eastAsia="Arial" w:hAnsi="Arial"/>
          <w:sz w:val="19"/>
          <w:szCs w:val="19"/>
          <w:color w:val="auto"/>
        </w:rPr>
      </w:pPr>
      <w:r>
        <w:rPr>
          <w:rFonts w:ascii="Arial" w:cs="Arial" w:eastAsia="Arial" w:hAnsi="Arial"/>
          <w:sz w:val="19"/>
          <w:szCs w:val="19"/>
          <w:color w:val="auto"/>
        </w:rPr>
        <w:t>Frameworks, benchmarks and processes developed by credible third parties including The Science Based Targets Initiative, Task Force for Climate-Related Financial Disclosures, and CDP.</w:t>
      </w:r>
    </w:p>
    <w:p>
      <w:pPr>
        <w:spacing w:after="0" w:line="200" w:lineRule="exact"/>
        <w:rPr>
          <w:sz w:val="20"/>
          <w:szCs w:val="20"/>
          <w:color w:val="auto"/>
        </w:rPr>
      </w:pPr>
    </w:p>
    <w:p>
      <w:pPr>
        <w:sectPr>
          <w:pgSz w:w="11900" w:h="16838" w:orient="portrait"/>
          <w:cols w:equalWidth="0" w:num="2">
            <w:col w:w="5080" w:space="497"/>
            <w:col w:w="4523"/>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80" w:hanging="354"/>
        <w:spacing w:after="0"/>
        <w:tabs>
          <w:tab w:leader="none" w:pos="108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https://ghgprotocol.org/corporate-value-chain-scope-3-standard, 58.</w:t>
      </w:r>
    </w:p>
    <w:p>
      <w:pPr>
        <w:spacing w:after="0" w:line="37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Statement of Opposition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31" w:lineRule="exact"/>
        <w:rPr>
          <w:sz w:val="20"/>
          <w:szCs w:val="20"/>
          <w:color w:val="auto"/>
        </w:rPr>
      </w:pPr>
    </w:p>
    <w:p>
      <w:pPr>
        <w:ind w:left="660" w:right="20"/>
        <w:spacing w:after="0" w:line="261" w:lineRule="auto"/>
        <w:rPr>
          <w:sz w:val="20"/>
          <w:szCs w:val="20"/>
          <w:color w:val="auto"/>
        </w:rPr>
      </w:pPr>
      <w:r>
        <w:rPr>
          <w:rFonts w:ascii="Arial" w:cs="Arial" w:eastAsia="Arial" w:hAnsi="Arial"/>
          <w:sz w:val="20"/>
          <w:szCs w:val="20"/>
          <w:color w:val="auto"/>
        </w:rPr>
        <w:t>The Board has carefully reviewed and considered the stockholder’s proposal and has concluded that it is unnecessary and not in the best interests of the Company’s stockholders. The Board recommends a vote AGAINST the proposal.</w:t>
      </w:r>
    </w:p>
    <w:p>
      <w:pPr>
        <w:spacing w:after="0" w:line="113" w:lineRule="exact"/>
        <w:rPr>
          <w:sz w:val="20"/>
          <w:szCs w:val="20"/>
          <w:color w:val="auto"/>
        </w:rPr>
      </w:pPr>
    </w:p>
    <w:p>
      <w:pPr>
        <w:ind w:left="660" w:right="340"/>
        <w:spacing w:after="0" w:line="295" w:lineRule="auto"/>
        <w:rPr>
          <w:sz w:val="20"/>
          <w:szCs w:val="20"/>
          <w:color w:val="auto"/>
        </w:rPr>
      </w:pPr>
      <w:r>
        <w:rPr>
          <w:rFonts w:ascii="Arial" w:cs="Arial" w:eastAsia="Arial" w:hAnsi="Arial"/>
          <w:sz w:val="19"/>
          <w:szCs w:val="19"/>
          <w:b w:val="1"/>
          <w:bCs w:val="1"/>
          <w:i w:val="1"/>
          <w:iCs w:val="1"/>
          <w:color w:val="0075A8"/>
        </w:rPr>
        <w:t>We are proud of the progress that Skyworks has made with respect to greenhouse gas emissions disclosure and reduction.</w:t>
      </w:r>
    </w:p>
    <w:p>
      <w:pPr>
        <w:spacing w:after="0" w:line="31" w:lineRule="exact"/>
        <w:rPr>
          <w:sz w:val="20"/>
          <w:szCs w:val="20"/>
          <w:color w:val="auto"/>
        </w:rPr>
      </w:pPr>
    </w:p>
    <w:p>
      <w:pPr>
        <w:ind w:left="660" w:right="100"/>
        <w:spacing w:after="0" w:line="257" w:lineRule="auto"/>
        <w:rPr>
          <w:sz w:val="20"/>
          <w:szCs w:val="20"/>
          <w:color w:val="auto"/>
        </w:rPr>
      </w:pPr>
      <w:r>
        <w:rPr>
          <w:rFonts w:ascii="Arial" w:cs="Arial" w:eastAsia="Arial" w:hAnsi="Arial"/>
          <w:sz w:val="20"/>
          <w:szCs w:val="20"/>
          <w:color w:val="auto"/>
        </w:rPr>
        <w:t>In 2024, we announced in our Sustainability Report that Skyworks had performed an initial Scope 3 emissions inventory and reported through CDP our Scope 3 carbon dioxide equivalent (CO2e) emissions for category 6 as defined by the Greenhouse Gas Protocol. This was just the latest step in our sustainability journey as we seek to progress at an appropriate pace in a practical and thoughtful manner.</w:t>
      </w:r>
    </w:p>
    <w:p>
      <w:pPr>
        <w:spacing w:after="0" w:line="79" w:lineRule="exact"/>
        <w:rPr>
          <w:sz w:val="20"/>
          <w:szCs w:val="20"/>
          <w:color w:val="auto"/>
        </w:rPr>
      </w:pPr>
    </w:p>
    <w:p>
      <w:pPr>
        <w:ind w:left="660" w:right="40"/>
        <w:spacing w:after="0" w:line="274" w:lineRule="auto"/>
        <w:rPr>
          <w:sz w:val="20"/>
          <w:szCs w:val="20"/>
          <w:color w:val="auto"/>
        </w:rPr>
      </w:pPr>
      <w:r>
        <w:rPr>
          <w:rFonts w:ascii="Arial" w:cs="Arial" w:eastAsia="Arial" w:hAnsi="Arial"/>
          <w:sz w:val="19"/>
          <w:szCs w:val="19"/>
          <w:color w:val="auto"/>
        </w:rPr>
        <w:t>As part of this journey, Skyworks has been — and continues to be — committed to greenhouse gas emissions management and reduction. The Company has demonstrated this through regularly setting meaningful targets and transparently communicating about its greenhouse gas emissions management efforts and related progress.</w:t>
      </w:r>
    </w:p>
    <w:p>
      <w:pPr>
        <w:spacing w:after="0" w:line="63"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color w:val="auto"/>
        </w:rPr>
        <w:t>Indeed, we have disclosed our Scope 1 and Scope 2 CO2e emissions annually since our 2019 Sustainability Report. In our 2021 Sustainability Report, we publicly communicated our long-term target of reducing absolute Scope 1 and Scope 2 CO2e emissions from our major manufacturing locations by 30% by 2030 (from a baseline year of 2018). Further, in our 2023 Sustainability Report, we strengthened and accelerated our Scope 1 and Scope 2 CO2e emissions reduction target from our major manufacturing locations to 50% by 2026 (from a baseline year of 2018). Skyworks plans to achieve this Scope 1 and Scope 2 CO2e emissions reduction target by sourcing renewable energy.</w:t>
      </w:r>
    </w:p>
    <w:p>
      <w:pPr>
        <w:spacing w:after="0" w:line="69" w:lineRule="exact"/>
        <w:rPr>
          <w:sz w:val="20"/>
          <w:szCs w:val="20"/>
          <w:color w:val="auto"/>
        </w:rPr>
      </w:pPr>
    </w:p>
    <w:p>
      <w:pPr>
        <w:ind w:left="660" w:right="40"/>
        <w:spacing w:after="0" w:line="261" w:lineRule="auto"/>
        <w:rPr>
          <w:sz w:val="20"/>
          <w:szCs w:val="20"/>
          <w:color w:val="auto"/>
        </w:rPr>
      </w:pPr>
      <w:r>
        <w:rPr>
          <w:rFonts w:ascii="Arial" w:cs="Arial" w:eastAsia="Arial" w:hAnsi="Arial"/>
          <w:sz w:val="20"/>
          <w:szCs w:val="20"/>
          <w:color w:val="auto"/>
        </w:rPr>
        <w:t>Since our 2022 Sustainability Report, we have enhanced our initiatives in this area by having our Scope 1 and Scope 2 CO2e emissions data verified by Cameron-Cole, an independent environmental services firm.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Overall, our concerted efforts and conscientious approach are having an impact. In 2023, we were able to achieve year-over-year reductions of combined Scope 1 and Scope 2 CO2e emissions from our major manufacturing locations of 23%. And in 2024, we were able to achieve a year-over-year reduction of combined Scope 1 and Scope 2 CO2e emissions from our major manufacturing locations of 42%, and we reported through CDP our 2023 Scope 3 CO2e emissions for category 6.</w:t>
      </w:r>
    </w:p>
    <w:p>
      <w:pPr>
        <w:spacing w:after="0" w:line="75" w:lineRule="exact"/>
        <w:rPr>
          <w:sz w:val="20"/>
          <w:szCs w:val="20"/>
          <w:color w:val="auto"/>
        </w:rPr>
      </w:pPr>
    </w:p>
    <w:p>
      <w:pPr>
        <w:ind w:right="220"/>
        <w:spacing w:after="0" w:line="278" w:lineRule="auto"/>
        <w:rPr>
          <w:sz w:val="20"/>
          <w:szCs w:val="20"/>
          <w:color w:val="auto"/>
        </w:rPr>
      </w:pPr>
      <w:r>
        <w:rPr>
          <w:rFonts w:ascii="Arial" w:cs="Arial" w:eastAsia="Arial" w:hAnsi="Arial"/>
          <w:sz w:val="19"/>
          <w:szCs w:val="19"/>
          <w:color w:val="auto"/>
        </w:rPr>
        <w:t>In addition, contrary to the proponent’s statements regarding market access loss with our largest customer, we are proud that our largest customer has publicly named us as a committed partner under its Supplier Clean Energy Program.</w:t>
      </w:r>
    </w:p>
    <w:p>
      <w:pPr>
        <w:spacing w:after="0" w:line="98"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i w:val="1"/>
          <w:iCs w:val="1"/>
          <w:color w:val="0075A8"/>
        </w:rPr>
        <w:t>While Skyworks is taking steps to evaluate and refine our Scope 3 emissions inventory and calculation methodologies, the Board believes the actions requested by this proposal are premature and ahead of expected regulatory developments and not the best use of Company resources at this time. Reporting emission measurements in a way that is potentially different from forthcoming disclosure regulations would be confusing, inconsistent, and possibly even misleading.</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The processes and methodologies for calculating Scope 3 emissions are varied and continue to evolve. In addition, they are less established and straightforward than methods for calculating Scope</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1 and Scope 2 emissions. Reasons for the difficulty in calculating Scope 3 emissions include reliance on numerous emissions factors and assumptions rather than direct data and the lack of control that companies have over the sources of required information, which potentially results in incomplete data or data with low accuracy.</w:t>
      </w:r>
    </w:p>
    <w:p>
      <w:pPr>
        <w:spacing w:after="0" w:line="81"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In 2023, California enacted broad new climate disclosure laws, including the Climate Corporate Data Accountability Act, but has not yet provided supporting regulations that are required under that law. Like many of our peers, we await the issuance of regulations from the California Air Resources Board, which has a deadline of</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02"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jc w:val="both"/>
        <w:ind w:left="660" w:right="80"/>
        <w:spacing w:after="0" w:line="269" w:lineRule="auto"/>
        <w:rPr>
          <w:sz w:val="20"/>
          <w:szCs w:val="20"/>
          <w:color w:val="auto"/>
        </w:rPr>
      </w:pPr>
      <w:r>
        <w:rPr>
          <w:rFonts w:ascii="Arial" w:cs="Arial" w:eastAsia="Arial" w:hAnsi="Arial"/>
          <w:sz w:val="20"/>
          <w:szCs w:val="20"/>
          <w:color w:val="auto"/>
        </w:rPr>
        <w:t>July 2025, before making final decisions about how best to invest further resources in disclosing Scope 3 emissions.</w:t>
      </w:r>
    </w:p>
    <w:p>
      <w:pPr>
        <w:spacing w:after="0" w:line="64" w:lineRule="exact"/>
        <w:rPr>
          <w:sz w:val="20"/>
          <w:szCs w:val="20"/>
          <w:color w:val="auto"/>
        </w:rPr>
      </w:pPr>
    </w:p>
    <w:p>
      <w:pPr>
        <w:ind w:left="660" w:right="20"/>
        <w:spacing w:after="0" w:line="276" w:lineRule="auto"/>
        <w:rPr>
          <w:sz w:val="20"/>
          <w:szCs w:val="20"/>
          <w:color w:val="auto"/>
        </w:rPr>
      </w:pPr>
      <w:r>
        <w:rPr>
          <w:rFonts w:ascii="Arial" w:cs="Arial" w:eastAsia="Arial" w:hAnsi="Arial"/>
          <w:sz w:val="19"/>
          <w:szCs w:val="19"/>
          <w:color w:val="auto"/>
        </w:rPr>
        <w:t>We are actively monitoring, reviewing and preparing for evolving climate-related disclosure requirements as they emerge from multiple jurisdictions. We intend to comply with the applicable disclosure requirements, including on the timeframes as set forth under any applicable laws and requirements.</w:t>
      </w:r>
    </w:p>
    <w:p>
      <w:pPr>
        <w:spacing w:after="0" w:line="58" w:lineRule="exact"/>
        <w:rPr>
          <w:sz w:val="20"/>
          <w:szCs w:val="20"/>
          <w:color w:val="auto"/>
        </w:rPr>
      </w:pPr>
    </w:p>
    <w:p>
      <w:pPr>
        <w:ind w:left="660" w:right="20"/>
        <w:spacing w:after="0" w:line="256" w:lineRule="auto"/>
        <w:rPr>
          <w:sz w:val="20"/>
          <w:szCs w:val="20"/>
          <w:color w:val="auto"/>
        </w:rPr>
      </w:pPr>
      <w:r>
        <w:rPr>
          <w:rFonts w:ascii="Arial" w:cs="Arial" w:eastAsia="Arial" w:hAnsi="Arial"/>
          <w:sz w:val="20"/>
          <w:szCs w:val="20"/>
          <w:color w:val="auto"/>
        </w:rPr>
        <w:t>The proposal includes no timeframe, nor does it acknowledge or reference the significant challenges and choices that must be addressed in determining Scope 3 emissions measurement methodologies. If the proposal is intended to be aligned with expected regulatory developments and timelines, then the proposal is redundant and unnecessary, as we plan to comply with these future regulations. If the proposal is not intended to be aligned with, but is meant to suggest that we should measure and disclose emissions in a manner that potentially diverges from, the regulatory disclosure frameworks, then we believe that it is unwise and counterproductive.</w:t>
      </w:r>
    </w:p>
    <w:p>
      <w:pPr>
        <w:spacing w:after="0" w:line="76"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Implementing the reporting requested by the proposal would divert time, effort and resources from our current and planned initiatives and possibly deviate from the final regulatory reporting requirements, thereby limiting our ability to target our efforts on areas that will provide the most meaningful impact in mitigating climate change and the most value to our stockholders.</w:t>
      </w:r>
    </w:p>
    <w:p>
      <w:pPr>
        <w:spacing w:after="0" w:line="74" w:lineRule="exact"/>
        <w:rPr>
          <w:sz w:val="20"/>
          <w:szCs w:val="20"/>
          <w:color w:val="auto"/>
        </w:rPr>
      </w:pPr>
    </w:p>
    <w:p>
      <w:pPr>
        <w:ind w:left="660" w:right="60"/>
        <w:spacing w:after="0" w:line="257" w:lineRule="auto"/>
        <w:rPr>
          <w:sz w:val="20"/>
          <w:szCs w:val="20"/>
          <w:color w:val="auto"/>
        </w:rPr>
      </w:pPr>
      <w:r>
        <w:rPr>
          <w:rFonts w:ascii="Arial" w:cs="Arial" w:eastAsia="Arial" w:hAnsi="Arial"/>
          <w:sz w:val="20"/>
          <w:szCs w:val="20"/>
          <w:color w:val="auto"/>
        </w:rPr>
        <w:t>Prematurely disclosing divergent measurements would be confusing, inconsistent, and potentially even misleading and would produce non-comparable results. We plan to be deliberate and intentional about our public disclosures related to Scope 3 emissions. Therefore, we do not believe that it is in the best interests of the Company or its stockholders to expand our publicly reported Scope 3 measurements until we have guidance from forthcoming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80"/>
        <w:spacing w:after="0" w:line="296" w:lineRule="auto"/>
        <w:rPr>
          <w:sz w:val="20"/>
          <w:szCs w:val="20"/>
          <w:color w:val="auto"/>
        </w:rPr>
      </w:pPr>
      <w:r>
        <w:rPr>
          <w:rFonts w:ascii="Arial" w:cs="Arial" w:eastAsia="Arial" w:hAnsi="Arial"/>
          <w:sz w:val="20"/>
          <w:szCs w:val="20"/>
          <w:b w:val="1"/>
          <w:bCs w:val="1"/>
          <w:i w:val="1"/>
          <w:iCs w:val="1"/>
          <w:color w:val="0075A8"/>
        </w:rPr>
        <w:t>Skyworks takes the issue of environmental sustainability seriously.</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Skyworks is proud that our technologies play an important role in being able to advance sustainability across various industries by enabling networks of intelligent and interconnected systems designed to optimize energy consumption.</w:t>
      </w:r>
    </w:p>
    <w:p>
      <w:pPr>
        <w:spacing w:after="0" w:line="72"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In our own sustainability journey, Skyworks has demonstrated a strong commitment to environmental stewardship, including by addressing a variety of important environmental topics directly affecting our business, including water management with a focus on water recycling as well as strategies to minimize hazardous waste through source reduction, chemical substitution and materials use efficiency.</w:t>
      </w:r>
    </w:p>
    <w:p>
      <w:pPr>
        <w:spacing w:after="0" w:line="187" w:lineRule="exact"/>
        <w:rPr>
          <w:sz w:val="20"/>
          <w:szCs w:val="20"/>
          <w:color w:val="auto"/>
        </w:rPr>
      </w:pPr>
    </w:p>
    <w:p>
      <w:pPr>
        <w:ind w:right="360"/>
        <w:spacing w:after="0" w:line="324" w:lineRule="auto"/>
        <w:rPr>
          <w:sz w:val="20"/>
          <w:szCs w:val="20"/>
          <w:color w:val="auto"/>
        </w:rPr>
      </w:pPr>
      <w:r>
        <w:rPr>
          <w:rFonts w:ascii="Arial" w:cs="Arial" w:eastAsia="Arial" w:hAnsi="Arial"/>
          <w:sz w:val="19"/>
          <w:szCs w:val="19"/>
          <w:b w:val="1"/>
          <w:bCs w:val="1"/>
          <w:i w:val="1"/>
          <w:iCs w:val="1"/>
          <w:color w:val="0075A8"/>
        </w:rPr>
        <w:t>Skyworks has received positive stockholder feedback on sustainability-related matters.</w:t>
      </w:r>
    </w:p>
    <w:p>
      <w:pPr>
        <w:spacing w:after="0" w:line="112"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As part of our stockholder outreach efforts, we have discussed our sustainability program with many of our largest stockholders, including the steps we are taking to reduce our greenhouse gas emissions and to position us to set meaningful greenhouse gas emissions targets. These engagement efforts have allowed us to better understand our stockholders’ priorities and perspectives with respect to these initiatives. Based on these engagement efforts, many of our stockholders have recognized our progress and generally support our deliberate and thoughtful approach to these matters. We also have met with the proponent to hear its perspective and share our progress in these areas.</w:t>
      </w:r>
    </w:p>
    <w:p>
      <w:pPr>
        <w:spacing w:after="0" w:line="177" w:lineRule="exact"/>
        <w:rPr>
          <w:sz w:val="20"/>
          <w:szCs w:val="20"/>
          <w:color w:val="auto"/>
        </w:rPr>
      </w:pPr>
    </w:p>
    <w:p>
      <w:pPr>
        <w:ind w:right="580"/>
        <w:spacing w:after="0" w:line="261" w:lineRule="auto"/>
        <w:rPr>
          <w:sz w:val="20"/>
          <w:szCs w:val="20"/>
          <w:color w:val="auto"/>
        </w:rPr>
      </w:pPr>
      <w:r>
        <w:rPr>
          <w:rFonts w:ascii="Arial" w:cs="Arial" w:eastAsia="Arial" w:hAnsi="Arial"/>
          <w:sz w:val="20"/>
          <w:szCs w:val="20"/>
          <w:color w:val="auto"/>
        </w:rPr>
        <w:t>Given Skyworks’ existing goals, initiatives and disclosures, as well as the evolving Scope 3 emissions landscape, the Board believes the proposal is not in the best interests of the Company’s stockholders.</w:t>
      </w:r>
    </w:p>
    <w:p>
      <w:pPr>
        <w:spacing w:after="0" w:line="737"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12" w:lineRule="exact"/>
        <w:rPr>
          <w:sz w:val="20"/>
          <w:szCs w:val="20"/>
          <w:color w:val="auto"/>
        </w:rPr>
      </w:pPr>
    </w:p>
    <w:tbl>
      <w:tblPr>
        <w:tblLayout w:type="fixed"/>
        <w:tblInd w:w="1570" w:type="dxa"/>
        <w:tblCellMar>
          <w:top w:w="0" w:type="dxa"/>
          <w:left w:w="0" w:type="dxa"/>
          <w:bottom w:w="0" w:type="dxa"/>
          <w:right w:w="0" w:type="dxa"/>
        </w:tblCellMar>
      </w:tblPr>
      <w:tr>
        <w:trPr>
          <w:trHeight w:val="496"/>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b w:val="1"/>
                <w:bCs w:val="1"/>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b w:val="1"/>
                <w:bCs w:val="1"/>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b w:val="1"/>
                <w:bCs w:val="1"/>
                <w:i w:val="1"/>
                <w:iCs w:val="1"/>
                <w:color w:val="0075A8"/>
              </w:rPr>
              <w:t>​</w:t>
            </w:r>
          </w:p>
        </w:tc>
        <w:tc>
          <w:tcPr>
            <w:tcW w:w="0" w:type="dxa"/>
            <w:vAlign w:val="bottom"/>
          </w:tcPr>
          <w:p>
            <w:pPr>
              <w:spacing w:after="0"/>
              <w:rPr>
                <w:sz w:val="1"/>
                <w:szCs w:val="1"/>
                <w:color w:val="auto"/>
              </w:rPr>
            </w:pPr>
          </w:p>
        </w:tc>
      </w:tr>
      <w:tr>
        <w:trPr>
          <w:trHeight w:val="137"/>
        </w:trPr>
        <w:tc>
          <w:tcPr>
            <w:tcW w:w="560" w:type="dxa"/>
            <w:vAlign w:val="bottom"/>
            <w:tcBorders>
              <w:left w:val="single" w:sz="8" w:color="0075A8"/>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“AGAINST” THIS STOCKHOLDER PROPOSAL 5</w:t>
            </w:r>
          </w:p>
        </w:tc>
        <w:tc>
          <w:tcPr>
            <w:tcW w:w="240" w:type="dxa"/>
            <w:vAlign w:val="bottom"/>
            <w:tcBorders>
              <w:right w:val="single" w:sz="8" w:color="0075A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0075A8"/>
            </w:tcBorders>
          </w:tcPr>
          <w:p>
            <w:pPr>
              <w:spacing w:after="0"/>
              <w:rPr>
                <w:sz w:val="9"/>
                <w:szCs w:val="9"/>
                <w:color w:val="auto"/>
              </w:rPr>
            </w:pPr>
          </w:p>
        </w:tc>
        <w:tc>
          <w:tcPr>
            <w:tcW w:w="74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240" w:type="dxa"/>
            <w:vAlign w:val="bottom"/>
            <w:tcBorders>
              <w:right w:val="single" w:sz="8" w:color="0075A8"/>
            </w:tcBorders>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560" w:type="dxa"/>
            <w:vAlign w:val="bottom"/>
            <w:tcBorders>
              <w:left w:val="single" w:sz="8" w:color="0075A8"/>
              <w:bottom w:val="single" w:sz="8" w:color="0075A8"/>
            </w:tcBorders>
          </w:tcPr>
          <w:p>
            <w:pPr>
              <w:spacing w:after="0"/>
              <w:rPr>
                <w:sz w:val="23"/>
                <w:szCs w:val="23"/>
                <w:color w:val="auto"/>
              </w:rPr>
            </w:pPr>
          </w:p>
        </w:tc>
        <w:tc>
          <w:tcPr>
            <w:tcW w:w="740" w:type="dxa"/>
            <w:vAlign w:val="bottom"/>
            <w:tcBorders>
              <w:bottom w:val="single" w:sz="8" w:color="0075A8"/>
            </w:tcBorders>
          </w:tcPr>
          <w:p>
            <w:pPr>
              <w:spacing w:after="0"/>
              <w:rPr>
                <w:sz w:val="23"/>
                <w:szCs w:val="23"/>
                <w:color w:val="auto"/>
              </w:rPr>
            </w:pPr>
          </w:p>
        </w:tc>
        <w:tc>
          <w:tcPr>
            <w:tcW w:w="6080" w:type="dxa"/>
            <w:vAlign w:val="bottom"/>
            <w:tcBorders>
              <w:bottom w:val="single" w:sz="8" w:color="0075A8"/>
            </w:tcBorders>
          </w:tcPr>
          <w:p>
            <w:pPr>
              <w:spacing w:after="0"/>
              <w:rPr>
                <w:sz w:val="23"/>
                <w:szCs w:val="23"/>
                <w:color w:val="auto"/>
              </w:rPr>
            </w:pPr>
          </w:p>
        </w:tc>
        <w:tc>
          <w:tcPr>
            <w:tcW w:w="240" w:type="dxa"/>
            <w:vAlign w:val="bottom"/>
            <w:tcBorders>
              <w:bottom w:val="single" w:sz="8" w:color="0075A8"/>
              <w:right w:val="single" w:sz="8" w:color="0075A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-574040</wp:posOffset>
            </wp:positionV>
            <wp:extent cx="514350" cy="4889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31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right="100"/>
        <w:spacing w:after="0" w:line="280" w:lineRule="auto"/>
        <w:rPr>
          <w:sz w:val="20"/>
          <w:szCs w:val="20"/>
          <w:color w:val="auto"/>
        </w:rPr>
      </w:pPr>
      <w:r>
        <w:rPr>
          <w:rFonts w:ascii="Arial" w:cs="Arial" w:eastAsia="Arial" w:hAnsi="Arial"/>
          <w:sz w:val="32"/>
          <w:szCs w:val="32"/>
          <w:b w:val="1"/>
          <w:bCs w:val="1"/>
          <w:color w:val="0075A8"/>
        </w:rPr>
        <w:t>SECURITY OWNERSHIP OF CERTAIN BENEFICIAL OWNERS AND MANAGEMENT</w:t>
      </w:r>
    </w:p>
    <w:p>
      <w:pPr>
        <w:spacing w:after="0" w:line="82" w:lineRule="exact"/>
        <w:rPr>
          <w:sz w:val="20"/>
          <w:szCs w:val="20"/>
          <w:color w:val="auto"/>
        </w:rPr>
      </w:pPr>
    </w:p>
    <w:p>
      <w:pPr>
        <w:ind w:left="660" w:right="160"/>
        <w:spacing w:after="0" w:line="248" w:lineRule="auto"/>
        <w:rPr>
          <w:sz w:val="20"/>
          <w:szCs w:val="20"/>
          <w:color w:val="auto"/>
        </w:rPr>
      </w:pPr>
      <w:r>
        <w:rPr>
          <w:rFonts w:ascii="Arial" w:cs="Arial" w:eastAsia="Arial" w:hAnsi="Arial"/>
          <w:sz w:val="20"/>
          <w:szCs w:val="20"/>
          <w:color w:val="auto"/>
        </w:rPr>
        <w:t>To the Company’s knowledge, the following table sets forth the beneficial ownership of the Company’s common stock as of March 1, 2025, by the following individuals or entities: (i) each person or entity who beneficially owns five percent (5%) or more of the outstanding shares of the Company’s common stock as of March 1, 2025; (ii) the Named Executive Officers (as defined above under “</w:t>
      </w:r>
      <w:r>
        <w:rPr>
          <w:rFonts w:ascii="Arial" w:cs="Arial" w:eastAsia="Arial" w:hAnsi="Arial"/>
          <w:sz w:val="20"/>
          <w:szCs w:val="20"/>
          <w:i w:val="1"/>
          <w:iCs w:val="1"/>
          <w:color w:val="auto"/>
        </w:rPr>
        <w:t>Information About Executive and</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 Compensation”); (iii) each director and nominee for director; and (iv) all current executive officers and directors of the Company, as a group.</w:t>
      </w:r>
    </w:p>
    <w:p>
      <w:pPr>
        <w:spacing w:after="0" w:line="194" w:lineRule="exact"/>
        <w:rPr>
          <w:sz w:val="20"/>
          <w:szCs w:val="20"/>
          <w:color w:val="auto"/>
        </w:rPr>
      </w:pPr>
    </w:p>
    <w:p>
      <w:pPr>
        <w:ind w:left="660" w:right="60"/>
        <w:spacing w:after="0" w:line="255" w:lineRule="auto"/>
        <w:rPr>
          <w:sz w:val="20"/>
          <w:szCs w:val="20"/>
          <w:color w:val="auto"/>
        </w:rPr>
      </w:pPr>
      <w:r>
        <w:rPr>
          <w:rFonts w:ascii="Arial" w:cs="Arial" w:eastAsia="Arial" w:hAnsi="Arial"/>
          <w:sz w:val="20"/>
          <w:szCs w:val="20"/>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 2025, there were 156,828,070 shares of the Company’s common stock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computing the number of shares of Company common stock beneficially owned by a person and</w:t>
      </w:r>
    </w:p>
    <w:p>
      <w:pPr>
        <w:spacing w:after="0" w:line="18" w:lineRule="exact"/>
        <w:rPr>
          <w:sz w:val="20"/>
          <w:szCs w:val="20"/>
          <w:color w:val="auto"/>
        </w:rPr>
      </w:pPr>
    </w:p>
    <w:p>
      <w:pPr>
        <w:ind w:left="660" w:right="120"/>
        <w:spacing w:after="0" w:line="259" w:lineRule="auto"/>
        <w:rPr>
          <w:sz w:val="20"/>
          <w:szCs w:val="20"/>
          <w:color w:val="auto"/>
        </w:rPr>
      </w:pPr>
      <w:r>
        <w:rPr>
          <w:rFonts w:ascii="Arial" w:cs="Arial" w:eastAsia="Arial" w:hAnsi="Arial"/>
          <w:sz w:val="19"/>
          <w:szCs w:val="19"/>
          <w:color w:val="auto"/>
        </w:rPr>
        <w:t>the percentage ownership of that person, shares of Company common stock that are subject to stock options or other rights held by that person that are currently exercisable or that will become exercisable within sixty</w:t>
      </w:r>
    </w:p>
    <w:p>
      <w:pPr>
        <w:spacing w:after="0" w:line="1" w:lineRule="exact"/>
        <w:rPr>
          <w:sz w:val="20"/>
          <w:szCs w:val="20"/>
          <w:color w:val="auto"/>
        </w:rPr>
      </w:pPr>
    </w:p>
    <w:p>
      <w:pPr>
        <w:ind w:left="660" w:right="300" w:hanging="6"/>
        <w:spacing w:after="0" w:line="253" w:lineRule="auto"/>
        <w:tabs>
          <w:tab w:leader="none" w:pos="1057" w:val="left"/>
        </w:tabs>
        <w:numPr>
          <w:ilvl w:val="0"/>
          <w:numId w:val="93"/>
        </w:numPr>
        <w:rPr>
          <w:rFonts w:ascii="Arial" w:cs="Arial" w:eastAsia="Arial" w:hAnsi="Arial"/>
          <w:sz w:val="20"/>
          <w:szCs w:val="20"/>
          <w:color w:val="auto"/>
        </w:rPr>
      </w:pPr>
      <w:r>
        <w:rPr>
          <w:rFonts w:ascii="Arial" w:cs="Arial" w:eastAsia="Arial" w:hAnsi="Arial"/>
          <w:sz w:val="20"/>
          <w:szCs w:val="20"/>
          <w:color w:val="auto"/>
        </w:rPr>
        <w:t>days of March 1, 2025, are deemed outstanding. These shares are not, however, deemed outstanding for the purpose of computing the percentage ownership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157480</wp:posOffset>
            </wp:positionV>
            <wp:extent cx="5974715" cy="291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​Names and Addresses of Beneficial Owners(1)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34925</wp:posOffset>
            </wp:positionV>
            <wp:extent cx="5974715" cy="162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Vanguard Group, Inc.</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BlackRock,​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Alan​ S. Batey</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Carlos​ S. Bori</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Liam​ K. Griffin</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Eric​ J. Guerin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Reza​ Kasnavi</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Suzanne​ E. McBride</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Robert​ A. Schriesheim</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Robert​ J. Terry</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Maryann​ Turcke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74715" cy="179705"/>
                    </a:xfrm>
                    <a:prstGeom prst="rect">
                      <a:avLst/>
                    </a:prstGeom>
                    <a:noFill/>
                  </pic:spPr>
                </pic:pic>
              </a:graphicData>
            </a:graphic>
          </wp:anchor>
        </w:drawing>
      </w:r>
    </w:p>
    <w:p>
      <w:pPr>
        <w:ind w:left="700"/>
        <w:spacing w:after="0" w:line="192" w:lineRule="auto"/>
        <w:rPr>
          <w:sz w:val="20"/>
          <w:szCs w:val="20"/>
          <w:color w:val="auto"/>
        </w:rPr>
      </w:pPr>
      <w:r>
        <w:rPr>
          <w:rFonts w:ascii="Arial" w:cs="Arial" w:eastAsia="Arial" w:hAnsi="Arial"/>
          <w:sz w:val="14"/>
          <w:szCs w:val="14"/>
          <w:color w:val="auto"/>
        </w:rPr>
        <w:t>All current directors and executive officers as a group (14 persons)</w:t>
      </w:r>
    </w:p>
    <w:p>
      <w:pPr>
        <w:ind w:left="7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1905</wp:posOffset>
            </wp:positionV>
            <wp:extent cx="59747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Number of Shares</w:t>
      </w:r>
    </w:p>
    <w:p>
      <w:pPr>
        <w:spacing w:after="0"/>
        <w:rPr>
          <w:sz w:val="20"/>
          <w:szCs w:val="20"/>
          <w:color w:val="auto"/>
        </w:rPr>
      </w:pPr>
      <w:r>
        <w:rPr>
          <w:rFonts w:ascii="Arial" w:cs="Arial" w:eastAsia="Arial" w:hAnsi="Arial"/>
          <w:sz w:val="18"/>
          <w:szCs w:val="18"/>
          <w:b w:val="1"/>
          <w:bCs w:val="1"/>
          <w:color w:val="FFFFFF"/>
        </w:rPr>
        <w:t>​ ​Beneficially Owned(2) ​ ​Percent of Class ​</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20,341,287​</w:t>
            </w:r>
            <w:r>
              <w:rPr>
                <w:rFonts w:ascii="Arial" w:cs="Arial" w:eastAsia="Arial" w:hAnsi="Arial"/>
                <w:sz w:val="16"/>
                <w:szCs w:val="16"/>
                <w:color w:val="0075A8"/>
              </w:rPr>
              <w:t>(3)</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96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12.97​%</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57"/>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16,129,698​</w:t>
            </w:r>
            <w:r>
              <w:rPr>
                <w:rFonts w:ascii="Arial" w:cs="Arial" w:eastAsia="Arial" w:hAnsi="Arial"/>
                <w:sz w:val="16"/>
                <w:szCs w:val="16"/>
                <w:color w:val="0075A8"/>
              </w:rPr>
              <w:t>(4)</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96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10.28​%</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9,723​</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50,733​</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46,245​</w:t>
            </w:r>
            <w:r>
              <w:rPr>
                <w:rFonts w:ascii="Arial" w:cs="Arial" w:eastAsia="Arial" w:hAnsi="Arial"/>
                <w:sz w:val="16"/>
                <w:szCs w:val="16"/>
                <w:color w:val="0075A8"/>
              </w:rPr>
              <w:t>(5)</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10,000​</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211,906​</w:t>
            </w:r>
            <w:r>
              <w:rPr>
                <w:rFonts w:ascii="Arial" w:cs="Arial" w:eastAsia="Arial" w:hAnsi="Arial"/>
                <w:sz w:val="16"/>
                <w:szCs w:val="16"/>
                <w:color w:val="0075A8"/>
              </w:rPr>
              <w:t>(5)</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5,318​</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21,185​</w:t>
            </w:r>
            <w:r>
              <w:rPr>
                <w:rFonts w:ascii="Arial" w:cs="Arial" w:eastAsia="Arial" w:hAnsi="Arial"/>
                <w:sz w:val="16"/>
                <w:szCs w:val="16"/>
                <w:color w:val="0075A8"/>
              </w:rPr>
              <w:t>(5)</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23,057​</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5,326​</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44,994​</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60,881​</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117,407​</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17,266​</w:t>
            </w:r>
            <w:r>
              <w:rPr>
                <w:rFonts w:ascii="Arial" w:cs="Arial" w:eastAsia="Arial" w:hAnsi="Arial"/>
                <w:sz w:val="16"/>
                <w:szCs w:val="16"/>
                <w:color w:val="0075A8"/>
              </w:rPr>
              <w:t>(5)</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3,463​</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442,362​</w:t>
            </w:r>
            <w:r>
              <w:rPr>
                <w:rFonts w:ascii="Arial" w:cs="Arial" w:eastAsia="Arial" w:hAnsi="Arial"/>
                <w:sz w:val="16"/>
                <w:szCs w:val="16"/>
                <w:color w:val="0075A8"/>
              </w:rPr>
              <w:t>(5)</w:t>
            </w:r>
          </w:p>
        </w:tc>
        <w:tc>
          <w:tcPr>
            <w:tcW w:w="640" w:type="dxa"/>
            <w:vAlign w:val="bottom"/>
          </w:tcPr>
          <w:p>
            <w:pPr>
              <w:ind w:left="160"/>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r>
    </w:tbl>
    <w:p>
      <w:pPr>
        <w:spacing w:after="0" w:line="125" w:lineRule="exact"/>
        <w:rPr>
          <w:sz w:val="20"/>
          <w:szCs w:val="20"/>
          <w:color w:val="auto"/>
        </w:rPr>
      </w:pPr>
    </w:p>
    <w:p>
      <w:pPr>
        <w:sectPr>
          <w:pgSz w:w="11900" w:h="16838" w:orient="portrait"/>
          <w:cols w:equalWidth="0" w:num="2">
            <w:col w:w="5680" w:space="720"/>
            <w:col w:w="3700"/>
          </w:cols>
          <w:pgMar w:left="580" w:top="97" w:right="1219" w:bottom="1440" w:gutter="0" w:footer="0" w:header="0"/>
          <w:type w:val="continuous"/>
        </w:sectPr>
      </w:pPr>
    </w:p>
    <w:p>
      <w:pPr>
        <w:ind w:left="1080" w:hanging="354"/>
        <w:spacing w:after="0"/>
        <w:tabs>
          <w:tab w:leader="none" w:pos="1080"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32" w:lineRule="exact"/>
        <w:rPr>
          <w:sz w:val="20"/>
          <w:szCs w:val="20"/>
          <w:color w:val="auto"/>
        </w:rPr>
      </w:pPr>
    </w:p>
    <w:p>
      <w:pPr>
        <w:ind w:left="1080" w:right="140" w:hanging="354"/>
        <w:spacing w:after="0" w:line="264" w:lineRule="auto"/>
        <w:tabs>
          <w:tab w:leader="none" w:pos="1080"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Unless otherwise set forth in the following notes, each person’s address is the address of the Company’s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ind w:left="1080" w:right="200" w:hanging="354"/>
        <w:spacing w:after="0" w:line="262" w:lineRule="auto"/>
        <w:tabs>
          <w:tab w:leader="none" w:pos="1080"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The table does not reflect the number of shares of Company common stock to be issued pursuant to unvested restricted stock units (the “Unvested RSUs”) and earned, but unissued, performance share awards subject to time-based vesting only (the “Unvested PSAs”), in each case that are not scheduled to vest within sixty (60) days of March 1, 2025, as follows:</w:t>
      </w:r>
    </w:p>
    <w:p>
      <w:pPr>
        <w:spacing w:after="0" w:line="1" w:lineRule="exact"/>
        <w:rPr>
          <w:rFonts w:ascii="Arial" w:cs="Arial" w:eastAsia="Arial" w:hAnsi="Arial"/>
          <w:sz w:val="16"/>
          <w:szCs w:val="16"/>
          <w:i w:val="1"/>
          <w:iCs w:val="1"/>
          <w:color w:val="auto"/>
        </w:rPr>
      </w:pPr>
    </w:p>
    <w:p>
      <w:pPr>
        <w:ind w:left="1080" w:right="480"/>
        <w:spacing w:after="0" w:line="270" w:lineRule="auto"/>
        <w:rPr>
          <w:rFonts w:ascii="Arial" w:cs="Arial" w:eastAsia="Arial" w:hAnsi="Arial"/>
          <w:sz w:val="16"/>
          <w:szCs w:val="16"/>
          <w:i w:val="1"/>
          <w:iCs w:val="1"/>
          <w:color w:val="auto"/>
        </w:rPr>
      </w:pPr>
      <w:r>
        <w:rPr>
          <w:rFonts w:ascii="Arial" w:cs="Arial" w:eastAsia="Arial" w:hAnsi="Arial"/>
          <w:sz w:val="16"/>
          <w:szCs w:val="16"/>
          <w:i w:val="1"/>
          <w:iCs w:val="1"/>
          <w:color w:val="auto"/>
        </w:rPr>
        <w:t>Mr. Batey — 2,078 shares under Unvested RSUs; Mr. Beebe — 2,078 shares under Unvested RSUs; Mr. Bori — 38,234 shares</w:t>
      </w:r>
    </w:p>
    <w:p>
      <w:pPr>
        <w:spacing w:after="0" w:line="324"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under Unvested RSUs and 4,072 shares under Unvested PSAs; Mr. Brace — 43,682 shares under Unvested RSUs;</w:t>
      </w:r>
    </w:p>
    <w:p>
      <w:pPr>
        <w:spacing w:after="0" w:line="19" w:lineRule="exact"/>
        <w:rPr>
          <w:sz w:val="20"/>
          <w:szCs w:val="20"/>
          <w:color w:val="auto"/>
        </w:rPr>
      </w:pPr>
    </w:p>
    <w:p>
      <w:pPr>
        <w:ind w:left="1080" w:right="260"/>
        <w:spacing w:after="0" w:line="261" w:lineRule="auto"/>
        <w:rPr>
          <w:sz w:val="20"/>
          <w:szCs w:val="20"/>
          <w:color w:val="auto"/>
        </w:rPr>
      </w:pPr>
      <w:r>
        <w:rPr>
          <w:rFonts w:ascii="Arial" w:cs="Arial" w:eastAsia="Arial" w:hAnsi="Arial"/>
          <w:sz w:val="16"/>
          <w:szCs w:val="16"/>
          <w:i w:val="1"/>
          <w:iCs w:val="1"/>
          <w:color w:val="auto"/>
        </w:rPr>
        <w:t>Mr. Guerin — 2,078 shares under Unvested RSUs; Mr. Griffin — 129,434 shares under Unvested RSUs and 14,253 shares under Unvested PSAs; Mr. Kasnavi — 43,653 shares under Unvested RSUs and 4,072 shares under Unvested PSAs;</w:t>
      </w:r>
    </w:p>
    <w:p>
      <w:pPr>
        <w:spacing w:after="0" w:line="1" w:lineRule="exact"/>
        <w:rPr>
          <w:sz w:val="20"/>
          <w:szCs w:val="20"/>
          <w:color w:val="auto"/>
        </w:rPr>
      </w:pPr>
    </w:p>
    <w:p>
      <w:pPr>
        <w:ind w:left="1080" w:right="60"/>
        <w:spacing w:after="0" w:line="257" w:lineRule="auto"/>
        <w:rPr>
          <w:sz w:val="20"/>
          <w:szCs w:val="20"/>
          <w:color w:val="auto"/>
        </w:rPr>
      </w:pPr>
      <w:r>
        <w:rPr>
          <w:rFonts w:ascii="Arial" w:cs="Arial" w:eastAsia="Arial" w:hAnsi="Arial"/>
          <w:sz w:val="16"/>
          <w:szCs w:val="16"/>
          <w:i w:val="1"/>
          <w:iCs w:val="1"/>
          <w:color w:val="auto"/>
        </w:rPr>
        <w:t>Ms. King — 2,078 shares under Unvested RSUs; Ms. McBride — 2,078 shares under Unvested RSUs; Mr. McGlade — 2,078 shares under Unvested RSUs; Mr. Schriesheim — 2,078 shares under Unvested RSUs; Mr. Sennesael — 47,996 shares under Unvested RSUs and 3,868 shares under Unvested PSAs; Mr. Terry — 33,896 shares under Unvested RSUs and 3,360 shares under Unvested PSAs; Ms. Turcke — 3,462 shares under Unvested RSUs; current directors and executive officers as a group (14 persons) — 335,444 shares under Unvested RSUs and 17,458 shares under Unvested PSAs.</w:t>
      </w:r>
    </w:p>
    <w:p>
      <w:pPr>
        <w:spacing w:after="0" w:line="4" w:lineRule="exact"/>
        <w:rPr>
          <w:sz w:val="20"/>
          <w:szCs w:val="20"/>
          <w:color w:val="auto"/>
        </w:rPr>
      </w:pPr>
    </w:p>
    <w:p>
      <w:pPr>
        <w:ind w:left="1080" w:right="220" w:hanging="354"/>
        <w:spacing w:after="0" w:line="264" w:lineRule="auto"/>
        <w:tabs>
          <w:tab w:leader="none" w:pos="108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The Vanguard Group (“Vanguard”), which has sole voting power with respect to zero shares, shared voting power with respect to 198,899 shares, sole dispositive power with respect to 19,577,319 shares and shared dispositive power with respect to 763,968 shares. With respect to the information relating to Vanguard, the Company has relied on information disclosed by Vanguard on a Schedule 13G/A filed with the SEC on January 31, 2025. The address of Vanguard is 100 Vanguard Blvd., Malvern, PA 19355.</w:t>
      </w:r>
    </w:p>
    <w:p>
      <w:pPr>
        <w:ind w:left="1080" w:right="80" w:hanging="354"/>
        <w:spacing w:after="0" w:line="260" w:lineRule="auto"/>
        <w:tabs>
          <w:tab w:leader="none" w:pos="108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14,766,933 shares and sole dispositive power with respect to 16,129,698 shares which are held by the following of its subsidiaries: BlackRock Life Limited, BlackRock International Limited, BlackRock Advisors, LLC, Aperio Group, LLC, BlackRock France SAS,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SpiderRock Advisors, LLC, BlackRock Asset Management Canada Limited, BlackRock (Luxembourg) S.A., BlackRock Investment Management (Australia) Limited, BlackRock Advisors (UK) Limited, BlackRock Asset Management North Asia Limited, BlackRock (Singapore) Limited, and BlackRock Fund Managers Ltd. With respect to the information relating to BlackRock and its affiliated entities, we have relied on information disclosed by BlackRock on a Schedule 13G filed with the SEC on September 10, 2024. The address of BlackRock is 50 Hudson Yards, New York, NY 10001.</w:t>
      </w:r>
    </w:p>
    <w:p>
      <w:pPr>
        <w:ind w:left="1080" w:hanging="354"/>
        <w:spacing w:after="0"/>
        <w:tabs>
          <w:tab w:leader="none" w:pos="108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held in the Company’s 401(k) Savings and Retirement Plan as of 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GENERAL INFORMATION</w:t>
      </w:r>
    </w:p>
    <w:p>
      <w:pPr>
        <w:spacing w:after="0" w:line="219" w:lineRule="exact"/>
        <w:rPr>
          <w:sz w:val="20"/>
          <w:szCs w:val="20"/>
          <w:color w:val="auto"/>
        </w:rPr>
      </w:pPr>
    </w:p>
    <w:p>
      <w:pPr>
        <w:ind w:left="1020" w:right="140" w:hanging="366"/>
        <w:spacing w:after="0" w:line="298" w:lineRule="auto"/>
        <w:tabs>
          <w:tab w:leader="none" w:pos="1020" w:val="left"/>
        </w:tabs>
        <w:numPr>
          <w:ilvl w:val="0"/>
          <w:numId w:val="97"/>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we refer to Skyworks in this Proxy Statement?</w:t>
      </w:r>
    </w:p>
    <w:p>
      <w:pPr>
        <w:spacing w:after="0" w:line="38" w:lineRule="exact"/>
        <w:rPr>
          <w:rFonts w:ascii="Arial" w:cs="Arial" w:eastAsia="Arial" w:hAnsi="Arial"/>
          <w:sz w:val="20"/>
          <w:szCs w:val="20"/>
          <w:b w:val="1"/>
          <w:bCs w:val="1"/>
          <w:color w:val="0075A8"/>
        </w:rPr>
      </w:pPr>
    </w:p>
    <w:p>
      <w:pPr>
        <w:ind w:left="1020" w:right="40"/>
        <w:spacing w:after="0" w:line="264" w:lineRule="auto"/>
        <w:rPr>
          <w:rFonts w:ascii="Arial" w:cs="Arial" w:eastAsia="Arial" w:hAnsi="Arial"/>
          <w:sz w:val="20"/>
          <w:szCs w:val="20"/>
          <w:b w:val="1"/>
          <w:bCs w:val="1"/>
          <w:color w:val="0075A8"/>
        </w:rPr>
      </w:pPr>
      <w:r>
        <w:rPr>
          <w:rFonts w:ascii="Arial" w:cs="Arial" w:eastAsia="Arial" w:hAnsi="Arial"/>
          <w:sz w:val="20"/>
          <w:szCs w:val="20"/>
          <w:color w:val="auto"/>
        </w:rPr>
        <w:t>The terms “Skyworks,” “the Company,” “we,” “us,” and “our” refer to Skyworks Solutions, Inc., a Delaware corporation, and its consolidated subsidiaries.</w:t>
      </w:r>
    </w:p>
    <w:p>
      <w:pPr>
        <w:spacing w:after="0" w:line="174" w:lineRule="exact"/>
        <w:rPr>
          <w:rFonts w:ascii="Arial" w:cs="Arial" w:eastAsia="Arial" w:hAnsi="Arial"/>
          <w:sz w:val="20"/>
          <w:szCs w:val="20"/>
          <w:b w:val="1"/>
          <w:bCs w:val="1"/>
          <w:color w:val="0075A8"/>
        </w:rPr>
      </w:pPr>
    </w:p>
    <w:p>
      <w:pPr>
        <w:ind w:left="1020" w:hanging="366"/>
        <w:spacing w:after="0"/>
        <w:tabs>
          <w:tab w:leader="none" w:pos="1020" w:val="left"/>
        </w:tabs>
        <w:numPr>
          <w:ilvl w:val="0"/>
          <w:numId w:val="98"/>
        </w:numPr>
        <w:rPr>
          <w:rFonts w:ascii="Arial" w:cs="Arial" w:eastAsia="Arial" w:hAnsi="Arial"/>
          <w:sz w:val="20"/>
          <w:szCs w:val="20"/>
          <w:b w:val="1"/>
          <w:bCs w:val="1"/>
          <w:color w:val="0075A8"/>
        </w:rPr>
      </w:pPr>
      <w:r>
        <w:rPr>
          <w:rFonts w:ascii="Arial" w:cs="Arial" w:eastAsia="Arial" w:hAnsi="Arial"/>
          <w:sz w:val="20"/>
          <w:szCs w:val="20"/>
          <w:b w:val="1"/>
          <w:bCs w:val="1"/>
          <w:color w:val="0075A8"/>
        </w:rPr>
        <w:t>When and where is our Annual Meeting?</w:t>
      </w:r>
    </w:p>
    <w:p>
      <w:pPr>
        <w:spacing w:after="0" w:line="150" w:lineRule="exact"/>
        <w:rPr>
          <w:rFonts w:ascii="Arial" w:cs="Arial" w:eastAsia="Arial" w:hAnsi="Arial"/>
          <w:sz w:val="20"/>
          <w:szCs w:val="20"/>
          <w:b w:val="1"/>
          <w:bCs w:val="1"/>
          <w:color w:val="0075A8"/>
        </w:rPr>
      </w:pPr>
    </w:p>
    <w:p>
      <w:pPr>
        <w:ind w:left="102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The Annual Meeting will be held on Wednesday, May 14, 2025, at 11:00 a.m. Pacific Daylight Time. The Annual Meeting will be held exclusively via a virtual format. You will be able to attend and participate in the Annual Meeting online by visiting www.virtualshareholdermeeting.com/​ SWKS2025.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w:t>
      </w:r>
    </w:p>
    <w:p>
      <w:pPr>
        <w:spacing w:after="0" w:line="181" w:lineRule="exact"/>
        <w:rPr>
          <w:rFonts w:ascii="Arial" w:cs="Arial" w:eastAsia="Arial" w:hAnsi="Arial"/>
          <w:sz w:val="20"/>
          <w:szCs w:val="20"/>
          <w:b w:val="1"/>
          <w:bCs w:val="1"/>
          <w:color w:val="0075A8"/>
        </w:rPr>
      </w:pPr>
    </w:p>
    <w:p>
      <w:pPr>
        <w:ind w:left="1020" w:right="920" w:hanging="366"/>
        <w:spacing w:after="0" w:line="284" w:lineRule="auto"/>
        <w:tabs>
          <w:tab w:leader="none" w:pos="1020" w:val="left"/>
        </w:tabs>
        <w:numPr>
          <w:ilvl w:val="0"/>
          <w:numId w:val="99"/>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the purpose of the Annual Meeting?</w:t>
      </w:r>
    </w:p>
    <w:p>
      <w:pPr>
        <w:spacing w:after="0" w:line="65" w:lineRule="exact"/>
        <w:rPr>
          <w:rFonts w:ascii="Arial" w:cs="Arial" w:eastAsia="Arial" w:hAnsi="Arial"/>
          <w:sz w:val="20"/>
          <w:szCs w:val="20"/>
          <w:b w:val="1"/>
          <w:bCs w:val="1"/>
          <w:color w:val="0075A8"/>
        </w:rPr>
      </w:pPr>
    </w:p>
    <w:p>
      <w:pPr>
        <w:ind w:left="1020" w:right="440"/>
        <w:spacing w:after="0" w:line="313" w:lineRule="auto"/>
        <w:rPr>
          <w:rFonts w:ascii="Arial" w:cs="Arial" w:eastAsia="Arial" w:hAnsi="Arial"/>
          <w:sz w:val="20"/>
          <w:szCs w:val="20"/>
          <w:b w:val="1"/>
          <w:bCs w:val="1"/>
          <w:color w:val="0075A8"/>
        </w:rPr>
      </w:pPr>
      <w:r>
        <w:rPr>
          <w:rFonts w:ascii="Arial" w:cs="Arial" w:eastAsia="Arial" w:hAnsi="Arial"/>
          <w:sz w:val="19"/>
          <w:szCs w:val="19"/>
          <w:color w:val="auto"/>
        </w:rPr>
        <w:t>At the Annual Meeting, stockholders will consider and vote on the following matters:</w:t>
      </w:r>
    </w:p>
    <w:p>
      <w:pPr>
        <w:spacing w:after="0" w:line="64" w:lineRule="exact"/>
        <w:rPr>
          <w:rFonts w:ascii="Arial" w:cs="Arial" w:eastAsia="Arial" w:hAnsi="Arial"/>
          <w:sz w:val="20"/>
          <w:szCs w:val="20"/>
          <w:b w:val="1"/>
          <w:bCs w:val="1"/>
          <w:color w:val="0075A8"/>
        </w:rPr>
      </w:pPr>
    </w:p>
    <w:p>
      <w:pPr>
        <w:ind w:left="1200" w:right="200" w:hanging="186"/>
        <w:spacing w:after="0" w:line="265" w:lineRule="auto"/>
        <w:tabs>
          <w:tab w:leader="none" w:pos="1200" w:val="left"/>
        </w:tabs>
        <w:numPr>
          <w:ilvl w:val="1"/>
          <w:numId w:val="99"/>
        </w:numPr>
        <w:rPr>
          <w:rFonts w:ascii="Arial" w:cs="Arial" w:eastAsia="Arial" w:hAnsi="Arial"/>
          <w:sz w:val="20"/>
          <w:szCs w:val="20"/>
          <w:color w:val="auto"/>
        </w:rPr>
      </w:pPr>
      <w:r>
        <w:rPr>
          <w:rFonts w:ascii="Arial" w:cs="Arial" w:eastAsia="Arial" w:hAnsi="Arial"/>
          <w:sz w:val="20"/>
          <w:szCs w:val="20"/>
          <w:i w:val="1"/>
          <w:iCs w:val="1"/>
          <w:color w:val="auto"/>
        </w:rPr>
        <w:t>Proposal 1</w:t>
      </w:r>
      <w:r>
        <w:rPr>
          <w:rFonts w:ascii="Arial" w:cs="Arial" w:eastAsia="Arial" w:hAnsi="Arial"/>
          <w:sz w:val="20"/>
          <w:szCs w:val="20"/>
          <w:color w:val="auto"/>
        </w:rPr>
        <w:t>: The election of the nine</w:t>
      </w:r>
      <w:r>
        <w:rPr>
          <w:rFonts w:ascii="Arial" w:cs="Arial" w:eastAsia="Arial" w:hAnsi="Arial"/>
          <w:sz w:val="20"/>
          <w:szCs w:val="20"/>
          <w:i w:val="1"/>
          <w:iCs w:val="1"/>
          <w:color w:val="auto"/>
        </w:rPr>
        <w:t xml:space="preserve"> </w:t>
      </w:r>
      <w:r>
        <w:rPr>
          <w:rFonts w:ascii="Arial" w:cs="Arial" w:eastAsia="Arial" w:hAnsi="Arial"/>
          <w:sz w:val="20"/>
          <w:szCs w:val="20"/>
          <w:color w:val="auto"/>
        </w:rPr>
        <w:t>nominees named in this Proxy Statement to our Board to serve until the 2026 Annual Meeting of Stockholders.</w:t>
      </w:r>
    </w:p>
    <w:p>
      <w:pPr>
        <w:spacing w:after="0" w:line="1" w:lineRule="exact"/>
        <w:rPr>
          <w:rFonts w:ascii="Arial" w:cs="Arial" w:eastAsia="Arial" w:hAnsi="Arial"/>
          <w:sz w:val="20"/>
          <w:szCs w:val="20"/>
          <w:color w:val="auto"/>
        </w:rPr>
      </w:pPr>
    </w:p>
    <w:p>
      <w:pPr>
        <w:jc w:val="both"/>
        <w:ind w:left="1200" w:right="140" w:hanging="186"/>
        <w:spacing w:after="0" w:line="276" w:lineRule="auto"/>
        <w:tabs>
          <w:tab w:leader="none" w:pos="1200" w:val="left"/>
        </w:tabs>
        <w:numPr>
          <w:ilvl w:val="1"/>
          <w:numId w:val="99"/>
        </w:numPr>
        <w:rPr>
          <w:rFonts w:ascii="Arial" w:cs="Arial" w:eastAsia="Arial" w:hAnsi="Arial"/>
          <w:sz w:val="19"/>
          <w:szCs w:val="19"/>
          <w:color w:val="auto"/>
        </w:rPr>
      </w:pPr>
      <w:r>
        <w:rPr>
          <w:rFonts w:ascii="Arial" w:cs="Arial" w:eastAsia="Arial" w:hAnsi="Arial"/>
          <w:sz w:val="19"/>
          <w:szCs w:val="19"/>
          <w:i w:val="1"/>
          <w:iCs w:val="1"/>
          <w:color w:val="auto"/>
        </w:rPr>
        <w:t xml:space="preserve">Proposal 2: </w:t>
      </w:r>
      <w:r>
        <w:rPr>
          <w:rFonts w:ascii="Arial" w:cs="Arial" w:eastAsia="Arial" w:hAnsi="Arial"/>
          <w:sz w:val="19"/>
          <w:szCs w:val="19"/>
          <w:color w:val="auto"/>
        </w:rPr>
        <w:t>The ratification of the selection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of KPMG LLP as our independent registered public accounting firm for fiscal year 2025.</w:t>
      </w:r>
    </w:p>
    <w:p>
      <w:pPr>
        <w:spacing w:after="0" w:line="2" w:lineRule="exact"/>
        <w:rPr>
          <w:rFonts w:ascii="Arial" w:cs="Arial" w:eastAsia="Arial" w:hAnsi="Arial"/>
          <w:sz w:val="19"/>
          <w:szCs w:val="19"/>
          <w:color w:val="auto"/>
        </w:rPr>
      </w:pPr>
    </w:p>
    <w:p>
      <w:pPr>
        <w:ind w:left="1200" w:right="60" w:hanging="186"/>
        <w:spacing w:after="0" w:line="284" w:lineRule="auto"/>
        <w:tabs>
          <w:tab w:leader="none" w:pos="1200" w:val="left"/>
        </w:tabs>
        <w:numPr>
          <w:ilvl w:val="1"/>
          <w:numId w:val="99"/>
        </w:numPr>
        <w:rPr>
          <w:rFonts w:ascii="Arial" w:cs="Arial" w:eastAsia="Arial" w:hAnsi="Arial"/>
          <w:sz w:val="19"/>
          <w:szCs w:val="19"/>
          <w:color w:val="auto"/>
        </w:rPr>
      </w:pPr>
      <w:r>
        <w:rPr>
          <w:rFonts w:ascii="Arial" w:cs="Arial" w:eastAsia="Arial" w:hAnsi="Arial"/>
          <w:sz w:val="19"/>
          <w:szCs w:val="19"/>
          <w:i w:val="1"/>
          <w:iCs w:val="1"/>
          <w:color w:val="auto"/>
        </w:rPr>
        <w:t xml:space="preserve">Proposal 3: </w:t>
      </w:r>
      <w:r>
        <w:rPr>
          <w:rFonts w:ascii="Arial" w:cs="Arial" w:eastAsia="Arial" w:hAnsi="Arial"/>
          <w:sz w:val="19"/>
          <w:szCs w:val="19"/>
          <w:color w:val="auto"/>
        </w:rPr>
        <w:t>The approval, on a non-binding</w:t>
      </w:r>
      <w:r>
        <w:rPr>
          <w:rFonts w:ascii="Arial" w:cs="Arial" w:eastAsia="Arial" w:hAnsi="Arial"/>
          <w:sz w:val="19"/>
          <w:szCs w:val="19"/>
          <w:i w:val="1"/>
          <w:iCs w:val="1"/>
          <w:color w:val="auto"/>
        </w:rPr>
        <w:t xml:space="preserve"> </w:t>
      </w:r>
      <w:r>
        <w:rPr>
          <w:rFonts w:ascii="Arial" w:cs="Arial" w:eastAsia="Arial" w:hAnsi="Arial"/>
          <w:sz w:val="19"/>
          <w:szCs w:val="19"/>
          <w:color w:val="auto"/>
        </w:rPr>
        <w:t>basis, of the compensation of our Named Executive Officers, as described above under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and in the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543" w:right="920"/>
        <w:spacing w:after="0" w:line="284" w:lineRule="auto"/>
        <w:rPr>
          <w:sz w:val="20"/>
          <w:szCs w:val="20"/>
          <w:color w:val="auto"/>
        </w:rPr>
      </w:pPr>
      <w:r>
        <w:rPr>
          <w:rFonts w:ascii="Arial" w:cs="Arial" w:eastAsia="Arial" w:hAnsi="Arial"/>
          <w:sz w:val="19"/>
          <w:szCs w:val="19"/>
          <w:color w:val="auto"/>
        </w:rPr>
        <w:t>tables and accompanying narrative disclosures in this Proxy Statement.</w:t>
      </w:r>
    </w:p>
    <w:p>
      <w:pPr>
        <w:ind w:left="543" w:right="40" w:hanging="183"/>
        <w:spacing w:after="0" w:line="260" w:lineRule="auto"/>
        <w:tabs>
          <w:tab w:leader="none" w:pos="543" w:val="left"/>
        </w:tabs>
        <w:numPr>
          <w:ilvl w:val="0"/>
          <w:numId w:val="100"/>
        </w:numPr>
        <w:rPr>
          <w:rFonts w:ascii="Arial" w:cs="Arial" w:eastAsia="Arial" w:hAnsi="Arial"/>
          <w:sz w:val="20"/>
          <w:szCs w:val="20"/>
          <w:color w:val="auto"/>
        </w:rPr>
      </w:pPr>
      <w:r>
        <w:rPr>
          <w:rFonts w:ascii="Arial" w:cs="Arial" w:eastAsia="Arial" w:hAnsi="Arial"/>
          <w:sz w:val="20"/>
          <w:szCs w:val="20"/>
          <w:i w:val="1"/>
          <w:iCs w:val="1"/>
          <w:color w:val="auto"/>
        </w:rPr>
        <w:t xml:space="preserve">Proposal 4: </w:t>
      </w:r>
      <w:r>
        <w:rPr>
          <w:rFonts w:ascii="Arial" w:cs="Arial" w:eastAsia="Arial" w:hAnsi="Arial"/>
          <w:sz w:val="20"/>
          <w:szCs w:val="20"/>
          <w:color w:val="auto"/>
        </w:rPr>
        <w:t>A non-binding stockholder</w:t>
      </w:r>
      <w:r>
        <w:rPr>
          <w:rFonts w:ascii="Arial" w:cs="Arial" w:eastAsia="Arial" w:hAnsi="Arial"/>
          <w:sz w:val="20"/>
          <w:szCs w:val="20"/>
          <w:i w:val="1"/>
          <w:iCs w:val="1"/>
          <w:color w:val="auto"/>
        </w:rPr>
        <w:t xml:space="preserve"> </w:t>
      </w:r>
      <w:r>
        <w:rPr>
          <w:rFonts w:ascii="Arial" w:cs="Arial" w:eastAsia="Arial" w:hAnsi="Arial"/>
          <w:sz w:val="20"/>
          <w:szCs w:val="20"/>
          <w:color w:val="auto"/>
        </w:rPr>
        <w:t>proposal regarding simple majority voting provisions, if properly presented at the Annual Meeting.</w:t>
      </w:r>
    </w:p>
    <w:p>
      <w:pPr>
        <w:spacing w:after="0" w:line="2" w:lineRule="exact"/>
        <w:rPr>
          <w:rFonts w:ascii="Arial" w:cs="Arial" w:eastAsia="Arial" w:hAnsi="Arial"/>
          <w:sz w:val="20"/>
          <w:szCs w:val="20"/>
          <w:color w:val="auto"/>
        </w:rPr>
      </w:pPr>
    </w:p>
    <w:p>
      <w:pPr>
        <w:ind w:left="543" w:right="160" w:hanging="183"/>
        <w:spacing w:after="0" w:line="274" w:lineRule="auto"/>
        <w:tabs>
          <w:tab w:leader="none" w:pos="543" w:val="left"/>
        </w:tabs>
        <w:numPr>
          <w:ilvl w:val="0"/>
          <w:numId w:val="100"/>
        </w:numPr>
        <w:rPr>
          <w:rFonts w:ascii="Arial" w:cs="Arial" w:eastAsia="Arial" w:hAnsi="Arial"/>
          <w:sz w:val="20"/>
          <w:szCs w:val="20"/>
          <w:color w:val="auto"/>
        </w:rPr>
      </w:pPr>
      <w:r>
        <w:rPr>
          <w:rFonts w:ascii="Arial" w:cs="Arial" w:eastAsia="Arial" w:hAnsi="Arial"/>
          <w:sz w:val="20"/>
          <w:szCs w:val="20"/>
          <w:i w:val="1"/>
          <w:iCs w:val="1"/>
          <w:color w:val="auto"/>
        </w:rPr>
        <w:t xml:space="preserve">Proposal 5: </w:t>
      </w:r>
      <w:r>
        <w:rPr>
          <w:rFonts w:ascii="Arial" w:cs="Arial" w:eastAsia="Arial" w:hAnsi="Arial"/>
          <w:sz w:val="20"/>
          <w:szCs w:val="20"/>
          <w:color w:val="auto"/>
        </w:rPr>
        <w:t>A non-binding stockholder</w:t>
      </w:r>
      <w:r>
        <w:rPr>
          <w:rFonts w:ascii="Arial" w:cs="Arial" w:eastAsia="Arial" w:hAnsi="Arial"/>
          <w:sz w:val="20"/>
          <w:szCs w:val="20"/>
          <w:i w:val="1"/>
          <w:iCs w:val="1"/>
          <w:color w:val="auto"/>
        </w:rPr>
        <w:t xml:space="preserve"> </w:t>
      </w:r>
      <w:r>
        <w:rPr>
          <w:rFonts w:ascii="Arial" w:cs="Arial" w:eastAsia="Arial" w:hAnsi="Arial"/>
          <w:sz w:val="20"/>
          <w:szCs w:val="20"/>
          <w:color w:val="auto"/>
        </w:rPr>
        <w:t>proposal regarding Scope 3 greenhouse gas emissions disclosure.</w:t>
      </w:r>
    </w:p>
    <w:p>
      <w:pPr>
        <w:spacing w:after="0" w:line="180" w:lineRule="exact"/>
        <w:rPr>
          <w:sz w:val="20"/>
          <w:szCs w:val="20"/>
          <w:color w:val="auto"/>
        </w:rPr>
      </w:pPr>
    </w:p>
    <w:p>
      <w:pPr>
        <w:ind w:left="363" w:right="400"/>
        <w:spacing w:after="0" w:line="269" w:lineRule="auto"/>
        <w:rPr>
          <w:sz w:val="20"/>
          <w:szCs w:val="20"/>
          <w:color w:val="auto"/>
        </w:rPr>
      </w:pPr>
      <w:r>
        <w:rPr>
          <w:rFonts w:ascii="Arial" w:cs="Arial" w:eastAsia="Arial" w:hAnsi="Arial"/>
          <w:sz w:val="20"/>
          <w:szCs w:val="20"/>
          <w:color w:val="auto"/>
        </w:rPr>
        <w:t>The stockholders will also act on any other business that may properly come before the meeting.</w:t>
      </w:r>
    </w:p>
    <w:p>
      <w:pPr>
        <w:spacing w:after="0" w:line="156" w:lineRule="exact"/>
        <w:rPr>
          <w:sz w:val="20"/>
          <w:szCs w:val="20"/>
          <w:color w:val="auto"/>
        </w:rPr>
      </w:pPr>
    </w:p>
    <w:p>
      <w:pPr>
        <w:ind w:left="363" w:hanging="363"/>
        <w:spacing w:after="0"/>
        <w:tabs>
          <w:tab w:leader="none" w:pos="363" w:val="left"/>
        </w:tabs>
        <w:numPr>
          <w:ilvl w:val="0"/>
          <w:numId w:val="101"/>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included in our proxy materials?</w:t>
      </w:r>
    </w:p>
    <w:p>
      <w:pPr>
        <w:spacing w:after="0" w:line="150" w:lineRule="exact"/>
        <w:rPr>
          <w:rFonts w:ascii="Arial" w:cs="Arial" w:eastAsia="Arial" w:hAnsi="Arial"/>
          <w:sz w:val="20"/>
          <w:szCs w:val="20"/>
          <w:b w:val="1"/>
          <w:bCs w:val="1"/>
          <w:color w:val="0075A8"/>
        </w:rPr>
      </w:pPr>
    </w:p>
    <w:p>
      <w:pPr>
        <w:ind w:left="363" w:right="80"/>
        <w:spacing w:after="0" w:line="256" w:lineRule="auto"/>
        <w:rPr>
          <w:rFonts w:ascii="Arial" w:cs="Arial" w:eastAsia="Arial" w:hAnsi="Arial"/>
          <w:sz w:val="20"/>
          <w:szCs w:val="20"/>
          <w:b w:val="1"/>
          <w:bCs w:val="1"/>
          <w:color w:val="0075A8"/>
        </w:rPr>
      </w:pPr>
      <w:r>
        <w:rPr>
          <w:rFonts w:ascii="Arial" w:cs="Arial" w:eastAsia="Arial" w:hAnsi="Arial"/>
          <w:sz w:val="20"/>
          <w:szCs w:val="20"/>
          <w:color w:val="auto"/>
        </w:rPr>
        <w:t>The Company’s Annual Report, which includes financial statements and “</w:t>
      </w:r>
      <w:r>
        <w:rPr>
          <w:rFonts w:ascii="Arial" w:cs="Arial" w:eastAsia="Arial" w:hAnsi="Arial"/>
          <w:sz w:val="20"/>
          <w:szCs w:val="20"/>
          <w:i w:val="1"/>
          <w:iCs w:val="1"/>
          <w:color w:val="auto"/>
        </w:rPr>
        <w:t>Management’s</w:t>
      </w:r>
      <w:r>
        <w:rPr>
          <w:rFonts w:ascii="Arial" w:cs="Arial" w:eastAsia="Arial" w:hAnsi="Arial"/>
          <w:sz w:val="20"/>
          <w:szCs w:val="20"/>
          <w:color w:val="auto"/>
        </w:rPr>
        <w:t xml:space="preserve"> </w:t>
      </w:r>
      <w:r>
        <w:rPr>
          <w:rFonts w:ascii="Arial" w:cs="Arial" w:eastAsia="Arial" w:hAnsi="Arial"/>
          <w:sz w:val="20"/>
          <w:szCs w:val="20"/>
          <w:i w:val="1"/>
          <w:iCs w:val="1"/>
          <w:color w:val="auto"/>
        </w:rPr>
        <w:t>Discussion and Analysis of Financial Condition and Results of Operation</w:t>
      </w:r>
      <w:r>
        <w:rPr>
          <w:rFonts w:ascii="Arial" w:cs="Arial" w:eastAsia="Arial" w:hAnsi="Arial"/>
          <w:sz w:val="20"/>
          <w:szCs w:val="20"/>
          <w:color w:val="auto"/>
        </w:rPr>
        <w:t>” for fiscal year 2024,</w:t>
      </w:r>
      <w:r>
        <w:rPr>
          <w:rFonts w:ascii="Arial" w:cs="Arial" w:eastAsia="Arial" w:hAnsi="Arial"/>
          <w:sz w:val="20"/>
          <w:szCs w:val="20"/>
          <w:i w:val="1"/>
          <w:iCs w:val="1"/>
          <w:color w:val="auto"/>
        </w:rPr>
        <w:t xml:space="preserve"> </w:t>
      </w:r>
      <w:r>
        <w:rPr>
          <w:rFonts w:ascii="Arial" w:cs="Arial" w:eastAsia="Arial" w:hAnsi="Arial"/>
          <w:sz w:val="20"/>
          <w:szCs w:val="20"/>
          <w:color w:val="auto"/>
        </w:rPr>
        <w:t>accompanies this Proxy Statement. This Proxy Statement and form of proxy, and/or notice of access thereto, are being first mailed to stockholders on or about March 28, 2025. The Proxy Statement and the Company’s Annual Report are available at www.skyworksinc.com/annualreport.</w:t>
      </w:r>
    </w:p>
    <w:p>
      <w:pPr>
        <w:spacing w:after="0" w:line="188"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02"/>
        </w:numPr>
        <w:rPr>
          <w:rFonts w:ascii="Arial" w:cs="Arial" w:eastAsia="Arial" w:hAnsi="Arial"/>
          <w:sz w:val="20"/>
          <w:szCs w:val="20"/>
          <w:b w:val="1"/>
          <w:bCs w:val="1"/>
          <w:color w:val="0075A8"/>
        </w:rPr>
      </w:pPr>
      <w:r>
        <w:rPr>
          <w:rFonts w:ascii="Arial" w:cs="Arial" w:eastAsia="Arial" w:hAnsi="Arial"/>
          <w:sz w:val="20"/>
          <w:szCs w:val="20"/>
          <w:b w:val="1"/>
          <w:bCs w:val="1"/>
          <w:color w:val="0075A8"/>
        </w:rPr>
        <w:t>Who can vote at our Annual Meeting?</w:t>
      </w:r>
    </w:p>
    <w:p>
      <w:pPr>
        <w:spacing w:after="0" w:line="150" w:lineRule="exact"/>
        <w:rPr>
          <w:rFonts w:ascii="Arial" w:cs="Arial" w:eastAsia="Arial" w:hAnsi="Arial"/>
          <w:sz w:val="20"/>
          <w:szCs w:val="20"/>
          <w:b w:val="1"/>
          <w:bCs w:val="1"/>
          <w:color w:val="0075A8"/>
        </w:rPr>
      </w:pPr>
    </w:p>
    <w:p>
      <w:pPr>
        <w:ind w:left="363" w:right="140"/>
        <w:spacing w:after="0" w:line="271" w:lineRule="auto"/>
        <w:rPr>
          <w:rFonts w:ascii="Arial" w:cs="Arial" w:eastAsia="Arial" w:hAnsi="Arial"/>
          <w:sz w:val="20"/>
          <w:szCs w:val="20"/>
          <w:b w:val="1"/>
          <w:bCs w:val="1"/>
          <w:color w:val="0075A8"/>
        </w:rPr>
      </w:pPr>
      <w:r>
        <w:rPr>
          <w:rFonts w:ascii="Arial" w:cs="Arial" w:eastAsia="Arial" w:hAnsi="Arial"/>
          <w:sz w:val="19"/>
          <w:szCs w:val="19"/>
          <w:color w:val="auto"/>
        </w:rPr>
        <w:t>Only stockholders of record at the close of business on March 20, 2025 (the “Record Date”), are entitled to notice of and to vote at the Annual Meeting. As of the Record Date, there were 153,574,827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156"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03"/>
        </w:numPr>
        <w:rPr>
          <w:rFonts w:ascii="Arial" w:cs="Arial" w:eastAsia="Arial" w:hAnsi="Arial"/>
          <w:sz w:val="20"/>
          <w:szCs w:val="20"/>
          <w:b w:val="1"/>
          <w:bCs w:val="1"/>
          <w:color w:val="0075A8"/>
        </w:rPr>
      </w:pPr>
      <w:r>
        <w:rPr>
          <w:rFonts w:ascii="Arial" w:cs="Arial" w:eastAsia="Arial" w:hAnsi="Arial"/>
          <w:sz w:val="20"/>
          <w:szCs w:val="20"/>
          <w:b w:val="1"/>
          <w:bCs w:val="1"/>
          <w:color w:val="0075A8"/>
        </w:rPr>
        <w:t>Is my vote important?</w:t>
      </w:r>
    </w:p>
    <w:p>
      <w:pPr>
        <w:spacing w:after="0" w:line="150" w:lineRule="exact"/>
        <w:rPr>
          <w:rFonts w:ascii="Arial" w:cs="Arial" w:eastAsia="Arial" w:hAnsi="Arial"/>
          <w:sz w:val="20"/>
          <w:szCs w:val="20"/>
          <w:b w:val="1"/>
          <w:bCs w:val="1"/>
          <w:color w:val="0075A8"/>
        </w:rPr>
      </w:pPr>
    </w:p>
    <w:p>
      <w:pPr>
        <w:jc w:val="both"/>
        <w:ind w:left="363" w:right="60"/>
        <w:spacing w:after="0" w:line="269" w:lineRule="auto"/>
        <w:rPr>
          <w:rFonts w:ascii="Arial" w:cs="Arial" w:eastAsia="Arial" w:hAnsi="Arial"/>
          <w:sz w:val="20"/>
          <w:szCs w:val="20"/>
          <w:b w:val="1"/>
          <w:bCs w:val="1"/>
          <w:color w:val="0075A8"/>
        </w:rPr>
      </w:pPr>
      <w:r>
        <w:rPr>
          <w:rFonts w:ascii="Arial" w:cs="Arial" w:eastAsia="Arial" w:hAnsi="Arial"/>
          <w:sz w:val="20"/>
          <w:szCs w:val="20"/>
          <w:color w:val="auto"/>
        </w:rPr>
        <w:t>Yes. Your vote is important no matter how many shares you own. Please take the time to vote in the way that is easiest and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268605</wp:posOffset>
            </wp:positionV>
            <wp:extent cx="779780" cy="2571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020" w:right="120"/>
        <w:spacing w:after="0" w:line="286" w:lineRule="auto"/>
        <w:rPr>
          <w:sz w:val="20"/>
          <w:szCs w:val="20"/>
          <w:color w:val="auto"/>
        </w:rPr>
      </w:pPr>
      <w:r>
        <w:rPr>
          <w:rFonts w:ascii="Arial" w:cs="Arial" w:eastAsia="Arial" w:hAnsi="Arial"/>
          <w:sz w:val="20"/>
          <w:szCs w:val="20"/>
          <w:color w:val="auto"/>
        </w:rPr>
        <w:t>convenient for you, and cast your vote as soon as possible.</w:t>
      </w:r>
    </w:p>
    <w:p>
      <w:pPr>
        <w:spacing w:after="0" w:line="152" w:lineRule="exact"/>
        <w:rPr>
          <w:sz w:val="20"/>
          <w:szCs w:val="20"/>
          <w:color w:val="auto"/>
        </w:rPr>
      </w:pPr>
    </w:p>
    <w:p>
      <w:pPr>
        <w:ind w:left="1020" w:right="620" w:hanging="366"/>
        <w:spacing w:after="0" w:line="284" w:lineRule="auto"/>
        <w:tabs>
          <w:tab w:leader="none" w:pos="1020" w:val="left"/>
        </w:tabs>
        <w:numPr>
          <w:ilvl w:val="0"/>
          <w:numId w:val="104"/>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stockholder of record?</w:t>
      </w:r>
    </w:p>
    <w:p>
      <w:pPr>
        <w:spacing w:after="0" w:line="65" w:lineRule="exact"/>
        <w:rPr>
          <w:rFonts w:ascii="Arial" w:cs="Arial" w:eastAsia="Arial" w:hAnsi="Arial"/>
          <w:sz w:val="20"/>
          <w:szCs w:val="20"/>
          <w:b w:val="1"/>
          <w:bCs w:val="1"/>
          <w:color w:val="0075A8"/>
        </w:rPr>
      </w:pPr>
    </w:p>
    <w:p>
      <w:pPr>
        <w:ind w:left="102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As a stockholder of record, you may vote in one of the following three ways whether or not you plan to attend the Annual Meeting online: (a) by completing and submitting your proxy via the Internet at the website address listed on the proxy card, (b) by completing and submitting your proxy using the toll-free telephone number listed on the proxy card, or (c) 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p>
    <w:p>
      <w:pPr>
        <w:spacing w:after="0" w:line="164" w:lineRule="exact"/>
        <w:rPr>
          <w:rFonts w:ascii="Arial" w:cs="Arial" w:eastAsia="Arial" w:hAnsi="Arial"/>
          <w:sz w:val="20"/>
          <w:szCs w:val="20"/>
          <w:b w:val="1"/>
          <w:bCs w:val="1"/>
          <w:color w:val="0075A8"/>
        </w:rPr>
      </w:pPr>
    </w:p>
    <w:p>
      <w:pPr>
        <w:ind w:left="1020" w:right="200" w:hanging="366"/>
        <w:spacing w:after="0" w:line="298" w:lineRule="auto"/>
        <w:tabs>
          <w:tab w:leader="none" w:pos="1020" w:val="left"/>
        </w:tabs>
        <w:numPr>
          <w:ilvl w:val="0"/>
          <w:numId w:val="105"/>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beneficial owner of shares held in “street name”?</w:t>
      </w:r>
    </w:p>
    <w:p>
      <w:pPr>
        <w:spacing w:after="0" w:line="38" w:lineRule="exact"/>
        <w:rPr>
          <w:rFonts w:ascii="Arial" w:cs="Arial" w:eastAsia="Arial" w:hAnsi="Arial"/>
          <w:sz w:val="20"/>
          <w:szCs w:val="20"/>
          <w:b w:val="1"/>
          <w:bCs w:val="1"/>
          <w:color w:val="0075A8"/>
        </w:rPr>
      </w:pPr>
    </w:p>
    <w:p>
      <w:pPr>
        <w:ind w:left="1020" w:right="40"/>
        <w:spacing w:after="0" w:line="270" w:lineRule="auto"/>
        <w:rPr>
          <w:rFonts w:ascii="Arial" w:cs="Arial" w:eastAsia="Arial" w:hAnsi="Arial"/>
          <w:sz w:val="20"/>
          <w:szCs w:val="20"/>
          <w:b w:val="1"/>
          <w:bCs w:val="1"/>
          <w:color w:val="0075A8"/>
        </w:rPr>
      </w:pPr>
      <w:r>
        <w:rPr>
          <w:rFonts w:ascii="Arial" w:cs="Arial" w:eastAsia="Arial" w:hAnsi="Arial"/>
          <w:sz w:val="19"/>
          <w:szCs w:val="19"/>
          <w:color w:val="auto"/>
        </w:rPr>
        <w:t>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 broker (or other nominee) as to the voting of your “street name”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3" w:right="300" w:hanging="363"/>
        <w:spacing w:after="0" w:line="269" w:lineRule="auto"/>
        <w:tabs>
          <w:tab w:leader="none" w:pos="363" w:val="left"/>
        </w:tabs>
        <w:numPr>
          <w:ilvl w:val="0"/>
          <w:numId w:val="106"/>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participant in the Skyworks 401(k) Savings and Retirement Plan?</w:t>
      </w:r>
    </w:p>
    <w:p>
      <w:pPr>
        <w:spacing w:after="0" w:line="65" w:lineRule="exact"/>
        <w:rPr>
          <w:rFonts w:ascii="Arial" w:cs="Arial" w:eastAsia="Arial" w:hAnsi="Arial"/>
          <w:sz w:val="20"/>
          <w:szCs w:val="20"/>
          <w:b w:val="1"/>
          <w:bCs w:val="1"/>
          <w:color w:val="0075A8"/>
        </w:rPr>
      </w:pPr>
    </w:p>
    <w:p>
      <w:pPr>
        <w:ind w:left="363" w:right="40"/>
        <w:spacing w:after="0" w:line="258" w:lineRule="auto"/>
        <w:rPr>
          <w:rFonts w:ascii="Arial" w:cs="Arial" w:eastAsia="Arial" w:hAnsi="Arial"/>
          <w:sz w:val="20"/>
          <w:szCs w:val="20"/>
          <w:b w:val="1"/>
          <w:bCs w:val="1"/>
          <w:color w:val="0075A8"/>
        </w:rPr>
      </w:pPr>
      <w:r>
        <w:rPr>
          <w:rFonts w:ascii="Arial" w:cs="Arial" w:eastAsia="Arial" w:hAnsi="Arial"/>
          <w:sz w:val="20"/>
          <w:szCs w:val="20"/>
          <w:color w:val="auto"/>
        </w:rPr>
        <w:t>If you are a participant in the Skyworks 401(k) Savings and Retirement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80"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07"/>
        </w:numPr>
        <w:rPr>
          <w:rFonts w:ascii="Arial" w:cs="Arial" w:eastAsia="Arial" w:hAnsi="Arial"/>
          <w:sz w:val="20"/>
          <w:szCs w:val="20"/>
          <w:b w:val="1"/>
          <w:bCs w:val="1"/>
          <w:color w:val="0075A8"/>
        </w:rPr>
      </w:pPr>
      <w:r>
        <w:rPr>
          <w:rFonts w:ascii="Arial" w:cs="Arial" w:eastAsia="Arial" w:hAnsi="Arial"/>
          <w:sz w:val="20"/>
          <w:szCs w:val="20"/>
          <w:b w:val="1"/>
          <w:bCs w:val="1"/>
          <w:color w:val="0075A8"/>
        </w:rPr>
        <w:t>Can I change my vote after I have voted?</w:t>
      </w:r>
    </w:p>
    <w:p>
      <w:pPr>
        <w:spacing w:after="0" w:line="150" w:lineRule="exact"/>
        <w:rPr>
          <w:rFonts w:ascii="Arial" w:cs="Arial" w:eastAsia="Arial" w:hAnsi="Arial"/>
          <w:sz w:val="20"/>
          <w:szCs w:val="20"/>
          <w:b w:val="1"/>
          <w:bCs w:val="1"/>
          <w:color w:val="0075A8"/>
        </w:rPr>
      </w:pPr>
    </w:p>
    <w:p>
      <w:pPr>
        <w:ind w:left="363" w:right="40"/>
        <w:spacing w:after="0" w:line="268" w:lineRule="auto"/>
        <w:rPr>
          <w:rFonts w:ascii="Arial" w:cs="Arial" w:eastAsia="Arial" w:hAnsi="Arial"/>
          <w:sz w:val="20"/>
          <w:szCs w:val="20"/>
          <w:b w:val="1"/>
          <w:bCs w:val="1"/>
          <w:color w:val="0075A8"/>
        </w:rPr>
      </w:pPr>
      <w:r>
        <w:rPr>
          <w:rFonts w:ascii="Arial" w:cs="Arial" w:eastAsia="Arial" w:hAnsi="Arial"/>
          <w:sz w:val="19"/>
          <w:szCs w:val="19"/>
          <w:color w:val="auto"/>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w:t>
      </w:r>
    </w:p>
    <w:p>
      <w:pPr>
        <w:spacing w:after="0" w:line="7" w:lineRule="exact"/>
        <w:rPr>
          <w:rFonts w:ascii="Arial" w:cs="Arial" w:eastAsia="Arial" w:hAnsi="Arial"/>
          <w:sz w:val="20"/>
          <w:szCs w:val="20"/>
          <w:b w:val="1"/>
          <w:bCs w:val="1"/>
          <w:color w:val="0075A8"/>
        </w:rPr>
      </w:pPr>
    </w:p>
    <w:p>
      <w:pPr>
        <w:ind w:left="363" w:right="4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p>
    <w:p>
      <w:pPr>
        <w:spacing w:after="0" w:line="157" w:lineRule="exact"/>
        <w:rPr>
          <w:rFonts w:ascii="Arial" w:cs="Arial" w:eastAsia="Arial" w:hAnsi="Arial"/>
          <w:sz w:val="20"/>
          <w:szCs w:val="20"/>
          <w:b w:val="1"/>
          <w:bCs w:val="1"/>
          <w:color w:val="0075A8"/>
        </w:rPr>
      </w:pPr>
    </w:p>
    <w:p>
      <w:pPr>
        <w:ind w:left="363" w:right="800" w:hanging="363"/>
        <w:spacing w:after="0" w:line="298" w:lineRule="auto"/>
        <w:tabs>
          <w:tab w:leader="none" w:pos="363" w:val="left"/>
        </w:tabs>
        <w:numPr>
          <w:ilvl w:val="0"/>
          <w:numId w:val="108"/>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virtually attend the Annual Meeting?</w:t>
      </w:r>
    </w:p>
    <w:p>
      <w:pPr>
        <w:spacing w:after="0" w:line="38" w:lineRule="exact"/>
        <w:rPr>
          <w:rFonts w:ascii="Arial" w:cs="Arial" w:eastAsia="Arial" w:hAnsi="Arial"/>
          <w:sz w:val="20"/>
          <w:szCs w:val="20"/>
          <w:b w:val="1"/>
          <w:bCs w:val="1"/>
          <w:color w:val="0075A8"/>
        </w:rPr>
      </w:pPr>
    </w:p>
    <w:p>
      <w:pPr>
        <w:ind w:left="363" w:right="220"/>
        <w:spacing w:after="0" w:line="259" w:lineRule="auto"/>
        <w:rPr>
          <w:rFonts w:ascii="Arial" w:cs="Arial" w:eastAsia="Arial" w:hAnsi="Arial"/>
          <w:sz w:val="20"/>
          <w:szCs w:val="20"/>
          <w:b w:val="1"/>
          <w:bCs w:val="1"/>
          <w:color w:val="0075A8"/>
        </w:rPr>
      </w:pPr>
      <w:r>
        <w:rPr>
          <w:rFonts w:ascii="Arial" w:cs="Arial" w:eastAsia="Arial" w:hAnsi="Arial"/>
          <w:sz w:val="20"/>
          <w:szCs w:val="20"/>
          <w:color w:val="auto"/>
        </w:rPr>
        <w:t>You are invited to attend the Annual Meeting online by visiting www.virtualshareholdermeeting.com/​ SWKS2025, where you will be able to listen to the meeting live, submit questions, and vote. The meeting will begin at 11:00 a.m. Pacific Daylight Time. In order to participate</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83"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 the meeting, you will need the multi-digit</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number included in your proxy card, voter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instruction form, or notice. Instructions on how</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to attend and participate online, including how</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to demonstrate proof of stock ownership, will be</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posted 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www.virtualshareholdermeeting.com/​</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SWKS2025.</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Online check-in will begin at 10:50 a.m. Pacific</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Daylight Time on May 14, 2025, and you should</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allow ample time for the online check-in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proceedings. We will have technicians standing</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by and ready to assist you with any technical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difficulties you may have accessing the virtual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starting at 10:50 a.m. Pacific Daylight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Time on May 14, 2025. If you encounter any</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difficulties accessing the virtual meeting during</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check-in time or meeting time, please call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the phone number that will be listed at that time</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www.virtualshareholdermeeting.com/​</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SWKS2025.</w:t>
      </w:r>
    </w:p>
    <w:p>
      <w:pPr>
        <w:spacing w:after="0" w:line="209" w:lineRule="exact"/>
        <w:rPr>
          <w:sz w:val="20"/>
          <w:szCs w:val="20"/>
          <w:color w:val="auto"/>
        </w:rPr>
      </w:pPr>
    </w:p>
    <w:p>
      <w:pPr>
        <w:ind w:left="1020" w:hanging="366"/>
        <w:spacing w:after="0"/>
        <w:tabs>
          <w:tab w:leader="none" w:pos="1020" w:val="left"/>
        </w:tabs>
        <w:numPr>
          <w:ilvl w:val="0"/>
          <w:numId w:val="109"/>
        </w:numPr>
        <w:rPr>
          <w:rFonts w:ascii="Arial" w:cs="Arial" w:eastAsia="Arial" w:hAnsi="Arial"/>
          <w:sz w:val="19"/>
          <w:szCs w:val="19"/>
          <w:b w:val="1"/>
          <w:bCs w:val="1"/>
          <w:color w:val="0075A8"/>
        </w:rPr>
      </w:pPr>
      <w:r>
        <w:rPr>
          <w:rFonts w:ascii="Arial" w:cs="Arial" w:eastAsia="Arial" w:hAnsi="Arial"/>
          <w:sz w:val="19"/>
          <w:szCs w:val="19"/>
          <w:b w:val="1"/>
          <w:bCs w:val="1"/>
          <w:color w:val="0075A8"/>
        </w:rPr>
        <w:t>If I vote by proxy, how will my vote be cast?</w:t>
      </w:r>
    </w:p>
    <w:p>
      <w:pPr>
        <w:spacing w:after="0" w:line="148" w:lineRule="exact"/>
        <w:rPr>
          <w:rFonts w:ascii="Arial" w:cs="Arial" w:eastAsia="Arial" w:hAnsi="Arial"/>
          <w:sz w:val="19"/>
          <w:szCs w:val="19"/>
          <w:b w:val="1"/>
          <w:bCs w:val="1"/>
          <w:color w:val="0075A8"/>
        </w:rPr>
      </w:pPr>
    </w:p>
    <w:p>
      <w:pPr>
        <w:ind w:left="1020"/>
        <w:spacing w:after="0" w:line="255" w:lineRule="auto"/>
        <w:rPr>
          <w:rFonts w:ascii="Arial" w:cs="Arial" w:eastAsia="Arial" w:hAnsi="Arial"/>
          <w:sz w:val="19"/>
          <w:szCs w:val="19"/>
          <w:b w:val="1"/>
          <w:bCs w:val="1"/>
          <w:color w:val="0075A8"/>
        </w:rPr>
      </w:pPr>
      <w:r>
        <w:rPr>
          <w:rFonts w:ascii="Arial" w:cs="Arial" w:eastAsia="Arial" w:hAnsi="Arial"/>
          <w:sz w:val="20"/>
          <w:szCs w:val="20"/>
          <w:color w:val="auto"/>
        </w:rPr>
        <w:t>The persons named as attorneys-in-fact in this Proxy Statement, Kris Sennesael and Robert J. Terry, were selected by the Board and are officers of the Company. As attorneys-in-fact, Messrs. Sennesael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191" w:lineRule="exact"/>
        <w:rPr>
          <w:rFonts w:ascii="Arial" w:cs="Arial" w:eastAsia="Arial" w:hAnsi="Arial"/>
          <w:sz w:val="19"/>
          <w:szCs w:val="19"/>
          <w:b w:val="1"/>
          <w:bCs w:val="1"/>
          <w:color w:val="0075A8"/>
        </w:rPr>
      </w:pPr>
    </w:p>
    <w:p>
      <w:pPr>
        <w:ind w:left="1020" w:right="40" w:hanging="366"/>
        <w:spacing w:after="0" w:line="269" w:lineRule="auto"/>
        <w:tabs>
          <w:tab w:leader="none" w:pos="1020" w:val="left"/>
        </w:tabs>
        <w:numPr>
          <w:ilvl w:val="0"/>
          <w:numId w:val="110"/>
        </w:numPr>
        <w:rPr>
          <w:rFonts w:ascii="Arial" w:cs="Arial" w:eastAsia="Arial" w:hAnsi="Arial"/>
          <w:sz w:val="20"/>
          <w:szCs w:val="20"/>
          <w:b w:val="1"/>
          <w:bCs w:val="1"/>
          <w:color w:val="0075A8"/>
        </w:rPr>
      </w:pPr>
      <w:r>
        <w:rPr>
          <w:rFonts w:ascii="Arial" w:cs="Arial" w:eastAsia="Arial" w:hAnsi="Arial"/>
          <w:sz w:val="20"/>
          <w:szCs w:val="20"/>
          <w:b w:val="1"/>
          <w:bCs w:val="1"/>
          <w:color w:val="0075A8"/>
        </w:rPr>
        <w:t>How will my shares be voted if I do not give specific voting instructions when I deliver my proxy?</w:t>
      </w:r>
    </w:p>
    <w:p>
      <w:pPr>
        <w:spacing w:after="0" w:line="65" w:lineRule="exact"/>
        <w:rPr>
          <w:rFonts w:ascii="Arial" w:cs="Arial" w:eastAsia="Arial" w:hAnsi="Arial"/>
          <w:sz w:val="20"/>
          <w:szCs w:val="20"/>
          <w:b w:val="1"/>
          <w:bCs w:val="1"/>
          <w:color w:val="0075A8"/>
        </w:rPr>
      </w:pPr>
    </w:p>
    <w:p>
      <w:pPr>
        <w:ind w:left="1020" w:right="140"/>
        <w:spacing w:after="0" w:line="286" w:lineRule="auto"/>
        <w:rPr>
          <w:rFonts w:ascii="Arial" w:cs="Arial" w:eastAsia="Arial" w:hAnsi="Arial"/>
          <w:sz w:val="20"/>
          <w:szCs w:val="20"/>
          <w:b w:val="1"/>
          <w:bCs w:val="1"/>
          <w:color w:val="0075A8"/>
        </w:rPr>
      </w:pPr>
      <w:r>
        <w:rPr>
          <w:rFonts w:ascii="Arial" w:cs="Arial" w:eastAsia="Arial" w:hAnsi="Arial"/>
          <w:sz w:val="20"/>
          <w:szCs w:val="20"/>
          <w:color w:val="auto"/>
        </w:rPr>
        <w:t>If you are a stockholder of record and deliver a proxy but do not give specific voting</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3" w:right="180"/>
        <w:spacing w:after="0" w:line="264" w:lineRule="auto"/>
        <w:rPr>
          <w:sz w:val="20"/>
          <w:szCs w:val="20"/>
          <w:color w:val="auto"/>
        </w:rPr>
      </w:pPr>
      <w:r>
        <w:rPr>
          <w:rFonts w:ascii="Arial" w:cs="Arial" w:eastAsia="Arial" w:hAnsi="Arial"/>
          <w:sz w:val="20"/>
          <w:szCs w:val="20"/>
          <w:color w:val="auto"/>
        </w:rPr>
        <w:t>instructions, then the proxy holders will vote your shares as recommended by the Board or, if no recommendation is given, in their own discretion.</w:t>
      </w:r>
    </w:p>
    <w:p>
      <w:pPr>
        <w:spacing w:after="0" w:line="176" w:lineRule="exact"/>
        <w:rPr>
          <w:sz w:val="20"/>
          <w:szCs w:val="20"/>
          <w:color w:val="auto"/>
        </w:rPr>
      </w:pPr>
    </w:p>
    <w:p>
      <w:pPr>
        <w:ind w:left="363" w:right="60"/>
        <w:spacing w:after="0" w:line="270" w:lineRule="auto"/>
        <w:rPr>
          <w:sz w:val="20"/>
          <w:szCs w:val="20"/>
          <w:color w:val="auto"/>
        </w:rPr>
      </w:pPr>
      <w:r>
        <w:rPr>
          <w:rFonts w:ascii="Arial" w:cs="Arial" w:eastAsia="Arial" w:hAnsi="Arial"/>
          <w:sz w:val="19"/>
          <w:szCs w:val="19"/>
          <w:color w:val="auto"/>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19"/>
          <w:szCs w:val="19"/>
          <w:b w:val="1"/>
          <w:bCs w:val="1"/>
          <w:color w:val="auto"/>
        </w:rPr>
        <w:t>If you beneficially own</w:t>
      </w:r>
      <w:r>
        <w:rPr>
          <w:rFonts w:ascii="Arial" w:cs="Arial" w:eastAsia="Arial" w:hAnsi="Arial"/>
          <w:sz w:val="19"/>
          <w:szCs w:val="19"/>
          <w:color w:val="auto"/>
        </w:rPr>
        <w:t xml:space="preserve"> </w:t>
      </w:r>
      <w:r>
        <w:rPr>
          <w:rFonts w:ascii="Arial" w:cs="Arial" w:eastAsia="Arial" w:hAnsi="Arial"/>
          <w:sz w:val="19"/>
          <w:szCs w:val="19"/>
          <w:b w:val="1"/>
          <w:bCs w:val="1"/>
          <w:color w:val="auto"/>
        </w:rPr>
        <w:t>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Arial" w:cs="Arial" w:eastAsia="Arial" w:hAnsi="Arial"/>
          <w:sz w:val="19"/>
          <w:szCs w:val="19"/>
          <w:color w:val="auto"/>
        </w:rPr>
        <w:t>.</w:t>
      </w:r>
    </w:p>
    <w:p>
      <w:pPr>
        <w:spacing w:after="0" w:line="16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If you are a participant in the 401(k) Plan, the</w:t>
      </w:r>
    </w:p>
    <w:p>
      <w:pPr>
        <w:spacing w:after="0" w:line="31" w:lineRule="exact"/>
        <w:rPr>
          <w:sz w:val="20"/>
          <w:szCs w:val="20"/>
          <w:color w:val="auto"/>
        </w:rPr>
      </w:pPr>
    </w:p>
    <w:p>
      <w:pPr>
        <w:ind w:left="363"/>
        <w:spacing w:after="0"/>
        <w:rPr>
          <w:sz w:val="20"/>
          <w:szCs w:val="20"/>
          <w:color w:val="auto"/>
        </w:rPr>
      </w:pPr>
      <w:r>
        <w:rPr>
          <w:rFonts w:ascii="Arial" w:cs="Arial" w:eastAsia="Arial" w:hAnsi="Arial"/>
          <w:sz w:val="20"/>
          <w:szCs w:val="20"/>
          <w:color w:val="auto"/>
        </w:rPr>
        <w:t>trustee of the 401(k) Plan may not vote your</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401(k) Plan shares if the trustee does not</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receive voting instructions from you by</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11:59 p.m. Eastern Daylight Time on May 9,</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2025, unless otherwise required by law.</w:t>
      </w:r>
    </w:p>
    <w:p>
      <w:pPr>
        <w:spacing w:after="0" w:line="209" w:lineRule="exact"/>
        <w:rPr>
          <w:sz w:val="20"/>
          <w:szCs w:val="20"/>
          <w:color w:val="auto"/>
        </w:rPr>
      </w:pPr>
    </w:p>
    <w:p>
      <w:pPr>
        <w:ind w:left="363" w:hanging="363"/>
        <w:spacing w:after="0"/>
        <w:tabs>
          <w:tab w:leader="none" w:pos="363" w:val="left"/>
        </w:tabs>
        <w:numPr>
          <w:ilvl w:val="0"/>
          <w:numId w:val="111"/>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a “broker non-vote”?</w:t>
      </w:r>
    </w:p>
    <w:p>
      <w:pPr>
        <w:spacing w:after="0" w:line="136" w:lineRule="exact"/>
        <w:rPr>
          <w:rFonts w:ascii="Arial" w:cs="Arial" w:eastAsia="Arial" w:hAnsi="Arial"/>
          <w:sz w:val="20"/>
          <w:szCs w:val="20"/>
          <w:b w:val="1"/>
          <w:bCs w:val="1"/>
          <w:color w:val="0075A8"/>
        </w:rPr>
      </w:pPr>
    </w:p>
    <w:p>
      <w:pPr>
        <w:ind w:left="363" w:right="40"/>
        <w:spacing w:after="0" w:line="271" w:lineRule="auto"/>
        <w:rPr>
          <w:rFonts w:ascii="Arial" w:cs="Arial" w:eastAsia="Arial" w:hAnsi="Arial"/>
          <w:sz w:val="20"/>
          <w:szCs w:val="20"/>
          <w:b w:val="1"/>
          <w:bCs w:val="1"/>
          <w:color w:val="0075A8"/>
        </w:rPr>
      </w:pPr>
      <w:r>
        <w:rPr>
          <w:rFonts w:ascii="Arial" w:cs="Arial" w:eastAsia="Arial" w:hAnsi="Arial"/>
          <w:sz w:val="19"/>
          <w:szCs w:val="19"/>
          <w:color w:val="auto"/>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on a particular proposal because the broker (or other nominee) does not have authority to vote on that proposal and has not received voting instructions from you. “Broker non-votes” are not counted to determine the number of votes present for the particular proposal, nor are they counted as votes “</w:t>
      </w:r>
      <w:r>
        <w:rPr>
          <w:rFonts w:ascii="Arial" w:cs="Arial" w:eastAsia="Arial" w:hAnsi="Arial"/>
          <w:sz w:val="19"/>
          <w:szCs w:val="19"/>
          <w:b w:val="1"/>
          <w:bCs w:val="1"/>
          <w:color w:val="auto"/>
        </w:rPr>
        <w:t>FOR</w:t>
      </w:r>
      <w:r>
        <w:rPr>
          <w:rFonts w:ascii="Arial" w:cs="Arial" w:eastAsia="Arial" w:hAnsi="Arial"/>
          <w:sz w:val="19"/>
          <w:szCs w:val="19"/>
          <w:color w:val="auto"/>
        </w:rPr>
        <w:t>” or “</w:t>
      </w:r>
      <w:r>
        <w:rPr>
          <w:rFonts w:ascii="Arial" w:cs="Arial" w:eastAsia="Arial" w:hAnsi="Arial"/>
          <w:sz w:val="19"/>
          <w:szCs w:val="19"/>
          <w:b w:val="1"/>
          <w:bCs w:val="1"/>
          <w:color w:val="auto"/>
        </w:rPr>
        <w:t>AGAINST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278130</wp:posOffset>
            </wp:positionV>
            <wp:extent cx="779780" cy="257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020"/>
        <w:spacing w:after="0" w:line="272" w:lineRule="auto"/>
        <w:rPr>
          <w:sz w:val="20"/>
          <w:szCs w:val="20"/>
          <w:color w:val="auto"/>
        </w:rPr>
      </w:pPr>
      <w:r>
        <w:rPr>
          <w:rFonts w:ascii="Arial" w:cs="Arial" w:eastAsia="Arial" w:hAnsi="Arial"/>
          <w:sz w:val="19"/>
          <w:szCs w:val="19"/>
          <w:color w:val="auto"/>
        </w:rPr>
        <w:t>the proposal in question or as abstentions.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p>
    <w:p>
      <w:pPr>
        <w:spacing w:after="0" w:line="172" w:lineRule="exact"/>
        <w:rPr>
          <w:sz w:val="20"/>
          <w:szCs w:val="20"/>
          <w:color w:val="auto"/>
        </w:rPr>
      </w:pPr>
    </w:p>
    <w:p>
      <w:pPr>
        <w:ind w:left="1020" w:hanging="366"/>
        <w:spacing w:after="0"/>
        <w:tabs>
          <w:tab w:leader="none" w:pos="1020" w:val="left"/>
        </w:tabs>
        <w:numPr>
          <w:ilvl w:val="0"/>
          <w:numId w:val="112"/>
        </w:numPr>
        <w:rPr>
          <w:rFonts w:ascii="Arial" w:cs="Arial" w:eastAsia="Arial" w:hAnsi="Arial"/>
          <w:sz w:val="20"/>
          <w:szCs w:val="20"/>
          <w:b w:val="1"/>
          <w:bCs w:val="1"/>
          <w:color w:val="0075A8"/>
        </w:rPr>
      </w:pPr>
      <w:r>
        <w:rPr>
          <w:rFonts w:ascii="Arial" w:cs="Arial" w:eastAsia="Arial" w:hAnsi="Arial"/>
          <w:sz w:val="20"/>
          <w:szCs w:val="20"/>
          <w:b w:val="1"/>
          <w:bCs w:val="1"/>
          <w:color w:val="0075A8"/>
        </w:rPr>
        <w:t>What vote is required for each matter?</w:t>
      </w:r>
    </w:p>
    <w:p>
      <w:pPr>
        <w:spacing w:after="0" w:line="136" w:lineRule="exact"/>
        <w:rPr>
          <w:rFonts w:ascii="Arial" w:cs="Arial" w:eastAsia="Arial" w:hAnsi="Arial"/>
          <w:sz w:val="20"/>
          <w:szCs w:val="20"/>
          <w:b w:val="1"/>
          <w:bCs w:val="1"/>
          <w:color w:val="0075A8"/>
        </w:rPr>
      </w:pPr>
    </w:p>
    <w:p>
      <w:pPr>
        <w:ind w:left="1020"/>
        <w:spacing w:after="0" w:line="269" w:lineRule="auto"/>
        <w:rPr>
          <w:rFonts w:ascii="Arial" w:cs="Arial" w:eastAsia="Arial" w:hAnsi="Arial"/>
          <w:sz w:val="20"/>
          <w:szCs w:val="20"/>
          <w:b w:val="1"/>
          <w:bCs w:val="1"/>
          <w:color w:val="0075A8"/>
        </w:rPr>
      </w:pPr>
      <w:r>
        <w:rPr>
          <w:rFonts w:ascii="Arial" w:cs="Arial" w:eastAsia="Arial" w:hAnsi="Arial"/>
          <w:sz w:val="19"/>
          <w:szCs w:val="19"/>
          <w:i w:val="1"/>
          <w:iCs w:val="1"/>
          <w:color w:val="auto"/>
        </w:rPr>
        <w:t xml:space="preserve">Election of Directors. </w:t>
      </w:r>
      <w:r>
        <w:rPr>
          <w:rFonts w:ascii="Arial" w:cs="Arial" w:eastAsia="Arial" w:hAnsi="Arial"/>
          <w:sz w:val="19"/>
          <w:szCs w:val="19"/>
          <w:color w:val="auto"/>
        </w:rPr>
        <w:t>Pursuant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By-laws, a nominee will be elected to the Board if the votes cast “</w:t>
      </w:r>
      <w:r>
        <w:rPr>
          <w:rFonts w:ascii="Arial" w:cs="Arial" w:eastAsia="Arial" w:hAnsi="Arial"/>
          <w:sz w:val="19"/>
          <w:szCs w:val="19"/>
          <w:b w:val="1"/>
          <w:bCs w:val="1"/>
          <w:color w:val="auto"/>
        </w:rPr>
        <w:t>FOR</w:t>
      </w:r>
      <w:r>
        <w:rPr>
          <w:rFonts w:ascii="Arial" w:cs="Arial" w:eastAsia="Arial" w:hAnsi="Arial"/>
          <w:sz w:val="19"/>
          <w:szCs w:val="19"/>
          <w:color w:val="auto"/>
        </w:rPr>
        <w:t>” the nominee’s election at the Annual Meeting exceed the votes cast “</w:t>
      </w:r>
      <w:r>
        <w:rPr>
          <w:rFonts w:ascii="Arial" w:cs="Arial" w:eastAsia="Arial" w:hAnsi="Arial"/>
          <w:sz w:val="19"/>
          <w:szCs w:val="19"/>
          <w:b w:val="1"/>
          <w:bCs w:val="1"/>
          <w:color w:val="auto"/>
        </w:rPr>
        <w:t>AGAINST</w:t>
      </w:r>
      <w:r>
        <w:rPr>
          <w:rFonts w:ascii="Arial" w:cs="Arial" w:eastAsia="Arial" w:hAnsi="Arial"/>
          <w:sz w:val="19"/>
          <w:szCs w:val="19"/>
          <w:color w:val="auto"/>
        </w:rPr>
        <w:t>” the nominee’s election (as long as the only director nominees are those individuals set forth in this Proxy Statement). Abstentions and “broker non-votes” will not count as votes “</w:t>
      </w:r>
      <w:r>
        <w:rPr>
          <w:rFonts w:ascii="Arial" w:cs="Arial" w:eastAsia="Arial" w:hAnsi="Arial"/>
          <w:sz w:val="19"/>
          <w:szCs w:val="19"/>
          <w:b w:val="1"/>
          <w:bCs w:val="1"/>
          <w:color w:val="auto"/>
        </w:rPr>
        <w:t>FOR</w:t>
      </w:r>
      <w:r>
        <w:rPr>
          <w:rFonts w:ascii="Arial" w:cs="Arial" w:eastAsia="Arial" w:hAnsi="Arial"/>
          <w:sz w:val="19"/>
          <w:szCs w:val="19"/>
          <w:color w:val="auto"/>
        </w:rPr>
        <w:t>” or “</w:t>
      </w:r>
      <w:r>
        <w:rPr>
          <w:rFonts w:ascii="Arial" w:cs="Arial" w:eastAsia="Arial" w:hAnsi="Arial"/>
          <w:sz w:val="19"/>
          <w:szCs w:val="19"/>
          <w:b w:val="1"/>
          <w:bCs w:val="1"/>
          <w:color w:val="auto"/>
        </w:rPr>
        <w:t>AGAINST</w:t>
      </w:r>
      <w:r>
        <w:rPr>
          <w:rFonts w:ascii="Arial" w:cs="Arial" w:eastAsia="Arial" w:hAnsi="Arial"/>
          <w:sz w:val="19"/>
          <w:szCs w:val="19"/>
          <w:color w:val="auto"/>
        </w:rPr>
        <w:t xml:space="preserve">.” If the shares you own are held in “street name,” your broker (or other nominee), as the record holder of your shares, is required to vote your shares according to your instructions. Proposal 1 is </w:t>
      </w:r>
      <w:r>
        <w:rPr>
          <w:rFonts w:ascii="Arial" w:cs="Arial" w:eastAsia="Arial" w:hAnsi="Arial"/>
          <w:sz w:val="19"/>
          <w:szCs w:val="19"/>
          <w:b w:val="1"/>
          <w:bCs w:val="1"/>
          <w:color w:val="auto"/>
        </w:rPr>
        <w:t>not</w:t>
      </w:r>
      <w:r>
        <w:rPr>
          <w:rFonts w:ascii="Arial" w:cs="Arial" w:eastAsia="Arial" w:hAnsi="Arial"/>
          <w:sz w:val="19"/>
          <w:szCs w:val="19"/>
          <w:color w:val="auto"/>
        </w:rPr>
        <w:t xml:space="preserve"> considered to be a “discretionary” matter for certain brokers. </w:t>
      </w:r>
      <w:r>
        <w:rPr>
          <w:rFonts w:ascii="Arial" w:cs="Arial" w:eastAsia="Arial" w:hAnsi="Arial"/>
          <w:sz w:val="19"/>
          <w:szCs w:val="19"/>
          <w:b w:val="1"/>
          <w:bCs w:val="1"/>
          <w:color w:val="auto"/>
        </w:rPr>
        <w:t>If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you do not instruct your broker how to vote with respect to this item, your broker may not vote your shares with respect to the election of directors. </w:t>
      </w:r>
      <w:r>
        <w:rPr>
          <w:rFonts w:ascii="Arial" w:cs="Arial" w:eastAsia="Arial" w:hAnsi="Arial"/>
          <w:sz w:val="19"/>
          <w:szCs w:val="19"/>
          <w:color w:val="auto"/>
        </w:rPr>
        <w:t>In such case, a “broker</w:t>
      </w:r>
      <w:r>
        <w:rPr>
          <w:rFonts w:ascii="Arial" w:cs="Arial" w:eastAsia="Arial" w:hAnsi="Arial"/>
          <w:sz w:val="19"/>
          <w:szCs w:val="19"/>
          <w:b w:val="1"/>
          <w:bCs w:val="1"/>
          <w:color w:val="auto"/>
        </w:rPr>
        <w:t xml:space="preserve"> </w:t>
      </w:r>
      <w:r>
        <w:rPr>
          <w:rFonts w:ascii="Arial" w:cs="Arial" w:eastAsia="Arial" w:hAnsi="Arial"/>
          <w:sz w:val="19"/>
          <w:szCs w:val="19"/>
          <w:color w:val="auto"/>
        </w:rPr>
        <w:t>non-vote” may occur, which will have no effect on the outcome of Proposal 1.</w:t>
      </w:r>
    </w:p>
    <w:p>
      <w:pPr>
        <w:spacing w:after="0" w:line="200" w:lineRule="exact"/>
        <w:rPr>
          <w:rFonts w:ascii="Arial" w:cs="Arial" w:eastAsia="Arial" w:hAnsi="Arial"/>
          <w:sz w:val="20"/>
          <w:szCs w:val="20"/>
          <w:b w:val="1"/>
          <w:bCs w:val="1"/>
          <w:color w:val="0075A8"/>
        </w:rPr>
      </w:pPr>
    </w:p>
    <w:p>
      <w:pPr>
        <w:spacing w:after="0" w:line="221" w:lineRule="exact"/>
        <w:rPr>
          <w:rFonts w:ascii="Arial" w:cs="Arial" w:eastAsia="Arial" w:hAnsi="Arial"/>
          <w:sz w:val="20"/>
          <w:szCs w:val="20"/>
          <w:b w:val="1"/>
          <w:bCs w:val="1"/>
          <w:color w:val="0075A8"/>
        </w:rPr>
      </w:pPr>
    </w:p>
    <w:p>
      <w:pPr>
        <w:ind w:left="1020" w:right="20"/>
        <w:spacing w:after="0" w:line="256" w:lineRule="auto"/>
        <w:rPr>
          <w:rFonts w:ascii="Arial" w:cs="Arial" w:eastAsia="Arial" w:hAnsi="Arial"/>
          <w:sz w:val="20"/>
          <w:szCs w:val="20"/>
          <w:b w:val="1"/>
          <w:bCs w:val="1"/>
          <w:color w:val="0075A8"/>
        </w:rPr>
      </w:pPr>
      <w:r>
        <w:rPr>
          <w:rFonts w:ascii="Arial" w:cs="Arial" w:eastAsia="Arial" w:hAnsi="Arial"/>
          <w:sz w:val="20"/>
          <w:szCs w:val="20"/>
          <w:i w:val="1"/>
          <w:iCs w:val="1"/>
          <w:color w:val="auto"/>
        </w:rPr>
        <w:t xml:space="preserve">Ratification of Independent Registered Public Accounting Firm. </w:t>
      </w:r>
      <w:r>
        <w:rPr>
          <w:rFonts w:ascii="Arial" w:cs="Arial" w:eastAsia="Arial" w:hAnsi="Arial"/>
          <w:sz w:val="20"/>
          <w:szCs w:val="20"/>
          <w:color w:val="auto"/>
        </w:rPr>
        <w:t>The affirmative vote of a</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majority of the shares present, or represented by proxy, at the Annual Meeting, and entitled to vote on such matter at the Annual Meeting, is required to approve Proposal 2. Proposal 2 involves a matter on which a broker (or other nominee) </w:t>
      </w:r>
      <w:r>
        <w:rPr>
          <w:rFonts w:ascii="Arial" w:cs="Arial" w:eastAsia="Arial" w:hAnsi="Arial"/>
          <w:sz w:val="20"/>
          <w:szCs w:val="20"/>
          <w:b w:val="1"/>
          <w:bCs w:val="1"/>
          <w:color w:val="auto"/>
        </w:rPr>
        <w:t>does</w:t>
      </w:r>
      <w:r>
        <w:rPr>
          <w:rFonts w:ascii="Arial" w:cs="Arial" w:eastAsia="Arial" w:hAnsi="Arial"/>
          <w:sz w:val="20"/>
          <w:szCs w:val="20"/>
          <w:color w:val="auto"/>
        </w:rPr>
        <w:t xml:space="preserve"> have “discretionary” authority to vote. </w:t>
      </w:r>
      <w:r>
        <w:rPr>
          <w:rFonts w:ascii="Arial" w:cs="Arial" w:eastAsia="Arial" w:hAnsi="Arial"/>
          <w:sz w:val="20"/>
          <w:szCs w:val="20"/>
          <w:b w:val="1"/>
          <w:bCs w:val="1"/>
          <w:color w:val="auto"/>
        </w:rPr>
        <w:t>If you do not instruct your broker how</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to vote with respect to this item, your broker may still vote </w:t>
      </w:r>
      <w:r>
        <w:rPr>
          <w:rFonts w:ascii="Arial" w:cs="Arial" w:eastAsia="Arial" w:hAnsi="Arial"/>
          <w:sz w:val="20"/>
          <w:szCs w:val="20"/>
          <w:color w:val="auto"/>
        </w:rPr>
        <w:t>your shares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proposal in its discretion.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3" w:right="120"/>
        <w:spacing w:after="0" w:line="326" w:lineRule="auto"/>
        <w:rPr>
          <w:sz w:val="20"/>
          <w:szCs w:val="20"/>
          <w:color w:val="auto"/>
        </w:rPr>
      </w:pPr>
      <w:r>
        <w:rPr>
          <w:rFonts w:ascii="Arial" w:cs="Arial" w:eastAsia="Arial" w:hAnsi="Arial"/>
          <w:sz w:val="19"/>
          <w:szCs w:val="19"/>
          <w:color w:val="auto"/>
        </w:rPr>
        <w:t>respect to Proposal 2, a vote of “</w:t>
      </w:r>
      <w:r>
        <w:rPr>
          <w:rFonts w:ascii="Arial" w:cs="Arial" w:eastAsia="Arial" w:hAnsi="Arial"/>
          <w:sz w:val="19"/>
          <w:szCs w:val="19"/>
          <w:b w:val="1"/>
          <w:bCs w:val="1"/>
          <w:color w:val="auto"/>
        </w:rPr>
        <w:t>ABSTAIN</w:t>
      </w:r>
      <w:r>
        <w:rPr>
          <w:rFonts w:ascii="Arial" w:cs="Arial" w:eastAsia="Arial" w:hAnsi="Arial"/>
          <w:sz w:val="19"/>
          <w:szCs w:val="19"/>
          <w:color w:val="auto"/>
        </w:rPr>
        <w:t>” will have the same effect as a vote of “</w:t>
      </w:r>
      <w:r>
        <w:rPr>
          <w:rFonts w:ascii="Arial" w:cs="Arial" w:eastAsia="Arial" w:hAnsi="Arial"/>
          <w:sz w:val="19"/>
          <w:szCs w:val="19"/>
          <w:b w:val="1"/>
          <w:bCs w:val="1"/>
          <w:color w:val="auto"/>
        </w:rPr>
        <w:t>AGAINST</w:t>
      </w:r>
      <w:r>
        <w:rPr>
          <w:rFonts w:ascii="Arial" w:cs="Arial" w:eastAsia="Arial" w:hAnsi="Arial"/>
          <w:sz w:val="19"/>
          <w:szCs w:val="19"/>
          <w:color w:val="auto"/>
        </w:rPr>
        <w:t>.”</w:t>
      </w:r>
    </w:p>
    <w:p>
      <w:pPr>
        <w:spacing w:after="0" w:line="110" w:lineRule="exact"/>
        <w:rPr>
          <w:sz w:val="20"/>
          <w:szCs w:val="20"/>
          <w:color w:val="auto"/>
        </w:rPr>
      </w:pPr>
    </w:p>
    <w:p>
      <w:pPr>
        <w:ind w:left="363"/>
        <w:spacing w:after="0"/>
        <w:rPr>
          <w:sz w:val="20"/>
          <w:szCs w:val="20"/>
          <w:color w:val="auto"/>
        </w:rPr>
      </w:pPr>
      <w:r>
        <w:rPr>
          <w:rFonts w:ascii="Arial" w:cs="Arial" w:eastAsia="Arial" w:hAnsi="Arial"/>
          <w:sz w:val="20"/>
          <w:szCs w:val="20"/>
          <w:i w:val="1"/>
          <w:iCs w:val="1"/>
          <w:color w:val="auto"/>
        </w:rPr>
        <w:t>Say-on-Pay Vote and Stockholder</w:t>
      </w:r>
    </w:p>
    <w:p>
      <w:pPr>
        <w:spacing w:after="0" w:line="31" w:lineRule="exact"/>
        <w:rPr>
          <w:sz w:val="20"/>
          <w:szCs w:val="20"/>
          <w:color w:val="auto"/>
        </w:rPr>
      </w:pPr>
    </w:p>
    <w:p>
      <w:pPr>
        <w:ind w:left="363"/>
        <w:spacing w:after="0"/>
        <w:rPr>
          <w:sz w:val="20"/>
          <w:szCs w:val="20"/>
          <w:color w:val="auto"/>
        </w:rPr>
      </w:pPr>
      <w:r>
        <w:rPr>
          <w:rFonts w:ascii="Arial" w:cs="Arial" w:eastAsia="Arial" w:hAnsi="Arial"/>
          <w:sz w:val="19"/>
          <w:szCs w:val="19"/>
          <w:i w:val="1"/>
          <w:iCs w:val="1"/>
          <w:color w:val="auto"/>
        </w:rPr>
        <w:t xml:space="preserve">Proposals.  </w:t>
      </w:r>
      <w:r>
        <w:rPr>
          <w:rFonts w:ascii="Arial" w:cs="Arial" w:eastAsia="Arial" w:hAnsi="Arial"/>
          <w:sz w:val="19"/>
          <w:szCs w:val="19"/>
          <w:color w:val="auto"/>
        </w:rPr>
        <w:t>The affirmative vote of a majority of</w:t>
      </w:r>
    </w:p>
    <w:p>
      <w:pPr>
        <w:spacing w:after="0" w:line="25" w:lineRule="exact"/>
        <w:rPr>
          <w:sz w:val="20"/>
          <w:szCs w:val="20"/>
          <w:color w:val="auto"/>
        </w:rPr>
      </w:pPr>
    </w:p>
    <w:p>
      <w:pPr>
        <w:ind w:left="363"/>
        <w:spacing w:after="0"/>
        <w:rPr>
          <w:sz w:val="20"/>
          <w:szCs w:val="20"/>
          <w:color w:val="auto"/>
        </w:rPr>
      </w:pPr>
      <w:r>
        <w:rPr>
          <w:rFonts w:ascii="Arial" w:cs="Arial" w:eastAsia="Arial" w:hAnsi="Arial"/>
          <w:sz w:val="20"/>
          <w:szCs w:val="20"/>
          <w:color w:val="auto"/>
        </w:rPr>
        <w:t>the shares present, or represented by proxy at</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the Annual Meeting, and entitled to vote on</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such matter at the Annual Meeting, is required</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to approve Proposals 3 — 5. Proposals 3 — 5</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19"/>
          <w:szCs w:val="19"/>
          <w:color w:val="auto"/>
        </w:rPr>
        <w:t xml:space="preserve">are </w:t>
      </w:r>
      <w:r>
        <w:rPr>
          <w:rFonts w:ascii="Arial" w:cs="Arial" w:eastAsia="Arial" w:hAnsi="Arial"/>
          <w:sz w:val="19"/>
          <w:szCs w:val="19"/>
          <w:b w:val="1"/>
          <w:bCs w:val="1"/>
          <w:color w:val="auto"/>
        </w:rPr>
        <w:t>not</w:t>
      </w:r>
      <w:r>
        <w:rPr>
          <w:rFonts w:ascii="Arial" w:cs="Arial" w:eastAsia="Arial" w:hAnsi="Arial"/>
          <w:sz w:val="19"/>
          <w:szCs w:val="19"/>
          <w:color w:val="auto"/>
        </w:rPr>
        <w:t xml:space="preserve"> considered to be “discretionary” matters</w:t>
      </w:r>
    </w:p>
    <w:p>
      <w:pPr>
        <w:spacing w:after="0" w:line="25" w:lineRule="exact"/>
        <w:rPr>
          <w:sz w:val="20"/>
          <w:szCs w:val="20"/>
          <w:color w:val="auto"/>
        </w:rPr>
      </w:pPr>
    </w:p>
    <w:p>
      <w:pPr>
        <w:ind w:left="363"/>
        <w:spacing w:after="0"/>
        <w:rPr>
          <w:sz w:val="20"/>
          <w:szCs w:val="20"/>
          <w:color w:val="auto"/>
        </w:rPr>
      </w:pPr>
      <w:r>
        <w:rPr>
          <w:rFonts w:ascii="Arial" w:cs="Arial" w:eastAsia="Arial" w:hAnsi="Arial"/>
          <w:sz w:val="19"/>
          <w:szCs w:val="19"/>
          <w:color w:val="auto"/>
        </w:rPr>
        <w:t xml:space="preserve">for certain brokers. </w:t>
      </w:r>
      <w:r>
        <w:rPr>
          <w:rFonts w:ascii="Arial" w:cs="Arial" w:eastAsia="Arial" w:hAnsi="Arial"/>
          <w:sz w:val="19"/>
          <w:szCs w:val="19"/>
          <w:b w:val="1"/>
          <w:bCs w:val="1"/>
          <w:color w:val="auto"/>
        </w:rPr>
        <w:t>If you do not instruct your</w:t>
      </w:r>
    </w:p>
    <w:p>
      <w:pPr>
        <w:spacing w:after="0" w:line="25" w:lineRule="exact"/>
        <w:rPr>
          <w:sz w:val="20"/>
          <w:szCs w:val="20"/>
          <w:color w:val="auto"/>
        </w:rPr>
      </w:pPr>
    </w:p>
    <w:p>
      <w:pPr>
        <w:ind w:left="363"/>
        <w:spacing w:after="0"/>
        <w:rPr>
          <w:sz w:val="20"/>
          <w:szCs w:val="20"/>
          <w:color w:val="auto"/>
        </w:rPr>
      </w:pPr>
      <w:r>
        <w:rPr>
          <w:rFonts w:ascii="Arial" w:cs="Arial" w:eastAsia="Arial" w:hAnsi="Arial"/>
          <w:sz w:val="20"/>
          <w:szCs w:val="20"/>
          <w:b w:val="1"/>
          <w:bCs w:val="1"/>
          <w:color w:val="auto"/>
        </w:rPr>
        <w:t>broker how to vote with respect to these</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b w:val="1"/>
          <w:bCs w:val="1"/>
          <w:color w:val="auto"/>
        </w:rPr>
        <w:t>items, your broker may not vote your</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b w:val="1"/>
          <w:bCs w:val="1"/>
          <w:color w:val="auto"/>
        </w:rPr>
        <w:t xml:space="preserve">shares with respect to these proposals. </w:t>
      </w:r>
      <w:r>
        <w:rPr>
          <w:rFonts w:ascii="Arial" w:cs="Arial" w:eastAsia="Arial" w:hAnsi="Arial"/>
          <w:sz w:val="20"/>
          <w:szCs w:val="20"/>
          <w:color w:val="auto"/>
        </w:rPr>
        <w:t>In</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such case, a “broker non-vote” may occur,</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which will have no effect on the outcome of</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20"/>
          <w:szCs w:val="20"/>
          <w:color w:val="auto"/>
        </w:rPr>
        <w:t>Proposals 3 — 5. Votes that are marked</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ABSTAIN</w:t>
      </w:r>
      <w:r>
        <w:rPr>
          <w:rFonts w:ascii="Arial" w:cs="Arial" w:eastAsia="Arial" w:hAnsi="Arial"/>
          <w:sz w:val="19"/>
          <w:szCs w:val="19"/>
          <w:color w:val="auto"/>
        </w:rPr>
        <w:t>” are counted as present and entitled</w:t>
      </w:r>
    </w:p>
    <w:p>
      <w:pPr>
        <w:spacing w:after="0" w:line="25" w:lineRule="exact"/>
        <w:rPr>
          <w:sz w:val="20"/>
          <w:szCs w:val="20"/>
          <w:color w:val="auto"/>
        </w:rPr>
      </w:pPr>
    </w:p>
    <w:p>
      <w:pPr>
        <w:ind w:left="363"/>
        <w:spacing w:after="0"/>
        <w:rPr>
          <w:sz w:val="20"/>
          <w:szCs w:val="20"/>
          <w:color w:val="auto"/>
        </w:rPr>
      </w:pPr>
      <w:r>
        <w:rPr>
          <w:rFonts w:ascii="Arial" w:cs="Arial" w:eastAsia="Arial" w:hAnsi="Arial"/>
          <w:sz w:val="19"/>
          <w:szCs w:val="19"/>
          <w:color w:val="auto"/>
        </w:rPr>
        <w:t>to vote with respect to Proposals 3 — 5 and will</w:t>
      </w:r>
    </w:p>
    <w:p>
      <w:pPr>
        <w:spacing w:after="0" w:line="25" w:lineRule="exact"/>
        <w:rPr>
          <w:sz w:val="20"/>
          <w:szCs w:val="20"/>
          <w:color w:val="auto"/>
        </w:rPr>
      </w:pPr>
    </w:p>
    <w:p>
      <w:pPr>
        <w:ind w:left="363"/>
        <w:spacing w:after="0"/>
        <w:rPr>
          <w:sz w:val="20"/>
          <w:szCs w:val="20"/>
          <w:color w:val="auto"/>
        </w:rPr>
      </w:pPr>
      <w:r>
        <w:rPr>
          <w:rFonts w:ascii="Arial" w:cs="Arial" w:eastAsia="Arial" w:hAnsi="Arial"/>
          <w:sz w:val="19"/>
          <w:szCs w:val="19"/>
          <w:color w:val="auto"/>
        </w:rPr>
        <w:t>have the same impact as a vote that is marked</w:t>
      </w:r>
    </w:p>
    <w:p>
      <w:pPr>
        <w:spacing w:after="0" w:line="25" w:lineRule="exact"/>
        <w:rPr>
          <w:sz w:val="20"/>
          <w:szCs w:val="20"/>
          <w:color w:val="auto"/>
        </w:rPr>
      </w:pPr>
    </w:p>
    <w:p>
      <w:pPr>
        <w:ind w:left="36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AGAINST</w:t>
      </w:r>
      <w:r>
        <w:rPr>
          <w:rFonts w:ascii="Arial" w:cs="Arial" w:eastAsia="Arial" w:hAnsi="Arial"/>
          <w:sz w:val="20"/>
          <w:szCs w:val="20"/>
          <w:color w:val="auto"/>
        </w:rPr>
        <w:t>” for purposes of Proposals 3 — 5.</w:t>
      </w:r>
    </w:p>
    <w:p>
      <w:pPr>
        <w:spacing w:after="0" w:line="209" w:lineRule="exact"/>
        <w:rPr>
          <w:sz w:val="20"/>
          <w:szCs w:val="20"/>
          <w:color w:val="auto"/>
        </w:rPr>
      </w:pPr>
    </w:p>
    <w:p>
      <w:pPr>
        <w:ind w:left="363" w:right="540" w:hanging="363"/>
        <w:spacing w:after="0" w:line="284" w:lineRule="auto"/>
        <w:tabs>
          <w:tab w:leader="none" w:pos="363" w:val="left"/>
        </w:tabs>
        <w:numPr>
          <w:ilvl w:val="0"/>
          <w:numId w:val="113"/>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does the Board recommend that I vote?</w:t>
      </w:r>
    </w:p>
    <w:p>
      <w:pPr>
        <w:spacing w:after="0" w:line="65" w:lineRule="exact"/>
        <w:rPr>
          <w:rFonts w:ascii="Arial" w:cs="Arial" w:eastAsia="Arial" w:hAnsi="Arial"/>
          <w:sz w:val="20"/>
          <w:szCs w:val="20"/>
          <w:b w:val="1"/>
          <w:bCs w:val="1"/>
          <w:color w:val="0075A8"/>
        </w:rPr>
      </w:pPr>
    </w:p>
    <w:p>
      <w:pPr>
        <w:ind w:left="363"/>
        <w:spacing w:after="0"/>
        <w:rPr>
          <w:rFonts w:ascii="Arial" w:cs="Arial" w:eastAsia="Arial" w:hAnsi="Arial"/>
          <w:sz w:val="20"/>
          <w:szCs w:val="20"/>
          <w:b w:val="1"/>
          <w:bCs w:val="1"/>
          <w:color w:val="0075A8"/>
        </w:rPr>
      </w:pPr>
      <w:r>
        <w:rPr>
          <w:rFonts w:ascii="Arial" w:cs="Arial" w:eastAsia="Arial" w:hAnsi="Arial"/>
          <w:sz w:val="20"/>
          <w:szCs w:val="20"/>
          <w:color w:val="auto"/>
        </w:rPr>
        <w:t>The Board recommends that you vote:</w:t>
      </w:r>
    </w:p>
    <w:p>
      <w:pPr>
        <w:spacing w:after="0" w:line="227" w:lineRule="exact"/>
        <w:rPr>
          <w:rFonts w:ascii="Arial" w:cs="Arial" w:eastAsia="Arial" w:hAnsi="Arial"/>
          <w:sz w:val="20"/>
          <w:szCs w:val="20"/>
          <w:b w:val="1"/>
          <w:bCs w:val="1"/>
          <w:color w:val="0075A8"/>
        </w:rPr>
      </w:pPr>
    </w:p>
    <w:p>
      <w:pPr>
        <w:ind w:left="363" w:right="360"/>
        <w:spacing w:after="0" w:line="288"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each of the nine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nominees (Proposal 1).</w:t>
      </w:r>
    </w:p>
    <w:p>
      <w:pPr>
        <w:spacing w:after="0" w:line="150" w:lineRule="exact"/>
        <w:rPr>
          <w:rFonts w:ascii="Arial" w:cs="Arial" w:eastAsia="Arial" w:hAnsi="Arial"/>
          <w:sz w:val="20"/>
          <w:szCs w:val="20"/>
          <w:b w:val="1"/>
          <w:bCs w:val="1"/>
          <w:color w:val="0075A8"/>
        </w:rPr>
      </w:pPr>
    </w:p>
    <w:p>
      <w:pPr>
        <w:ind w:left="363" w:right="300"/>
        <w:spacing w:after="0" w:line="265"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ratification of the selection of KPMG</w:t>
      </w:r>
      <w:r>
        <w:rPr>
          <w:rFonts w:ascii="Arial" w:cs="Arial" w:eastAsia="Arial" w:hAnsi="Arial"/>
          <w:sz w:val="20"/>
          <w:szCs w:val="20"/>
          <w:b w:val="1"/>
          <w:bCs w:val="1"/>
          <w:color w:val="auto"/>
        </w:rPr>
        <w:t xml:space="preserve"> </w:t>
      </w:r>
      <w:r>
        <w:rPr>
          <w:rFonts w:ascii="Arial" w:cs="Arial" w:eastAsia="Arial" w:hAnsi="Arial"/>
          <w:sz w:val="20"/>
          <w:szCs w:val="20"/>
          <w:color w:val="auto"/>
        </w:rPr>
        <w:t>LLP as our independent registered public accounting firm for fiscal year 2025 (Proposal 2).</w:t>
      </w:r>
    </w:p>
    <w:p>
      <w:pPr>
        <w:spacing w:after="0" w:line="172" w:lineRule="exact"/>
        <w:rPr>
          <w:rFonts w:ascii="Arial" w:cs="Arial" w:eastAsia="Arial" w:hAnsi="Arial"/>
          <w:sz w:val="20"/>
          <w:szCs w:val="20"/>
          <w:b w:val="1"/>
          <w:bCs w:val="1"/>
          <w:color w:val="0075A8"/>
        </w:rPr>
      </w:pPr>
    </w:p>
    <w:p>
      <w:pPr>
        <w:ind w:left="363" w:right="140"/>
        <w:spacing w:after="0" w:line="259"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on a non-binding basis,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of our Named Executive Officers, as described above under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and in the executive compensation tables and accompanying narrative disclosures (Proposal 3).</w:t>
      </w:r>
    </w:p>
    <w:p>
      <w:pPr>
        <w:spacing w:after="0" w:line="181" w:lineRule="exact"/>
        <w:rPr>
          <w:rFonts w:ascii="Arial" w:cs="Arial" w:eastAsia="Arial" w:hAnsi="Arial"/>
          <w:sz w:val="20"/>
          <w:szCs w:val="20"/>
          <w:b w:val="1"/>
          <w:bCs w:val="1"/>
          <w:color w:val="0075A8"/>
        </w:rPr>
      </w:pPr>
    </w:p>
    <w:p>
      <w:pPr>
        <w:ind w:left="363" w:right="280"/>
        <w:spacing w:after="0" w:line="261" w:lineRule="auto"/>
        <w:rPr>
          <w:rFonts w:ascii="Arial" w:cs="Arial" w:eastAsia="Arial" w:hAnsi="Arial"/>
          <w:sz w:val="20"/>
          <w:szCs w:val="20"/>
          <w:b w:val="1"/>
          <w:bCs w:val="1"/>
          <w:color w:val="0075A8"/>
        </w:rPr>
      </w:pPr>
      <w:r>
        <w:rPr>
          <w:rFonts w:ascii="Arial" w:cs="Arial" w:eastAsia="Arial" w:hAnsi="Arial"/>
          <w:sz w:val="20"/>
          <w:szCs w:val="20"/>
          <w:color w:val="auto"/>
        </w:rPr>
        <w:t>The Board makes no recommendation regarding how you vote on the approval, on a non-binding basis, of a stockholder proposal regarding simple majority vote provisions (Proposal 4).</w:t>
      </w:r>
    </w:p>
    <w:p>
      <w:pPr>
        <w:spacing w:after="0" w:line="200" w:lineRule="exact"/>
        <w:rPr>
          <w:sz w:val="20"/>
          <w:szCs w:val="20"/>
          <w:color w:val="auto"/>
        </w:rPr>
      </w:pPr>
    </w:p>
    <w:p>
      <w:pPr>
        <w:sectPr>
          <w:pgSz w:w="11900" w:h="16838" w:orient="portrait"/>
          <w:cols w:equalWidth="0" w:num="2">
            <w:col w:w="5120" w:space="457"/>
            <w:col w:w="4523"/>
          </w:cols>
          <w:pgMar w:left="580" w:top="97" w:right="1219" w:bottom="1440" w:gutter="0" w:footer="0" w:header="0"/>
        </w:sectPr>
      </w:pPr>
    </w:p>
    <w:p>
      <w:pPr>
        <w:spacing w:after="0" w:line="26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9" w:lineRule="exact"/>
        <w:rPr>
          <w:sz w:val="20"/>
          <w:szCs w:val="20"/>
          <w:color w:val="auto"/>
        </w:rPr>
      </w:pPr>
    </w:p>
    <w:p>
      <w:pPr>
        <w:ind w:left="1020"/>
        <w:spacing w:after="0" w:line="265" w:lineRule="auto"/>
        <w:rPr>
          <w:sz w:val="20"/>
          <w:szCs w:val="20"/>
          <w:color w:val="auto"/>
        </w:rPr>
      </w:pPr>
      <w:r>
        <w:rPr>
          <w:rFonts w:ascii="Arial" w:cs="Arial" w:eastAsia="Arial" w:hAnsi="Arial"/>
          <w:sz w:val="20"/>
          <w:szCs w:val="20"/>
          <w:b w:val="1"/>
          <w:bCs w:val="1"/>
          <w:color w:val="auto"/>
        </w:rPr>
        <w:t xml:space="preserve">AGAINST </w:t>
      </w:r>
      <w:r>
        <w:rPr>
          <w:rFonts w:ascii="Arial" w:cs="Arial" w:eastAsia="Arial" w:hAnsi="Arial"/>
          <w:sz w:val="20"/>
          <w:szCs w:val="20"/>
          <w:color w:val="auto"/>
        </w:rPr>
        <w:t>the approval, on a non-binding basis,</w:t>
      </w:r>
      <w:r>
        <w:rPr>
          <w:rFonts w:ascii="Arial" w:cs="Arial" w:eastAsia="Arial" w:hAnsi="Arial"/>
          <w:sz w:val="20"/>
          <w:szCs w:val="20"/>
          <w:b w:val="1"/>
          <w:bCs w:val="1"/>
          <w:color w:val="auto"/>
        </w:rPr>
        <w:t xml:space="preserve"> </w:t>
      </w:r>
      <w:r>
        <w:rPr>
          <w:rFonts w:ascii="Arial" w:cs="Arial" w:eastAsia="Arial" w:hAnsi="Arial"/>
          <w:sz w:val="20"/>
          <w:szCs w:val="20"/>
          <w:color w:val="auto"/>
        </w:rPr>
        <w:t>of a stockholder proposal regarding disclosure of Scope 3 greenhouse gas emissions (Proposal 5).</w:t>
      </w:r>
    </w:p>
    <w:p>
      <w:pPr>
        <w:spacing w:after="0" w:line="172" w:lineRule="exact"/>
        <w:rPr>
          <w:sz w:val="20"/>
          <w:szCs w:val="20"/>
          <w:color w:val="auto"/>
        </w:rPr>
      </w:pPr>
    </w:p>
    <w:p>
      <w:pPr>
        <w:ind w:left="1020" w:right="620" w:hanging="366"/>
        <w:spacing w:after="0" w:line="284" w:lineRule="auto"/>
        <w:tabs>
          <w:tab w:leader="none" w:pos="1020" w:val="left"/>
        </w:tabs>
        <w:numPr>
          <w:ilvl w:val="0"/>
          <w:numId w:val="114"/>
        </w:numPr>
        <w:rPr>
          <w:rFonts w:ascii="Arial" w:cs="Arial" w:eastAsia="Arial" w:hAnsi="Arial"/>
          <w:sz w:val="20"/>
          <w:szCs w:val="20"/>
          <w:b w:val="1"/>
          <w:bCs w:val="1"/>
          <w:color w:val="0075A8"/>
        </w:rPr>
      </w:pPr>
      <w:r>
        <w:rPr>
          <w:rFonts w:ascii="Arial" w:cs="Arial" w:eastAsia="Arial" w:hAnsi="Arial"/>
          <w:sz w:val="20"/>
          <w:szCs w:val="20"/>
          <w:b w:val="1"/>
          <w:bCs w:val="1"/>
          <w:color w:val="0075A8"/>
        </w:rPr>
        <w:t>How will the votes cast at our Annual Meeting be counted?</w:t>
      </w:r>
    </w:p>
    <w:p>
      <w:pPr>
        <w:spacing w:after="0" w:line="65" w:lineRule="exact"/>
        <w:rPr>
          <w:rFonts w:ascii="Arial" w:cs="Arial" w:eastAsia="Arial" w:hAnsi="Arial"/>
          <w:sz w:val="20"/>
          <w:szCs w:val="20"/>
          <w:b w:val="1"/>
          <w:bCs w:val="1"/>
          <w:color w:val="0075A8"/>
        </w:rPr>
      </w:pPr>
    </w:p>
    <w:p>
      <w:pPr>
        <w:ind w:left="1020" w:right="120"/>
        <w:spacing w:after="0" w:line="261" w:lineRule="auto"/>
        <w:rPr>
          <w:rFonts w:ascii="Arial" w:cs="Arial" w:eastAsia="Arial" w:hAnsi="Arial"/>
          <w:sz w:val="20"/>
          <w:szCs w:val="20"/>
          <w:b w:val="1"/>
          <w:bCs w:val="1"/>
          <w:color w:val="0075A8"/>
        </w:rPr>
      </w:pPr>
      <w:r>
        <w:rPr>
          <w:rFonts w:ascii="Arial" w:cs="Arial" w:eastAsia="Arial" w:hAnsi="Arial"/>
          <w:sz w:val="20"/>
          <w:szCs w:val="20"/>
          <w:color w:val="auto"/>
        </w:rPr>
        <w:t>Broadridge Financial Solutions, Inc. and our independent inspector of elections will tabulate the votes at the Annual Meeting. The vote on each matter submitted to stockholders will be tabulated separately.</w:t>
      </w:r>
    </w:p>
    <w:p>
      <w:pPr>
        <w:spacing w:after="0" w:line="164" w:lineRule="exact"/>
        <w:rPr>
          <w:rFonts w:ascii="Arial" w:cs="Arial" w:eastAsia="Arial" w:hAnsi="Arial"/>
          <w:sz w:val="20"/>
          <w:szCs w:val="20"/>
          <w:b w:val="1"/>
          <w:bCs w:val="1"/>
          <w:color w:val="0075A8"/>
        </w:rPr>
      </w:pPr>
    </w:p>
    <w:p>
      <w:pPr>
        <w:ind w:left="1020" w:right="280" w:hanging="366"/>
        <w:spacing w:after="0" w:line="298" w:lineRule="auto"/>
        <w:tabs>
          <w:tab w:leader="none" w:pos="1020" w:val="left"/>
        </w:tabs>
        <w:numPr>
          <w:ilvl w:val="0"/>
          <w:numId w:val="115"/>
        </w:numPr>
        <w:rPr>
          <w:rFonts w:ascii="Arial" w:cs="Arial" w:eastAsia="Arial" w:hAnsi="Arial"/>
          <w:sz w:val="20"/>
          <w:szCs w:val="20"/>
          <w:b w:val="1"/>
          <w:bCs w:val="1"/>
          <w:color w:val="0075A8"/>
        </w:rPr>
      </w:pPr>
      <w:r>
        <w:rPr>
          <w:rFonts w:ascii="Arial" w:cs="Arial" w:eastAsia="Arial" w:hAnsi="Arial"/>
          <w:sz w:val="20"/>
          <w:szCs w:val="20"/>
          <w:b w:val="1"/>
          <w:bCs w:val="1"/>
          <w:color w:val="0075A8"/>
        </w:rPr>
        <w:t>Where can I find the voting results of our Annual Meeting?</w:t>
      </w:r>
    </w:p>
    <w:p>
      <w:pPr>
        <w:spacing w:after="0" w:line="38" w:lineRule="exact"/>
        <w:rPr>
          <w:rFonts w:ascii="Arial" w:cs="Arial" w:eastAsia="Arial" w:hAnsi="Arial"/>
          <w:sz w:val="20"/>
          <w:szCs w:val="20"/>
          <w:b w:val="1"/>
          <w:bCs w:val="1"/>
          <w:color w:val="0075A8"/>
        </w:rPr>
      </w:pPr>
    </w:p>
    <w:p>
      <w:pPr>
        <w:jc w:val="both"/>
        <w:ind w:left="1020" w:right="160"/>
        <w:spacing w:after="0" w:line="276" w:lineRule="auto"/>
        <w:rPr>
          <w:rFonts w:ascii="Arial" w:cs="Arial" w:eastAsia="Arial" w:hAnsi="Arial"/>
          <w:sz w:val="20"/>
          <w:szCs w:val="20"/>
          <w:b w:val="1"/>
          <w:bCs w:val="1"/>
          <w:color w:val="0075A8"/>
        </w:rPr>
      </w:pPr>
      <w:r>
        <w:rPr>
          <w:rFonts w:ascii="Arial" w:cs="Arial" w:eastAsia="Arial" w:hAnsi="Arial"/>
          <w:sz w:val="19"/>
          <w:szCs w:val="19"/>
          <w:color w:val="auto"/>
        </w:rPr>
        <w:t>We expect to announce the preliminary voting results at our Annual Meeting. The final voting results will be reported in a Current Report on Form 8-K that will be filed with the SEC within four business days after the end of our Annual Meeting and will be posted on our website.</w:t>
      </w:r>
    </w:p>
    <w:p>
      <w:pPr>
        <w:spacing w:after="0" w:line="164" w:lineRule="exact"/>
        <w:rPr>
          <w:rFonts w:ascii="Arial" w:cs="Arial" w:eastAsia="Arial" w:hAnsi="Arial"/>
          <w:sz w:val="20"/>
          <w:szCs w:val="20"/>
          <w:b w:val="1"/>
          <w:bCs w:val="1"/>
          <w:color w:val="0075A8"/>
        </w:rPr>
      </w:pPr>
    </w:p>
    <w:p>
      <w:pPr>
        <w:ind w:left="1020" w:hanging="366"/>
        <w:spacing w:after="0"/>
        <w:tabs>
          <w:tab w:leader="none" w:pos="1020" w:val="left"/>
        </w:tabs>
        <w:numPr>
          <w:ilvl w:val="0"/>
          <w:numId w:val="116"/>
        </w:numPr>
        <w:rPr>
          <w:rFonts w:ascii="Arial" w:cs="Arial" w:eastAsia="Arial" w:hAnsi="Arial"/>
          <w:sz w:val="20"/>
          <w:szCs w:val="20"/>
          <w:b w:val="1"/>
          <w:bCs w:val="1"/>
          <w:color w:val="0075A8"/>
        </w:rPr>
      </w:pPr>
      <w:r>
        <w:rPr>
          <w:rFonts w:ascii="Arial" w:cs="Arial" w:eastAsia="Arial" w:hAnsi="Arial"/>
          <w:sz w:val="20"/>
          <w:szCs w:val="20"/>
          <w:b w:val="1"/>
          <w:bCs w:val="1"/>
          <w:color w:val="0075A8"/>
        </w:rPr>
        <w:t>Will my vote be kept confidential?</w:t>
      </w:r>
    </w:p>
    <w:p>
      <w:pPr>
        <w:spacing w:after="0" w:line="150" w:lineRule="exact"/>
        <w:rPr>
          <w:rFonts w:ascii="Arial" w:cs="Arial" w:eastAsia="Arial" w:hAnsi="Arial"/>
          <w:sz w:val="20"/>
          <w:szCs w:val="20"/>
          <w:b w:val="1"/>
          <w:bCs w:val="1"/>
          <w:color w:val="0075A8"/>
        </w:rPr>
      </w:pPr>
    </w:p>
    <w:p>
      <w:pPr>
        <w:ind w:left="1020"/>
        <w:spacing w:after="0"/>
        <w:rPr>
          <w:rFonts w:ascii="Arial" w:cs="Arial" w:eastAsia="Arial" w:hAnsi="Arial"/>
          <w:sz w:val="20"/>
          <w:szCs w:val="20"/>
          <w:b w:val="1"/>
          <w:bCs w:val="1"/>
          <w:color w:val="0075A8"/>
        </w:rPr>
      </w:pPr>
      <w:r>
        <w:rPr>
          <w:rFonts w:ascii="Arial" w:cs="Arial" w:eastAsia="Arial" w:hAnsi="Arial"/>
          <w:sz w:val="19"/>
          <w:szCs w:val="19"/>
          <w:color w:val="auto"/>
        </w:rPr>
        <w:t>Yes. We will keep your vote confidential unless</w:t>
      </w:r>
    </w:p>
    <w:p>
      <w:pPr>
        <w:spacing w:after="0" w:line="42" w:lineRule="exact"/>
        <w:rPr>
          <w:rFonts w:ascii="Arial" w:cs="Arial" w:eastAsia="Arial" w:hAnsi="Arial"/>
          <w:sz w:val="20"/>
          <w:szCs w:val="20"/>
          <w:b w:val="1"/>
          <w:bCs w:val="1"/>
          <w:color w:val="0075A8"/>
        </w:rPr>
      </w:pPr>
    </w:p>
    <w:p>
      <w:pPr>
        <w:ind w:left="1020"/>
        <w:spacing w:after="0" w:line="255" w:lineRule="auto"/>
        <w:rPr>
          <w:rFonts w:ascii="Arial" w:cs="Arial" w:eastAsia="Arial" w:hAnsi="Arial"/>
          <w:sz w:val="20"/>
          <w:szCs w:val="20"/>
          <w:b w:val="1"/>
          <w:bCs w:val="1"/>
          <w:color w:val="0075A8"/>
        </w:rPr>
      </w:pPr>
      <w:r>
        <w:rPr>
          <w:rFonts w:ascii="Arial" w:cs="Arial" w:eastAsia="Arial" w:hAnsi="Arial"/>
          <w:sz w:val="20"/>
          <w:szCs w:val="20"/>
          <w:color w:val="auto"/>
        </w:rPr>
        <w:t>(1) we are required by law to disclose your vote (including in connection with the pursuit or defense of a legal or administrative action or proceeding), or (2) there is a contested election for the Board. The inspector of elections will forward any written comments that you make on the proxy card to management without providing your name, unless you expressly request on your proxy card that your name be disclosed.</w:t>
      </w:r>
    </w:p>
    <w:p>
      <w:pPr>
        <w:spacing w:after="0" w:line="182" w:lineRule="exact"/>
        <w:rPr>
          <w:rFonts w:ascii="Arial" w:cs="Arial" w:eastAsia="Arial" w:hAnsi="Arial"/>
          <w:sz w:val="20"/>
          <w:szCs w:val="20"/>
          <w:b w:val="1"/>
          <w:bCs w:val="1"/>
          <w:color w:val="0075A8"/>
        </w:rPr>
      </w:pPr>
    </w:p>
    <w:p>
      <w:pPr>
        <w:ind w:left="1020" w:right="380" w:hanging="366"/>
        <w:spacing w:after="0" w:line="284" w:lineRule="auto"/>
        <w:tabs>
          <w:tab w:leader="none" w:pos="1020" w:val="left"/>
        </w:tabs>
        <w:numPr>
          <w:ilvl w:val="0"/>
          <w:numId w:val="117"/>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the quorum requirement for our Annual Meeting?</w:t>
      </w:r>
    </w:p>
    <w:p>
      <w:pPr>
        <w:spacing w:after="0" w:line="65" w:lineRule="exact"/>
        <w:rPr>
          <w:rFonts w:ascii="Arial" w:cs="Arial" w:eastAsia="Arial" w:hAnsi="Arial"/>
          <w:sz w:val="20"/>
          <w:szCs w:val="20"/>
          <w:b w:val="1"/>
          <w:bCs w:val="1"/>
          <w:color w:val="0075A8"/>
        </w:rPr>
      </w:pPr>
    </w:p>
    <w:p>
      <w:pPr>
        <w:ind w:left="1020"/>
        <w:spacing w:after="0" w:line="257" w:lineRule="auto"/>
        <w:rPr>
          <w:rFonts w:ascii="Arial" w:cs="Arial" w:eastAsia="Arial" w:hAnsi="Arial"/>
          <w:sz w:val="20"/>
          <w:szCs w:val="20"/>
          <w:b w:val="1"/>
          <w:bCs w:val="1"/>
          <w:color w:val="0075A8"/>
        </w:rPr>
      </w:pPr>
      <w:r>
        <w:rPr>
          <w:rFonts w:ascii="Arial" w:cs="Arial" w:eastAsia="Arial" w:hAnsi="Arial"/>
          <w:sz w:val="20"/>
          <w:szCs w:val="20"/>
          <w:color w:val="auto"/>
        </w:rPr>
        <w:t>The holders of a majority of the issued and outstanding stock of the Company entitled to vote at the Annual Meeting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3" w:right="40"/>
        <w:spacing w:after="0" w:line="271" w:lineRule="auto"/>
        <w:rPr>
          <w:sz w:val="20"/>
          <w:szCs w:val="20"/>
          <w:color w:val="auto"/>
        </w:rPr>
      </w:pPr>
      <w:r>
        <w:rPr>
          <w:rFonts w:ascii="Arial" w:cs="Arial" w:eastAsia="Arial" w:hAnsi="Arial"/>
          <w:sz w:val="19"/>
          <w:szCs w:val="19"/>
          <w:color w:val="auto"/>
        </w:rPr>
        <w:t>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p>
    <w:p>
      <w:pPr>
        <w:spacing w:after="0" w:line="170" w:lineRule="exact"/>
        <w:rPr>
          <w:sz w:val="20"/>
          <w:szCs w:val="20"/>
          <w:color w:val="auto"/>
        </w:rPr>
      </w:pPr>
    </w:p>
    <w:p>
      <w:pPr>
        <w:ind w:left="363" w:right="280" w:hanging="363"/>
        <w:spacing w:after="0" w:line="284" w:lineRule="auto"/>
        <w:tabs>
          <w:tab w:leader="none" w:pos="363" w:val="left"/>
        </w:tabs>
        <w:numPr>
          <w:ilvl w:val="0"/>
          <w:numId w:val="118"/>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submit a question at the Annual Meeting?</w:t>
      </w:r>
    </w:p>
    <w:p>
      <w:pPr>
        <w:spacing w:after="0" w:line="65" w:lineRule="exact"/>
        <w:rPr>
          <w:rFonts w:ascii="Arial" w:cs="Arial" w:eastAsia="Arial" w:hAnsi="Arial"/>
          <w:sz w:val="20"/>
          <w:szCs w:val="20"/>
          <w:b w:val="1"/>
          <w:bCs w:val="1"/>
          <w:color w:val="0075A8"/>
        </w:rPr>
      </w:pPr>
    </w:p>
    <w:p>
      <w:pPr>
        <w:ind w:left="363" w:right="60"/>
        <w:spacing w:after="0" w:line="256" w:lineRule="auto"/>
        <w:rPr>
          <w:rFonts w:ascii="Arial" w:cs="Arial" w:eastAsia="Arial" w:hAnsi="Arial"/>
          <w:sz w:val="20"/>
          <w:szCs w:val="20"/>
          <w:b w:val="1"/>
          <w:bCs w:val="1"/>
          <w:color w:val="0075A8"/>
        </w:rPr>
      </w:pPr>
      <w:r>
        <w:rPr>
          <w:rFonts w:ascii="Arial" w:cs="Arial" w:eastAsia="Arial" w:hAnsi="Arial"/>
          <w:sz w:val="20"/>
          <w:szCs w:val="20"/>
          <w:color w:val="auto"/>
        </w:rPr>
        <w:t>If you wish to submit a question, beginning at 10:50 a.m. Pacific Daylight Time on May 14, 2025, you may log into the virtual meeting platform at www.virtualshareholdermeeting.com/​ SWKS2025, type your question into the “Submit a Question” field, and click “Submit.” Our virtual meeting will be governed by our Annual Meeting Rules of Conduct which will include rules on permissible topics for stockholder questions and will be posted at www.virtualshareholdermeeting.com/​ SWKS2025.</w:t>
      </w:r>
    </w:p>
    <w:p>
      <w:pPr>
        <w:spacing w:after="0" w:line="185" w:lineRule="exact"/>
        <w:rPr>
          <w:rFonts w:ascii="Arial" w:cs="Arial" w:eastAsia="Arial" w:hAnsi="Arial"/>
          <w:sz w:val="20"/>
          <w:szCs w:val="20"/>
          <w:b w:val="1"/>
          <w:bCs w:val="1"/>
          <w:color w:val="0075A8"/>
        </w:rPr>
      </w:pPr>
    </w:p>
    <w:p>
      <w:pPr>
        <w:ind w:left="363" w:right="140"/>
        <w:spacing w:after="0" w:line="258" w:lineRule="auto"/>
        <w:rPr>
          <w:rFonts w:ascii="Arial" w:cs="Arial" w:eastAsia="Arial" w:hAnsi="Arial"/>
          <w:sz w:val="20"/>
          <w:szCs w:val="20"/>
          <w:b w:val="1"/>
          <w:bCs w:val="1"/>
          <w:color w:val="0075A8"/>
        </w:rPr>
      </w:pPr>
      <w:r>
        <w:rPr>
          <w:rFonts w:ascii="Arial" w:cs="Arial" w:eastAsia="Arial" w:hAnsi="Arial"/>
          <w:sz w:val="20"/>
          <w:szCs w:val="20"/>
          <w:color w:val="auto"/>
        </w:rPr>
        <w:t>Questions received from stockholders during the virtual Annual Meeting that are deemed appropriate under our Annual Meeting Rules of Conduct will be posted, along with the Company’s responses, on the Investor Relations portion of the Company’s website at www.skyworksinc.com as soon as practicable following the Annual Meeting.</w:t>
      </w:r>
    </w:p>
    <w:p>
      <w:pPr>
        <w:spacing w:after="0" w:line="166" w:lineRule="exact"/>
        <w:rPr>
          <w:rFonts w:ascii="Arial" w:cs="Arial" w:eastAsia="Arial" w:hAnsi="Arial"/>
          <w:sz w:val="20"/>
          <w:szCs w:val="20"/>
          <w:b w:val="1"/>
          <w:bCs w:val="1"/>
          <w:color w:val="0075A8"/>
        </w:rPr>
      </w:pPr>
    </w:p>
    <w:p>
      <w:pPr>
        <w:ind w:left="363" w:right="180" w:hanging="363"/>
        <w:spacing w:after="0" w:line="269" w:lineRule="auto"/>
        <w:tabs>
          <w:tab w:leader="none" w:pos="363" w:val="left"/>
        </w:tabs>
        <w:numPr>
          <w:ilvl w:val="0"/>
          <w:numId w:val="119"/>
        </w:numPr>
        <w:rPr>
          <w:rFonts w:ascii="Arial" w:cs="Arial" w:eastAsia="Arial" w:hAnsi="Arial"/>
          <w:sz w:val="20"/>
          <w:szCs w:val="20"/>
          <w:b w:val="1"/>
          <w:bCs w:val="1"/>
          <w:color w:val="0075A8"/>
        </w:rPr>
      </w:pPr>
      <w:r>
        <w:rPr>
          <w:rFonts w:ascii="Arial" w:cs="Arial" w:eastAsia="Arial" w:hAnsi="Arial"/>
          <w:sz w:val="20"/>
          <w:szCs w:val="20"/>
          <w:b w:val="1"/>
          <w:bCs w:val="1"/>
          <w:color w:val="0075A8"/>
        </w:rPr>
        <w:t>When will Skyworks next hold an advisory vote on the frequency of  “say-on-pay” votes?</w:t>
      </w:r>
    </w:p>
    <w:p>
      <w:pPr>
        <w:spacing w:after="0" w:line="79" w:lineRule="exact"/>
        <w:rPr>
          <w:rFonts w:ascii="Arial" w:cs="Arial" w:eastAsia="Arial" w:hAnsi="Arial"/>
          <w:sz w:val="20"/>
          <w:szCs w:val="20"/>
          <w:b w:val="1"/>
          <w:bCs w:val="1"/>
          <w:color w:val="0075A8"/>
        </w:rPr>
      </w:pPr>
    </w:p>
    <w:p>
      <w:pPr>
        <w:ind w:left="363" w:right="40"/>
        <w:spacing w:after="0" w:line="261" w:lineRule="auto"/>
        <w:rPr>
          <w:rFonts w:ascii="Arial" w:cs="Arial" w:eastAsia="Arial" w:hAnsi="Arial"/>
          <w:sz w:val="20"/>
          <w:szCs w:val="20"/>
          <w:b w:val="1"/>
          <w:bCs w:val="1"/>
          <w:color w:val="0075A8"/>
        </w:rPr>
      </w:pPr>
      <w:r>
        <w:rPr>
          <w:rFonts w:ascii="Arial" w:cs="Arial" w:eastAsia="Arial" w:hAnsi="Arial"/>
          <w:sz w:val="20"/>
          <w:szCs w:val="20"/>
          <w:color w:val="auto"/>
        </w:rPr>
        <w:t>Skyworks currently conducts an annual “say-on-pay” vote. The next advisory vote on the frequency of ”say-on-pay” votes is expected to be held at our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522605</wp:posOffset>
            </wp:positionV>
            <wp:extent cx="779780" cy="2571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366"/>
        <w:spacing w:after="0"/>
        <w:tabs>
          <w:tab w:leader="none" w:pos="1020" w:val="left"/>
        </w:tabs>
        <w:numPr>
          <w:ilvl w:val="0"/>
          <w:numId w:val="120"/>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“householding”?</w:t>
      </w:r>
    </w:p>
    <w:p>
      <w:pPr>
        <w:spacing w:after="0" w:line="136" w:lineRule="exact"/>
        <w:rPr>
          <w:rFonts w:ascii="Arial" w:cs="Arial" w:eastAsia="Arial" w:hAnsi="Arial"/>
          <w:sz w:val="20"/>
          <w:szCs w:val="20"/>
          <w:b w:val="1"/>
          <w:bCs w:val="1"/>
          <w:color w:val="0075A8"/>
        </w:rPr>
      </w:pPr>
    </w:p>
    <w:p>
      <w:pPr>
        <w:ind w:left="1020" w:right="100"/>
        <w:spacing w:after="0" w:line="255" w:lineRule="auto"/>
        <w:rPr>
          <w:rFonts w:ascii="Arial" w:cs="Arial" w:eastAsia="Arial" w:hAnsi="Arial"/>
          <w:sz w:val="20"/>
          <w:szCs w:val="20"/>
          <w:b w:val="1"/>
          <w:bCs w:val="1"/>
          <w:color w:val="0075A8"/>
        </w:rPr>
      </w:pPr>
      <w:r>
        <w:rPr>
          <w:rFonts w:ascii="Arial" w:cs="Arial" w:eastAsia="Arial" w:hAnsi="Arial"/>
          <w:sz w:val="20"/>
          <w:szCs w:val="20"/>
          <w:color w:val="auto"/>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5260 California Avenue, Irvine, CA 92617, Attention: Investor Relations, or oral request to Investor Relations at (917) 648-9843. If you would like to receive separate copies of our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550" w:lineRule="exact"/>
        <w:rPr>
          <w:sz w:val="20"/>
          <w:szCs w:val="20"/>
          <w:color w:val="auto"/>
        </w:rPr>
      </w:pPr>
    </w:p>
    <w:p>
      <w:pPr>
        <w:sectPr>
          <w:pgSz w:w="11900" w:h="16838" w:orient="portrait"/>
          <w:cols w:equalWidth="0" w:num="2">
            <w:col w:w="5220" w:space="720"/>
            <w:col w:w="416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​80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OTHER PROPOSED ACTION</w:t>
      </w:r>
    </w:p>
    <w:p>
      <w:pPr>
        <w:spacing w:after="0" w:line="113"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As of the date of this Proxy Statement, the directors know of no other business that is expected to come before the Annual Meeting. However, if any other business should be properly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269" w:lineRule="auto"/>
        <w:rPr>
          <w:sz w:val="20"/>
          <w:szCs w:val="20"/>
          <w:color w:val="auto"/>
        </w:rPr>
      </w:pPr>
      <w:r>
        <w:rPr>
          <w:rFonts w:ascii="Arial" w:cs="Arial" w:eastAsia="Arial" w:hAnsi="Arial"/>
          <w:sz w:val="20"/>
          <w:szCs w:val="20"/>
          <w:color w:val="auto"/>
        </w:rPr>
        <w:t>presented at the Annual Meeting, the persons named as proxies will vote in accordance with their judgment with respect to such matters.</w:t>
      </w:r>
    </w:p>
    <w:p>
      <w:pPr>
        <w:spacing w:after="0" w:line="419" w:lineRule="exact"/>
        <w:rPr>
          <w:sz w:val="20"/>
          <w:szCs w:val="20"/>
          <w:color w:val="auto"/>
        </w:rPr>
      </w:pPr>
    </w:p>
    <w:p>
      <w:pPr>
        <w:sectPr>
          <w:pgSz w:w="11900" w:h="16838" w:orient="portrait"/>
          <w:cols w:equalWidth="0" w:num="2">
            <w:col w:w="5080" w:space="500"/>
            <w:col w:w="4520"/>
          </w:cols>
          <w:pgMar w:left="580" w:top="97" w:right="1219" w:bottom="1440" w:gutter="0" w:footer="0" w:header="0"/>
        </w:sectPr>
      </w:pPr>
    </w:p>
    <w:p>
      <w:pPr>
        <w:ind w:left="660"/>
        <w:spacing w:after="0"/>
        <w:rPr>
          <w:sz w:val="20"/>
          <w:szCs w:val="20"/>
          <w:color w:val="auto"/>
        </w:rPr>
      </w:pPr>
      <w:r>
        <w:rPr>
          <w:rFonts w:ascii="Arial" w:cs="Arial" w:eastAsia="Arial" w:hAnsi="Arial"/>
          <w:sz w:val="32"/>
          <w:szCs w:val="32"/>
          <w:b w:val="1"/>
          <w:bCs w:val="1"/>
          <w:color w:val="0075A8"/>
        </w:rPr>
        <w:t>OTHER MATTERS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Solicitation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91440</wp:posOffset>
            </wp:positionV>
            <wp:extent cx="59747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44"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Skyworks will bear the expenses of the preparation of the proxy materials and the solicitation by the Board of proxies. Proxies may be solicited on behalf of the Company in person or by telephone, e-mail, facsimile, or other electronic means by directors, officers, or employees of the Company,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auto"/>
        </w:rPr>
        <w:t>who will receive no additional compensation for any such services. We have retained D.F. King &amp; Co. to assist in the solicitation of proxies, at a total cost to the Company of approximately $14,000, plus reasonable out-of-pocket expenses.</w:t>
      </w:r>
    </w:p>
    <w:p>
      <w:pPr>
        <w:spacing w:after="0" w:line="423"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86"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Annual Report on Form 10-K and Stockholder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A copy of our 2024 Annual Report accompanies this Proxy Statement. You also may obtain, free of charge, a copy of the Company’s Annual Report on Form 10-K for fiscal year 2024, as filed with the SEC, via the Company’s website at www.skyworksinc.com, or upon written request addressed to Investor Relations: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Skyworks Solutions, Inc.</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Irvine, CA 92617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A list of stockholders of record as of March 20, 2025, will be available for inspection during ordinary business hours at our executive offices in Irvine, CA, from May 3, 2025, to May 13, 2025.</w:t>
      </w:r>
    </w:p>
    <w:p>
      <w:pPr>
        <w:spacing w:after="0" w:line="1839"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300"/>
        <w:spacing w:after="0"/>
        <w:rPr>
          <w:sz w:val="20"/>
          <w:szCs w:val="20"/>
          <w:color w:val="auto"/>
        </w:rPr>
      </w:pPr>
      <w:r>
        <w:rPr>
          <w:rFonts w:ascii="Arial" w:cs="Arial" w:eastAsia="Arial" w:hAnsi="Arial"/>
          <w:sz w:val="29"/>
          <w:szCs w:val="29"/>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Proposals to be considered for inclusion in the proxy materials for the Company’s 2026 Annual Meeting pursuant to Rule 14a-8 under the Exchange Act must meet the requirements of Rule 14a-8 and be delivered in writing to the General Counsel and Secretary of the Company at its executive offices at 5260 California Avenue, Irvine, CA 92617, no later than November 28, 2025. The submission of a stockholder proposal does not guarantee that it will be included in the proxy materials for the Company’s 2026 Annual Meeting.</w:t>
      </w:r>
    </w:p>
    <w:p>
      <w:pPr>
        <w:spacing w:after="0" w:line="175"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According to the applicable provisions of our By-laws, if a stockholder wishes to present a proposal at our 2026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14, 2026, and no later than the close of business on February 13, 2026. In the event that the 2026 Annual Meeting is advanced by more than thirty (30) days, or delayed (other than as a result of adjournment) by more than sixty (60) days, from the first anniversary of the Company’s 2025 Annual Meeting, then the required notice must be delivered in writing to the Secretary of the Company at the address above no earlier than 120 days prior to the date of the 2026 Annual Meeting and no later than the later of 90 days prior to the 2026 Annual Meeting or the 10th day following the day on which the public announcement of the date of the 2026 Annual Meeting is first made by the Company. A proposal that is submitted outside of these time periods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color w:val="auto"/>
        </w:rPr>
        <w:t>See “Stockholder Nominees For Directors” section of this Proxy Statement for additional information regarding nominees for election to the Board proposed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2846070" cy="32658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46070" cy="3265805"/>
                    </a:xfrm>
                    <a:prstGeom prst="rect">
                      <a:avLst/>
                    </a:prstGeom>
                    <a:noFill/>
                  </pic:spPr>
                </pic:pic>
              </a:graphicData>
            </a:graphic>
          </wp:anchor>
        </w:drawing>
      </w:r>
    </w:p>
    <w:p>
      <w:pPr>
        <w:spacing w:after="0" w:line="224" w:lineRule="exact"/>
        <w:rPr>
          <w:sz w:val="20"/>
          <w:szCs w:val="20"/>
          <w:color w:val="auto"/>
        </w:rPr>
      </w:pPr>
    </w:p>
    <w:p>
      <w:pPr>
        <w:ind w:left="160" w:right="160" w:hanging="147"/>
        <w:spacing w:after="0" w:line="183" w:lineRule="auto"/>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Our Board encourages stockholders to attend</w:t>
      </w:r>
      <w:r>
        <w:rPr>
          <w:sz w:val="20"/>
          <w:szCs w:val="20"/>
          <w:color w:val="auto"/>
        </w:rPr>
        <w:t xml:space="preserve"> </w:t>
      </w:r>
      <w:r>
        <w:rPr>
          <w:rFonts w:ascii="Arial" w:cs="Arial" w:eastAsia="Arial" w:hAnsi="Arial"/>
          <w:sz w:val="34"/>
          <w:szCs w:val="34"/>
          <w:color w:val="0075A8"/>
          <w:vertAlign w:val="superscript"/>
        </w:rPr>
        <w:t>​ the Annual Meeting online. Whether or not you plan to attend, you are urged to submit a proxy promptly in one of the following ways:</w:t>
      </w:r>
    </w:p>
    <w:tbl>
      <w:tblPr>
        <w:tblLayout w:type="fixed"/>
        <w:tblInd w:w="20" w:type="dxa"/>
        <w:tblCellMar>
          <w:top w:w="0" w:type="dxa"/>
          <w:left w:w="0" w:type="dxa"/>
          <w:bottom w:w="0" w:type="dxa"/>
          <w:right w:w="0" w:type="dxa"/>
        </w:tblCellMar>
      </w:tblPr>
      <w:tr>
        <w:trPr>
          <w:trHeight w:val="428"/>
        </w:trPr>
        <w:tc>
          <w:tcPr>
            <w:tcW w:w="280" w:type="dxa"/>
            <w:vAlign w:val="bottom"/>
          </w:tcPr>
          <w:p>
            <w:pPr>
              <w:spacing w:after="0" w:line="427" w:lineRule="exact"/>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w:t>
            </w:r>
          </w:p>
        </w:tc>
        <w:tc>
          <w:tcPr>
            <w:tcW w:w="3960" w:type="dxa"/>
            <w:vAlign w:val="bottom"/>
          </w:tcPr>
          <w:p>
            <w:pPr>
              <w:ind w:left="60"/>
              <w:spacing w:after="0"/>
              <w:rPr>
                <w:sz w:val="20"/>
                <w:szCs w:val="20"/>
                <w:color w:val="auto"/>
              </w:rPr>
            </w:pPr>
            <w:r>
              <w:rPr>
                <w:rFonts w:ascii="Arial" w:cs="Arial" w:eastAsia="Arial" w:hAnsi="Arial"/>
                <w:sz w:val="20"/>
                <w:szCs w:val="20"/>
                <w:color w:val="0075A8"/>
                <w:w w:val="99"/>
              </w:rPr>
              <w:t>by completing and submitting your proxy via</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28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the Internet by visiting the website address</w:t>
            </w:r>
          </w:p>
        </w:tc>
        <w:tc>
          <w:tcPr>
            <w:tcW w:w="10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listed on the proxy card;</w:t>
            </w:r>
          </w:p>
        </w:tc>
        <w:tc>
          <w:tcPr>
            <w:tcW w:w="100" w:type="dxa"/>
            <w:vAlign w:val="bottom"/>
          </w:tcPr>
          <w:p>
            <w:pPr>
              <w:spacing w:after="0"/>
              <w:rPr>
                <w:sz w:val="23"/>
                <w:szCs w:val="23"/>
                <w:color w:val="auto"/>
              </w:rPr>
            </w:pPr>
          </w:p>
        </w:tc>
      </w:tr>
      <w:tr>
        <w:trPr>
          <w:trHeight w:val="427"/>
        </w:trPr>
        <w:tc>
          <w:tcPr>
            <w:tcW w:w="280" w:type="dxa"/>
            <w:vAlign w:val="bottom"/>
          </w:tcPr>
          <w:p>
            <w:pPr>
              <w:spacing w:after="0" w:line="427" w:lineRule="exact"/>
              <w:rPr>
                <w:sz w:val="20"/>
                <w:szCs w:val="20"/>
                <w:color w:val="auto"/>
              </w:rPr>
            </w:pPr>
            <w:r>
              <w:rPr>
                <w:rFonts w:ascii="Arial" w:cs="Arial" w:eastAsia="Arial" w:hAnsi="Arial"/>
                <w:sz w:val="20"/>
                <w:szCs w:val="20"/>
                <w:color w:val="0075A8"/>
              </w:rPr>
              <w:t xml:space="preserve">​ </w:t>
            </w:r>
            <w:r>
              <w:rPr>
                <w:rFonts w:ascii="Arial" w:cs="Arial" w:eastAsia="Arial" w:hAnsi="Arial"/>
                <w:sz w:val="39"/>
                <w:szCs w:val="39"/>
                <w:color w:val="0075A8"/>
                <w:vertAlign w:val="subscript"/>
              </w:rPr>
              <w:t>•</w:t>
            </w:r>
          </w:p>
        </w:tc>
        <w:tc>
          <w:tcPr>
            <w:tcW w:w="3960" w:type="dxa"/>
            <w:vAlign w:val="bottom"/>
          </w:tcPr>
          <w:p>
            <w:pPr>
              <w:ind w:left="60"/>
              <w:spacing w:after="0"/>
              <w:rPr>
                <w:sz w:val="20"/>
                <w:szCs w:val="20"/>
                <w:color w:val="auto"/>
              </w:rPr>
            </w:pPr>
            <w:r>
              <w:rPr>
                <w:rFonts w:ascii="Arial" w:cs="Arial" w:eastAsia="Arial" w:hAnsi="Arial"/>
                <w:sz w:val="20"/>
                <w:szCs w:val="20"/>
                <w:color w:val="0075A8"/>
              </w:rPr>
              <w:t>by completing and submitting your proxy</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28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w w:val="96"/>
              </w:rPr>
              <w:t>using the toll-free telephone number listed on</w:t>
            </w:r>
          </w:p>
        </w:tc>
        <w:tc>
          <w:tcPr>
            <w:tcW w:w="10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the proxy card; or</w:t>
            </w:r>
          </w:p>
        </w:tc>
        <w:tc>
          <w:tcPr>
            <w:tcW w:w="100" w:type="dxa"/>
            <w:vAlign w:val="bottom"/>
          </w:tcPr>
          <w:p>
            <w:pPr>
              <w:spacing w:after="0"/>
              <w:rPr>
                <w:sz w:val="23"/>
                <w:szCs w:val="23"/>
                <w:color w:val="auto"/>
              </w:rPr>
            </w:pPr>
          </w:p>
        </w:tc>
      </w:tr>
      <w:tr>
        <w:trPr>
          <w:trHeight w:val="427"/>
        </w:trPr>
        <w:tc>
          <w:tcPr>
            <w:tcW w:w="280" w:type="dxa"/>
            <w:vAlign w:val="bottom"/>
          </w:tcPr>
          <w:p>
            <w:pPr>
              <w:spacing w:after="0" w:line="427" w:lineRule="exact"/>
              <w:rPr>
                <w:sz w:val="20"/>
                <w:szCs w:val="20"/>
                <w:color w:val="auto"/>
              </w:rPr>
            </w:pPr>
            <w:r>
              <w:rPr>
                <w:rFonts w:ascii="Arial" w:cs="Arial" w:eastAsia="Arial" w:hAnsi="Arial"/>
                <w:sz w:val="20"/>
                <w:szCs w:val="20"/>
                <w:color w:val="0075A8"/>
              </w:rPr>
              <w:t xml:space="preserve">​ </w:t>
            </w:r>
            <w:r>
              <w:rPr>
                <w:rFonts w:ascii="Arial" w:cs="Arial" w:eastAsia="Arial" w:hAnsi="Arial"/>
                <w:sz w:val="39"/>
                <w:szCs w:val="39"/>
                <w:color w:val="0075A8"/>
                <w:vertAlign w:val="subscript"/>
              </w:rPr>
              <w:t>•</w:t>
            </w:r>
          </w:p>
        </w:tc>
        <w:tc>
          <w:tcPr>
            <w:tcW w:w="3960" w:type="dxa"/>
            <w:vAlign w:val="bottom"/>
          </w:tcPr>
          <w:p>
            <w:pPr>
              <w:ind w:left="60"/>
              <w:spacing w:after="0"/>
              <w:rPr>
                <w:sz w:val="20"/>
                <w:szCs w:val="20"/>
                <w:color w:val="auto"/>
              </w:rPr>
            </w:pPr>
            <w:r>
              <w:rPr>
                <w:rFonts w:ascii="Arial" w:cs="Arial" w:eastAsia="Arial" w:hAnsi="Arial"/>
                <w:sz w:val="20"/>
                <w:szCs w:val="20"/>
                <w:color w:val="0075A8"/>
                <w:w w:val="99"/>
              </w:rPr>
              <w:t>by completing, signing, and dating the proxy</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28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card and returning it in the postage-prepaid</w:t>
            </w:r>
          </w:p>
        </w:tc>
        <w:tc>
          <w:tcPr>
            <w:tcW w:w="10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envelope provided for that purpose.</w:t>
            </w:r>
          </w:p>
        </w:tc>
        <w:tc>
          <w:tcPr>
            <w:tcW w:w="100" w:type="dxa"/>
            <w:vAlign w:val="bottom"/>
          </w:tcPr>
          <w:p>
            <w:pPr>
              <w:spacing w:after="0"/>
              <w:rPr>
                <w:sz w:val="23"/>
                <w:szCs w:val="23"/>
                <w:color w:val="auto"/>
              </w:rPr>
            </w:pPr>
          </w:p>
        </w:tc>
      </w:tr>
      <w:tr>
        <w:trPr>
          <w:trHeight w:val="427"/>
        </w:trPr>
        <w:tc>
          <w:tcPr>
            <w:tcW w:w="4240" w:type="dxa"/>
            <w:vAlign w:val="bottom"/>
            <w:gridSpan w:val="2"/>
          </w:tcPr>
          <w:p>
            <w:pPr>
              <w:spacing w:after="0" w:line="427" w:lineRule="exact"/>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A prompt response will greatly facilitate</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4240" w:type="dxa"/>
            <w:vAlign w:val="bottom"/>
            <w:gridSpan w:val="2"/>
          </w:tcPr>
          <w:p>
            <w:pPr>
              <w:ind w:left="140"/>
              <w:spacing w:after="0"/>
              <w:rPr>
                <w:sz w:val="20"/>
                <w:szCs w:val="20"/>
                <w:color w:val="auto"/>
              </w:rPr>
            </w:pPr>
            <w:r>
              <w:rPr>
                <w:rFonts w:ascii="Arial" w:cs="Arial" w:eastAsia="Arial" w:hAnsi="Arial"/>
                <w:sz w:val="20"/>
                <w:szCs w:val="20"/>
                <w:color w:val="0075A8"/>
              </w:rPr>
              <w:t>arrangements for the meeting and your</w:t>
            </w:r>
          </w:p>
        </w:tc>
        <w:tc>
          <w:tcPr>
            <w:tcW w:w="100" w:type="dxa"/>
            <w:vAlign w:val="bottom"/>
          </w:tcPr>
          <w:p>
            <w:pPr>
              <w:spacing w:after="0"/>
              <w:rPr>
                <w:sz w:val="22"/>
                <w:szCs w:val="22"/>
                <w:color w:val="auto"/>
              </w:rPr>
            </w:pPr>
          </w:p>
        </w:tc>
      </w:tr>
      <w:tr>
        <w:trPr>
          <w:trHeight w:val="270"/>
        </w:trPr>
        <w:tc>
          <w:tcPr>
            <w:tcW w:w="4240" w:type="dxa"/>
            <w:vAlign w:val="bottom"/>
            <w:gridSpan w:val="2"/>
          </w:tcPr>
          <w:p>
            <w:pPr>
              <w:ind w:left="140"/>
              <w:spacing w:after="0"/>
              <w:rPr>
                <w:sz w:val="20"/>
                <w:szCs w:val="20"/>
                <w:color w:val="auto"/>
              </w:rPr>
            </w:pPr>
            <w:r>
              <w:rPr>
                <w:rFonts w:ascii="Arial" w:cs="Arial" w:eastAsia="Arial" w:hAnsi="Arial"/>
                <w:sz w:val="20"/>
                <w:szCs w:val="20"/>
                <w:color w:val="0075A8"/>
              </w:rPr>
              <w:t>cooperation will be appreciated.</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7" w:name="page88"/>
    <w:bookmarkEnd w:id="87"/>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Appendix A:</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240"/>
        <w:spacing w:after="0" w:line="260" w:lineRule="auto"/>
        <w:rPr>
          <w:sz w:val="20"/>
          <w:szCs w:val="20"/>
          <w:color w:val="auto"/>
        </w:rPr>
      </w:pPr>
      <w:r>
        <w:rPr>
          <w:rFonts w:ascii="Arial" w:cs="Arial" w:eastAsia="Arial" w:hAnsi="Arial"/>
          <w:sz w:val="32"/>
          <w:szCs w:val="32"/>
          <w:b w:val="1"/>
          <w:bCs w:val="1"/>
          <w:color w:val="0075A8"/>
        </w:rPr>
        <w:t>UNAUDITED RECONCILIATIONS OF NON-GAAP FINANCIAL MEASURES</w:t>
      </w:r>
    </w:p>
    <w:p>
      <w:pPr>
        <w:sectPr>
          <w:pgSz w:w="11900" w:h="16838" w:orient="portrait"/>
          <w:cols w:equalWidth="0" w:num="1">
            <w:col w:w="10200"/>
          </w:cols>
          <w:pgMar w:left="480" w:top="97" w:right="1219" w:bottom="1440" w:gutter="0" w:footer="0" w:header="0"/>
        </w:sectPr>
      </w:pP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-179070</wp:posOffset>
            </wp:positionV>
            <wp:extent cx="5974715" cy="3600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74715" cy="36004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17780</wp:posOffset>
            </wp:positionV>
            <wp:extent cx="5974715" cy="163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GAAP​ operating income</w:t>
      </w:r>
    </w:p>
    <w:p>
      <w:pPr>
        <w:spacing w:after="0" w:line="73" w:lineRule="exact"/>
        <w:rPr>
          <w:sz w:val="20"/>
          <w:szCs w:val="20"/>
          <w:color w:val="auto"/>
        </w:rPr>
      </w:pPr>
    </w:p>
    <w:p>
      <w:pPr>
        <w:ind w:left="980" w:hanging="172"/>
        <w:spacing w:after="0"/>
        <w:tabs>
          <w:tab w:leader="none" w:pos="9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Share-based compensation expense</w:t>
      </w:r>
      <w:r>
        <w:rPr>
          <w:rFonts w:ascii="Arial" w:cs="Arial" w:eastAsia="Arial" w:hAnsi="Arial"/>
          <w:sz w:val="16"/>
          <w:szCs w:val="16"/>
          <w:color w:val="0075A8"/>
        </w:rPr>
        <w:t>(a)</w:t>
      </w:r>
    </w:p>
    <w:p>
      <w:pPr>
        <w:spacing w:after="0" w:line="72" w:lineRule="exact"/>
        <w:rPr>
          <w:rFonts w:ascii="Arial" w:cs="Arial" w:eastAsia="Arial" w:hAnsi="Arial"/>
          <w:sz w:val="16"/>
          <w:szCs w:val="16"/>
          <w:color w:val="auto"/>
        </w:rPr>
      </w:pPr>
    </w:p>
    <w:p>
      <w:pPr>
        <w:ind w:left="980" w:hanging="172"/>
        <w:spacing w:after="0"/>
        <w:tabs>
          <w:tab w:leader="none" w:pos="9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Acquisition-related expenses</w:t>
      </w:r>
    </w:p>
    <w:p>
      <w:pPr>
        <w:spacing w:after="0" w:line="72" w:lineRule="exact"/>
        <w:rPr>
          <w:rFonts w:ascii="Arial" w:cs="Arial" w:eastAsia="Arial" w:hAnsi="Arial"/>
          <w:sz w:val="16"/>
          <w:szCs w:val="16"/>
          <w:color w:val="auto"/>
        </w:rPr>
      </w:pPr>
    </w:p>
    <w:p>
      <w:pPr>
        <w:ind w:left="980" w:hanging="172"/>
        <w:spacing w:after="0"/>
        <w:tabs>
          <w:tab w:leader="none" w:pos="9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Amortization of acquisition-related intangibles</w:t>
      </w:r>
    </w:p>
    <w:p>
      <w:pPr>
        <w:spacing w:after="0" w:line="97" w:lineRule="exact"/>
        <w:rPr>
          <w:rFonts w:ascii="Arial" w:cs="Arial" w:eastAsia="Arial" w:hAnsi="Arial"/>
          <w:sz w:val="15"/>
          <w:szCs w:val="15"/>
          <w:color w:val="auto"/>
        </w:rPr>
      </w:pPr>
    </w:p>
    <w:p>
      <w:pPr>
        <w:ind w:left="980" w:hanging="172"/>
        <w:spacing w:after="0"/>
        <w:tabs>
          <w:tab w:leader="none" w:pos="9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Settlements, gains, losses, and impairments</w:t>
      </w:r>
    </w:p>
    <w:p>
      <w:pPr>
        <w:spacing w:after="0" w:line="86" w:lineRule="exact"/>
        <w:rPr>
          <w:rFonts w:ascii="Arial" w:cs="Arial" w:eastAsia="Arial" w:hAnsi="Arial"/>
          <w:sz w:val="16"/>
          <w:szCs w:val="16"/>
          <w:color w:val="auto"/>
        </w:rPr>
      </w:pPr>
    </w:p>
    <w:p>
      <w:pPr>
        <w:ind w:left="980" w:hanging="172"/>
        <w:spacing w:after="0"/>
        <w:tabs>
          <w:tab w:leader="none" w:pos="9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-647065</wp:posOffset>
            </wp:positionV>
            <wp:extent cx="5974715" cy="1631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-321310</wp:posOffset>
            </wp:positionV>
            <wp:extent cx="5974715" cy="1714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20955</wp:posOffset>
            </wp:positionV>
            <wp:extent cx="5974715"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Non​-GAAP operating income</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GAAP​ operating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20955</wp:posOffset>
            </wp:positionV>
            <wp:extent cx="5974715" cy="1885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ind w:left="800"/>
        <w:spacing w:after="0" w:line="203" w:lineRule="auto"/>
        <w:rPr>
          <w:sz w:val="20"/>
          <w:szCs w:val="20"/>
          <w:color w:val="auto"/>
        </w:rPr>
      </w:pPr>
      <w:r>
        <w:rPr>
          <w:rFonts w:ascii="Arial" w:cs="Arial" w:eastAsia="Arial" w:hAnsi="Arial"/>
          <w:sz w:val="16"/>
          <w:szCs w:val="16"/>
          <w:color w:val="auto"/>
        </w:rPr>
        <w:t>Non-GAAP operating margin %</w:t>
      </w:r>
    </w:p>
    <w:p>
      <w:pPr>
        <w:ind w:left="8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59747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62230</wp:posOffset>
            </wp:positionV>
            <wp:extent cx="34290" cy="3600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Twelve Months Ended</w:t>
      </w:r>
      <w:r>
        <w:rPr>
          <w:rFonts w:ascii="Arial" w:cs="Arial" w:eastAsia="Arial" w:hAnsi="Arial"/>
          <w:sz w:val="35"/>
          <w:szCs w:val="35"/>
          <w:b w:val="1"/>
          <w:bCs w:val="1"/>
          <w:color w:val="FFFFFF"/>
          <w:vertAlign w:val="subscript"/>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Pr>
          <w:p>
            <w:pPr>
              <w:spacing w:after="0"/>
              <w:rPr>
                <w:sz w:val="20"/>
                <w:szCs w:val="20"/>
                <w:color w:val="auto"/>
              </w:rPr>
            </w:pPr>
            <w:r>
              <w:rPr>
                <w:rFonts w:ascii="Arial" w:cs="Arial" w:eastAsia="Arial" w:hAnsi="Arial"/>
                <w:sz w:val="18"/>
                <w:szCs w:val="18"/>
                <w:b w:val="1"/>
                <w:bCs w:val="1"/>
                <w:color w:val="FFFFFF"/>
              </w:rPr>
              <w:t>​ ​</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FFFFFF"/>
              </w:rPr>
              <w:t>Sep. 27, 2024</w:t>
            </w:r>
          </w:p>
        </w:tc>
        <w:tc>
          <w:tcPr>
            <w:tcW w:w="280" w:type="dxa"/>
            <w:vAlign w:val="bottom"/>
          </w:tcPr>
          <w:p>
            <w:pPr>
              <w:ind w:left="180"/>
              <w:spacing w:after="0"/>
              <w:rPr>
                <w:sz w:val="20"/>
                <w:szCs w:val="20"/>
                <w:color w:val="auto"/>
              </w:rPr>
            </w:pPr>
            <w:r>
              <w:rPr>
                <w:rFonts w:ascii="Arial" w:cs="Arial" w:eastAsia="Arial" w:hAnsi="Arial"/>
                <w:sz w:val="18"/>
                <w:szCs w:val="18"/>
                <w:b w:val="1"/>
                <w:bCs w:val="1"/>
                <w:color w:val="FFFFFF"/>
              </w:rPr>
              <w:t>​</w:t>
            </w:r>
          </w:p>
        </w:tc>
      </w:tr>
      <w:tr>
        <w:trPr>
          <w:trHeight w:val="242"/>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637​</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57"/>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660" w:type="dxa"/>
            <w:vAlign w:val="bottom"/>
          </w:tcPr>
          <w:p>
            <w:pPr>
              <w:ind w:left="460"/>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180​</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57"/>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660" w:type="dxa"/>
            <w:vAlign w:val="bottom"/>
          </w:tcPr>
          <w:p>
            <w:pPr>
              <w:ind w:left="460"/>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57"/>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660" w:type="dxa"/>
            <w:vAlign w:val="bottom"/>
          </w:tcPr>
          <w:p>
            <w:pPr>
              <w:ind w:left="460"/>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161​</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660" w:type="dxa"/>
            <w:vAlign w:val="bottom"/>
          </w:tcPr>
          <w:p>
            <w:pPr>
              <w:ind w:left="460"/>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142​</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660" w:type="dxa"/>
            <w:vAlign w:val="bottom"/>
          </w:tcPr>
          <w:p>
            <w:pPr>
              <w:ind w:left="460"/>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15​</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1460" w:type="dxa"/>
            <w:vAlign w:val="bottom"/>
            <w:gridSpan w:val="2"/>
          </w:tcPr>
          <w:p>
            <w:pPr>
              <w:ind w:left="460"/>
              <w:spacing w:after="0"/>
              <w:rPr>
                <w:sz w:val="20"/>
                <w:szCs w:val="20"/>
                <w:color w:val="auto"/>
              </w:rPr>
            </w:pPr>
            <w:r>
              <w:rPr>
                <w:rFonts w:ascii="Arial" w:cs="Arial" w:eastAsia="Arial" w:hAnsi="Arial"/>
                <w:sz w:val="16"/>
                <w:szCs w:val="16"/>
                <w:color w:val="auto"/>
              </w:rPr>
              <w:t>​$1,137​</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1460" w:type="dxa"/>
            <w:vAlign w:val="bottom"/>
            <w:gridSpan w:val="2"/>
          </w:tcPr>
          <w:p>
            <w:pPr>
              <w:ind w:left="460"/>
              <w:spacing w:after="0"/>
              <w:rPr>
                <w:sz w:val="20"/>
                <w:szCs w:val="20"/>
                <w:color w:val="auto"/>
              </w:rPr>
            </w:pPr>
            <w:r>
              <w:rPr>
                <w:rFonts w:ascii="Arial" w:cs="Arial" w:eastAsia="Arial" w:hAnsi="Arial"/>
                <w:sz w:val="16"/>
                <w:szCs w:val="16"/>
                <w:color w:val="auto"/>
              </w:rPr>
              <w:t>​ ​ 15.3​%</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380"/>
        </w:trPr>
        <w:tc>
          <w:tcPr>
            <w:tcW w:w="420" w:type="dxa"/>
            <w:vAlign w:val="bottom"/>
          </w:tcPr>
          <w:p>
            <w:pPr>
              <w:ind w:left="120"/>
              <w:spacing w:after="0"/>
              <w:rPr>
                <w:sz w:val="20"/>
                <w:szCs w:val="20"/>
                <w:color w:val="auto"/>
              </w:rPr>
            </w:pPr>
            <w:r>
              <w:rPr>
                <w:rFonts w:ascii="Arial" w:cs="Arial" w:eastAsia="Arial" w:hAnsi="Arial"/>
                <w:sz w:val="16"/>
                <w:szCs w:val="16"/>
                <w:color w:val="auto"/>
              </w:rPr>
              <w:t>​ ​</w:t>
            </w:r>
          </w:p>
        </w:tc>
        <w:tc>
          <w:tcPr>
            <w:tcW w:w="1460" w:type="dxa"/>
            <w:vAlign w:val="bottom"/>
            <w:gridSpan w:val="2"/>
          </w:tcPr>
          <w:p>
            <w:pPr>
              <w:ind w:left="46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 27.2​%</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bl>
    <w:p>
      <w:pPr>
        <w:spacing w:after="0" w:line="1" w:lineRule="exact"/>
        <w:rPr>
          <w:sz w:val="20"/>
          <w:szCs w:val="20"/>
          <w:color w:val="auto"/>
        </w:rPr>
      </w:pPr>
    </w:p>
    <w:p>
      <w:pPr>
        <w:sectPr>
          <w:pgSz w:w="11900" w:h="16838" w:orient="portrait"/>
          <w:cols w:equalWidth="0" w:num="2">
            <w:col w:w="7320" w:space="720"/>
            <w:col w:w="2160"/>
          </w:cols>
          <w:pgMar w:left="480" w:top="97" w:right="1219" w:bottom="1440" w:gutter="0" w:footer="0" w:header="0"/>
          <w:type w:val="continuous"/>
        </w:sectPr>
      </w:pPr>
    </w:p>
    <w:tbl>
      <w:tblPr>
        <w:tblLayout w:type="fixed"/>
        <w:tblInd w:w="760" w:type="dxa"/>
        <w:tblCellMar>
          <w:top w:w="0" w:type="dxa"/>
          <w:left w:w="0" w:type="dxa"/>
          <w:bottom w:w="0" w:type="dxa"/>
          <w:right w:w="0" w:type="dxa"/>
        </w:tblCellMar>
      </w:tblPr>
      <w:tr>
        <w:trPr>
          <w:trHeight w:val="290"/>
        </w:trPr>
        <w:tc>
          <w:tcPr>
            <w:tcW w:w="160" w:type="dxa"/>
            <w:vAlign w:val="bottom"/>
            <w:gridSpan w:val="2"/>
            <w:shd w:val="clear" w:color="auto" w:fill="0075A8"/>
          </w:tcPr>
          <w:p>
            <w:pPr>
              <w:jc w:val="right"/>
              <w:spacing w:after="0"/>
              <w:rPr>
                <w:sz w:val="20"/>
                <w:szCs w:val="20"/>
                <w:color w:val="auto"/>
              </w:rPr>
            </w:pPr>
            <w:r>
              <w:rPr>
                <w:rFonts w:ascii="Arial" w:cs="Arial" w:eastAsia="Arial" w:hAnsi="Arial"/>
                <w:sz w:val="18"/>
                <w:szCs w:val="18"/>
                <w:b w:val="1"/>
                <w:bCs w:val="1"/>
                <w:color w:val="FFFFFF"/>
              </w:rPr>
              <w:t>​​</w:t>
            </w:r>
          </w:p>
        </w:tc>
        <w:tc>
          <w:tcPr>
            <w:tcW w:w="7120" w:type="dxa"/>
            <w:vAlign w:val="bottom"/>
            <w:shd w:val="clear" w:color="auto" w:fill="0075A8"/>
          </w:tcPr>
          <w:p>
            <w:pPr>
              <w:spacing w:after="0"/>
              <w:rPr>
                <w:sz w:val="24"/>
                <w:szCs w:val="24"/>
                <w:color w:val="auto"/>
              </w:rPr>
            </w:pPr>
          </w:p>
        </w:tc>
        <w:tc>
          <w:tcPr>
            <w:tcW w:w="2120" w:type="dxa"/>
            <w:vAlign w:val="bottom"/>
            <w:gridSpan w:val="4"/>
            <w:shd w:val="clear" w:color="auto" w:fill="0075A8"/>
          </w:tcPr>
          <w:p>
            <w:pPr>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7"/>
                <w:szCs w:val="17"/>
                <w:b w:val="1"/>
                <w:bCs w:val="1"/>
                <w:color w:val="FFFFFF"/>
              </w:rPr>
              <w:t xml:space="preserve"> Twelve Months Ended</w:t>
            </w:r>
            <w:r>
              <w:rPr>
                <w:rFonts w:ascii="Arial" w:cs="Arial" w:eastAsia="Arial" w:hAnsi="Arial"/>
                <w:sz w:val="32"/>
                <w:szCs w:val="32"/>
                <w:b w:val="1"/>
                <w:bCs w:val="1"/>
                <w:color w:val="FFFFFF"/>
                <w:vertAlign w:val="sub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0"/>
                <w:szCs w:val="20"/>
                <w:color w:val="auto"/>
              </w:rPr>
            </w:pPr>
            <w:r>
              <w:rPr>
                <w:rFonts w:ascii="Arial" w:cs="Arial" w:eastAsia="Arial" w:hAnsi="Arial"/>
                <w:sz w:val="18"/>
                <w:szCs w:val="18"/>
                <w:b w:val="1"/>
                <w:bCs w:val="1"/>
                <w:color w:val="FFFFFF"/>
              </w:rPr>
              <w:t>​</w:t>
            </w:r>
          </w:p>
        </w:tc>
        <w:tc>
          <w:tcPr>
            <w:tcW w:w="7240" w:type="dxa"/>
            <w:vAlign w:val="bottom"/>
            <w:gridSpan w:val="2"/>
            <w:shd w:val="clear" w:color="auto" w:fill="0075A8"/>
          </w:tcPr>
          <w:p>
            <w:pPr>
              <w:spacing w:after="0"/>
              <w:rPr>
                <w:sz w:val="20"/>
                <w:szCs w:val="20"/>
                <w:color w:val="auto"/>
              </w:rPr>
            </w:pPr>
            <w:r>
              <w:rPr>
                <w:rFonts w:ascii="Arial" w:cs="Arial" w:eastAsia="Arial" w:hAnsi="Arial"/>
                <w:sz w:val="18"/>
                <w:szCs w:val="18"/>
                <w:b w:val="1"/>
                <w:bCs w:val="1"/>
                <w:color w:val="FFFFFF"/>
              </w:rPr>
              <w:t>(in millions)</w:t>
            </w:r>
          </w:p>
        </w:tc>
        <w:tc>
          <w:tcPr>
            <w:tcW w:w="420" w:type="dxa"/>
            <w:vAlign w:val="bottom"/>
            <w:gridSpan w:val="2"/>
            <w:shd w:val="clear" w:color="auto" w:fill="0075A8"/>
          </w:tcPr>
          <w:p>
            <w:pPr>
              <w:spacing w:after="0"/>
              <w:rPr>
                <w:sz w:val="20"/>
                <w:szCs w:val="20"/>
                <w:color w:val="auto"/>
              </w:rPr>
            </w:pPr>
            <w:r>
              <w:rPr>
                <w:rFonts w:ascii="Arial" w:cs="Arial" w:eastAsia="Arial" w:hAnsi="Arial"/>
                <w:sz w:val="18"/>
                <w:szCs w:val="18"/>
                <w:b w:val="1"/>
                <w:bCs w:val="1"/>
                <w:color w:val="FFFFFF"/>
              </w:rPr>
              <w:t>​ ​</w:t>
            </w:r>
          </w:p>
        </w:tc>
        <w:tc>
          <w:tcPr>
            <w:tcW w:w="1460" w:type="dxa"/>
            <w:vAlign w:val="bottom"/>
            <w:shd w:val="clear" w:color="auto" w:fill="0075A8"/>
          </w:tcPr>
          <w:p>
            <w:pPr>
              <w:ind w:left="180"/>
              <w:spacing w:after="0"/>
              <w:rPr>
                <w:sz w:val="20"/>
                <w:szCs w:val="20"/>
                <w:color w:val="auto"/>
              </w:rPr>
            </w:pPr>
            <w:r>
              <w:rPr>
                <w:rFonts w:ascii="Arial" w:cs="Arial" w:eastAsia="Arial" w:hAnsi="Arial"/>
                <w:sz w:val="18"/>
                <w:szCs w:val="18"/>
                <w:b w:val="1"/>
                <w:bCs w:val="1"/>
                <w:color w:val="FFFFFF"/>
              </w:rPr>
              <w:t>Sep. 27, 2024</w:t>
            </w:r>
          </w:p>
        </w:tc>
        <w:tc>
          <w:tcPr>
            <w:tcW w:w="240" w:type="dxa"/>
            <w:vAlign w:val="bottom"/>
            <w:shd w:val="clear" w:color="auto" w:fill="0075A8"/>
          </w:tcPr>
          <w:p>
            <w:pPr>
              <w:ind w:left="18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GAAP net income per share, diluted</w:t>
            </w:r>
          </w:p>
        </w:tc>
        <w:tc>
          <w:tcPr>
            <w:tcW w:w="12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500"/>
              <w:spacing w:after="0"/>
              <w:rPr>
                <w:sz w:val="20"/>
                <w:szCs w:val="20"/>
                <w:color w:val="auto"/>
              </w:rPr>
            </w:pPr>
            <w:r>
              <w:rPr>
                <w:rFonts w:ascii="Arial" w:cs="Arial" w:eastAsia="Arial" w:hAnsi="Arial"/>
                <w:sz w:val="16"/>
                <w:szCs w:val="16"/>
                <w:color w:val="auto"/>
              </w:rPr>
              <w:t>$ 3.69​</w:t>
            </w:r>
          </w:p>
        </w:tc>
        <w:tc>
          <w:tcPr>
            <w:tcW w:w="2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7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460" w:type="dxa"/>
            <w:vAlign w:val="bottom"/>
          </w:tcPr>
          <w:p>
            <w:pPr>
              <w:ind w:left="480"/>
              <w:spacing w:after="0" w:line="54" w:lineRule="exact"/>
              <w:rPr>
                <w:sz w:val="20"/>
                <w:szCs w:val="20"/>
                <w:color w:val="auto"/>
              </w:rPr>
            </w:pPr>
            <w:r>
              <w:rPr>
                <w:rFonts w:ascii="Arial" w:cs="Arial" w:eastAsia="Arial" w:hAnsi="Arial"/>
                <w:sz w:val="6"/>
                <w:szCs w:val="6"/>
                <w:color w:val="auto"/>
              </w:rPr>
              <w:t>​</w:t>
            </w:r>
          </w:p>
        </w:tc>
        <w:tc>
          <w:tcPr>
            <w:tcW w:w="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120" w:type="dxa"/>
            <w:vAlign w:val="bottom"/>
          </w:tcPr>
          <w:p>
            <w:pPr>
              <w:ind w:left="60"/>
              <w:spacing w:after="0"/>
              <w:rPr>
                <w:sz w:val="20"/>
                <w:szCs w:val="20"/>
                <w:color w:val="auto"/>
              </w:rPr>
            </w:pPr>
            <w:r>
              <w:rPr>
                <w:rFonts w:ascii="Arial" w:cs="Arial" w:eastAsia="Arial" w:hAnsi="Arial"/>
                <w:sz w:val="16"/>
                <w:szCs w:val="16"/>
                <w:color w:val="auto"/>
              </w:rPr>
              <w:t>Share-based compensation expense</w:t>
            </w:r>
            <w:r>
              <w:rPr>
                <w:rFonts w:ascii="Arial" w:cs="Arial" w:eastAsia="Arial" w:hAnsi="Arial"/>
                <w:sz w:val="16"/>
                <w:szCs w:val="16"/>
                <w:color w:val="0075A8"/>
              </w:rPr>
              <w:t>(a)</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480"/>
              <w:spacing w:after="0"/>
              <w:rPr>
                <w:sz w:val="20"/>
                <w:szCs w:val="20"/>
                <w:color w:val="auto"/>
              </w:rPr>
            </w:pPr>
            <w:r>
              <w:rPr>
                <w:rFonts w:ascii="Arial" w:cs="Arial" w:eastAsia="Arial" w:hAnsi="Arial"/>
                <w:sz w:val="16"/>
                <w:szCs w:val="16"/>
                <w:color w:val="auto"/>
              </w:rPr>
              <w:t>​ ​1.12​</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120" w:type="dxa"/>
            <w:vAlign w:val="bottom"/>
          </w:tcPr>
          <w:p>
            <w:pPr>
              <w:ind w:left="60"/>
              <w:spacing w:after="0"/>
              <w:rPr>
                <w:sz w:val="20"/>
                <w:szCs w:val="20"/>
                <w:color w:val="auto"/>
              </w:rPr>
            </w:pPr>
            <w:r>
              <w:rPr>
                <w:rFonts w:ascii="Arial" w:cs="Arial" w:eastAsia="Arial" w:hAnsi="Arial"/>
                <w:sz w:val="16"/>
                <w:szCs w:val="16"/>
                <w:color w:val="auto"/>
              </w:rPr>
              <w:t>Acquisition-related expenses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480"/>
              <w:spacing w:after="0"/>
              <w:rPr>
                <w:sz w:val="20"/>
                <w:szCs w:val="20"/>
                <w:color w:val="auto"/>
              </w:rPr>
            </w:pPr>
            <w:r>
              <w:rPr>
                <w:rFonts w:ascii="Arial" w:cs="Arial" w:eastAsia="Arial" w:hAnsi="Arial"/>
                <w:sz w:val="16"/>
                <w:szCs w:val="16"/>
                <w:color w:val="auto"/>
              </w:rPr>
              <w:t>​ ​0.01​</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120" w:type="dxa"/>
            <w:vAlign w:val="bottom"/>
          </w:tcPr>
          <w:p>
            <w:pPr>
              <w:ind w:left="60"/>
              <w:spacing w:after="0"/>
              <w:rPr>
                <w:sz w:val="20"/>
                <w:szCs w:val="20"/>
                <w:color w:val="auto"/>
              </w:rPr>
            </w:pPr>
            <w:r>
              <w:rPr>
                <w:rFonts w:ascii="Arial" w:cs="Arial" w:eastAsia="Arial" w:hAnsi="Arial"/>
                <w:sz w:val="16"/>
                <w:szCs w:val="16"/>
                <w:color w:val="auto"/>
              </w:rPr>
              <w:t>Amortization of acquisition-related intangibles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480"/>
              <w:spacing w:after="0"/>
              <w:rPr>
                <w:sz w:val="20"/>
                <w:szCs w:val="20"/>
                <w:color w:val="auto"/>
              </w:rPr>
            </w:pPr>
            <w:r>
              <w:rPr>
                <w:rFonts w:ascii="Arial" w:cs="Arial" w:eastAsia="Arial" w:hAnsi="Arial"/>
                <w:sz w:val="16"/>
                <w:szCs w:val="16"/>
                <w:color w:val="auto"/>
              </w:rPr>
              <w:t>​ ​1.00​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120" w:type="dxa"/>
            <w:vAlign w:val="bottom"/>
          </w:tcPr>
          <w:p>
            <w:pPr>
              <w:ind w:left="60"/>
              <w:spacing w:after="0"/>
              <w:rPr>
                <w:sz w:val="20"/>
                <w:szCs w:val="20"/>
                <w:color w:val="auto"/>
              </w:rPr>
            </w:pPr>
            <w:r>
              <w:rPr>
                <w:rFonts w:ascii="Arial" w:cs="Arial" w:eastAsia="Arial" w:hAnsi="Arial"/>
                <w:sz w:val="16"/>
                <w:szCs w:val="16"/>
                <w:color w:val="auto"/>
              </w:rPr>
              <w:t>Settlements, gains, losses, and impairments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480"/>
              <w:spacing w:after="0"/>
              <w:rPr>
                <w:sz w:val="20"/>
                <w:szCs w:val="20"/>
                <w:color w:val="auto"/>
              </w:rPr>
            </w:pPr>
            <w:r>
              <w:rPr>
                <w:rFonts w:ascii="Arial" w:cs="Arial" w:eastAsia="Arial" w:hAnsi="Arial"/>
                <w:sz w:val="16"/>
                <w:szCs w:val="16"/>
                <w:color w:val="auto"/>
              </w:rPr>
              <w:t>​ ​0.87​</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120" w:type="dxa"/>
            <w:vAlign w:val="bottom"/>
          </w:tcPr>
          <w:p>
            <w:pPr>
              <w:ind w:left="60"/>
              <w:spacing w:after="0"/>
              <w:rPr>
                <w:sz w:val="20"/>
                <w:szCs w:val="20"/>
                <w:color w:val="auto"/>
              </w:rPr>
            </w:pPr>
            <w:r>
              <w:rPr>
                <w:rFonts w:ascii="Arial" w:cs="Arial" w:eastAsia="Arial" w:hAnsi="Arial"/>
                <w:sz w:val="16"/>
                <w:szCs w:val="16"/>
                <w:color w:val="auto"/>
              </w:rPr>
              <w:t>Restructuring and other charges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480"/>
              <w:spacing w:after="0"/>
              <w:rPr>
                <w:sz w:val="20"/>
                <w:szCs w:val="20"/>
                <w:color w:val="auto"/>
              </w:rPr>
            </w:pPr>
            <w:r>
              <w:rPr>
                <w:rFonts w:ascii="Arial" w:cs="Arial" w:eastAsia="Arial" w:hAnsi="Arial"/>
                <w:sz w:val="16"/>
                <w:szCs w:val="16"/>
                <w:color w:val="auto"/>
              </w:rPr>
              <w:t>​ ​0.09​</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120" w:type="dxa"/>
            <w:vAlign w:val="bottom"/>
          </w:tcPr>
          <w:p>
            <w:pPr>
              <w:ind w:left="60"/>
              <w:spacing w:after="0"/>
              <w:rPr>
                <w:sz w:val="20"/>
                <w:szCs w:val="20"/>
                <w:color w:val="auto"/>
              </w:rPr>
            </w:pPr>
            <w:r>
              <w:rPr>
                <w:rFonts w:ascii="Arial" w:cs="Arial" w:eastAsia="Arial" w:hAnsi="Arial"/>
                <w:sz w:val="16"/>
                <w:szCs w:val="16"/>
                <w:color w:val="auto"/>
              </w:rPr>
              <w:t>Tax adjustments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480"/>
              <w:spacing w:after="0"/>
              <w:rPr>
                <w:sz w:val="20"/>
                <w:szCs w:val="20"/>
                <w:color w:val="auto"/>
              </w:rPr>
            </w:pPr>
            <w:r>
              <w:rPr>
                <w:rFonts w:ascii="Arial" w:cs="Arial" w:eastAsia="Arial" w:hAnsi="Arial"/>
                <w:sz w:val="16"/>
                <w:szCs w:val="16"/>
                <w:color w:val="auto"/>
              </w:rPr>
              <w:t>​ ​(0.51​)</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Non-GAAP net income per share, diluted</w:t>
            </w:r>
          </w:p>
        </w:tc>
        <w:tc>
          <w:tcPr>
            <w:tcW w:w="12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Arial" w:cs="Arial" w:eastAsia="Arial" w:hAnsi="Arial"/>
                <w:sz w:val="16"/>
                <w:szCs w:val="16"/>
                <w:color w:val="auto"/>
              </w:rPr>
              <w:t>​ ​</w:t>
            </w:r>
          </w:p>
        </w:tc>
        <w:tc>
          <w:tcPr>
            <w:tcW w:w="1460" w:type="dxa"/>
            <w:vAlign w:val="bottom"/>
          </w:tcPr>
          <w:p>
            <w:pPr>
              <w:ind w:left="500"/>
              <w:spacing w:after="0"/>
              <w:rPr>
                <w:sz w:val="20"/>
                <w:szCs w:val="20"/>
                <w:color w:val="auto"/>
              </w:rPr>
            </w:pPr>
            <w:r>
              <w:rPr>
                <w:rFonts w:ascii="Arial" w:cs="Arial" w:eastAsia="Arial" w:hAnsi="Arial"/>
                <w:sz w:val="16"/>
                <w:szCs w:val="16"/>
                <w:color w:val="auto"/>
              </w:rPr>
              <w:t>$ 6.27​</w:t>
            </w:r>
          </w:p>
        </w:tc>
        <w:tc>
          <w:tcPr>
            <w:tcW w:w="2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7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460" w:type="dxa"/>
            <w:vAlign w:val="bottom"/>
          </w:tcPr>
          <w:p>
            <w:pPr>
              <w:ind w:left="480"/>
              <w:spacing w:after="0" w:line="81" w:lineRule="exact"/>
              <w:rPr>
                <w:sz w:val="20"/>
                <w:szCs w:val="20"/>
                <w:color w:val="auto"/>
              </w:rPr>
            </w:pPr>
            <w:r>
              <w:rPr>
                <w:rFonts w:ascii="Arial" w:cs="Arial" w:eastAsia="Arial" w:hAnsi="Arial"/>
                <w:sz w:val="9"/>
                <w:szCs w:val="9"/>
                <w:color w:val="auto"/>
              </w:rPr>
              <w:t>​</w:t>
            </w:r>
          </w:p>
        </w:tc>
        <w:tc>
          <w:tcPr>
            <w:tcW w:w="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71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00" w:type="dxa"/>
            <w:vAlign w:val="bottom"/>
            <w:shd w:val="clear" w:color="auto" w:fill="BFBFBF"/>
          </w:tcPr>
          <w:p>
            <w:pPr>
              <w:spacing w:after="0" w:line="20" w:lineRule="exact"/>
              <w:rPr>
                <w:sz w:val="1"/>
                <w:szCs w:val="1"/>
                <w:color w:val="auto"/>
              </w:rPr>
            </w:pPr>
          </w:p>
        </w:tc>
        <w:tc>
          <w:tcPr>
            <w:tcW w:w="146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-1328420</wp:posOffset>
            </wp:positionV>
            <wp:extent cx="5974715" cy="1631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-1002030</wp:posOffset>
            </wp:positionV>
            <wp:extent cx="5974715" cy="162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-676275</wp:posOffset>
            </wp:positionV>
            <wp:extent cx="5974715" cy="162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-350520</wp:posOffset>
            </wp:positionV>
            <wp:extent cx="5974715" cy="162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76" w:lineRule="exact"/>
        <w:rPr>
          <w:sz w:val="20"/>
          <w:szCs w:val="20"/>
          <w:color w:val="auto"/>
        </w:rPr>
      </w:pPr>
    </w:p>
    <w:p>
      <w:pPr>
        <w:ind w:left="1180" w:right="40" w:hanging="354"/>
        <w:spacing w:after="0" w:line="301" w:lineRule="auto"/>
        <w:tabs>
          <w:tab w:leader="none" w:pos="1180" w:val="left"/>
        </w:tabs>
        <w:numPr>
          <w:ilvl w:val="0"/>
          <w:numId w:val="122"/>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summarizes the expense recognized in accordance with ASC 718 — Compensation, Stock Compensation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48895</wp:posOffset>
            </wp:positionV>
            <wp:extent cx="34290" cy="3600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36004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367"/>
        </w:trPr>
        <w:tc>
          <w:tcPr>
            <w:tcW w:w="7280" w:type="dxa"/>
            <w:vAlign w:val="bottom"/>
            <w:gridSpan w:val="2"/>
            <w:shd w:val="clear" w:color="auto" w:fill="0075A8"/>
          </w:tcPr>
          <w:p>
            <w:pPr>
              <w:jc w:val="right"/>
              <w:ind w:right="7117"/>
              <w:spacing w:after="0"/>
              <w:rPr>
                <w:sz w:val="20"/>
                <w:szCs w:val="20"/>
                <w:color w:val="auto"/>
              </w:rPr>
            </w:pPr>
            <w:r>
              <w:rPr>
                <w:rFonts w:ascii="Arial" w:cs="Arial" w:eastAsia="Arial" w:hAnsi="Arial"/>
                <w:sz w:val="18"/>
                <w:szCs w:val="18"/>
                <w:b w:val="1"/>
                <w:bCs w:val="1"/>
                <w:color w:val="FFFFFF"/>
              </w:rPr>
              <w:t>​​</w:t>
            </w:r>
          </w:p>
        </w:tc>
        <w:tc>
          <w:tcPr>
            <w:tcW w:w="2120" w:type="dxa"/>
            <w:vAlign w:val="bottom"/>
            <w:gridSpan w:val="6"/>
            <w:shd w:val="clear" w:color="auto" w:fill="0075A8"/>
          </w:tcPr>
          <w:p>
            <w:pPr>
              <w:spacing w:after="0" w:line="361" w:lineRule="exact"/>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Twelve Months Ended</w:t>
            </w:r>
            <w:r>
              <w:rPr>
                <w:rFonts w:ascii="Arial" w:cs="Arial" w:eastAsia="Arial" w:hAnsi="Arial"/>
                <w:sz w:val="35"/>
                <w:szCs w:val="35"/>
                <w:b w:val="1"/>
                <w:bCs w:val="1"/>
                <w:color w:val="FFFFFF"/>
                <w:vertAlign w:val="sub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0"/>
                <w:szCs w:val="20"/>
                <w:color w:val="auto"/>
              </w:rPr>
            </w:pPr>
            <w:r>
              <w:rPr>
                <w:rFonts w:ascii="Arial" w:cs="Arial" w:eastAsia="Arial" w:hAnsi="Arial"/>
                <w:sz w:val="18"/>
                <w:szCs w:val="18"/>
                <w:b w:val="1"/>
                <w:bCs w:val="1"/>
                <w:color w:val="FFFFFF"/>
              </w:rPr>
              <w:t>​</w:t>
            </w:r>
          </w:p>
        </w:tc>
        <w:tc>
          <w:tcPr>
            <w:tcW w:w="7240" w:type="dxa"/>
            <w:vAlign w:val="bottom"/>
            <w:shd w:val="clear" w:color="auto" w:fill="0075A8"/>
          </w:tcPr>
          <w:p>
            <w:pPr>
              <w:spacing w:after="0"/>
              <w:rPr>
                <w:sz w:val="20"/>
                <w:szCs w:val="20"/>
                <w:color w:val="auto"/>
              </w:rPr>
            </w:pPr>
            <w:r>
              <w:rPr>
                <w:rFonts w:ascii="Arial" w:cs="Arial" w:eastAsia="Arial" w:hAnsi="Arial"/>
                <w:sz w:val="18"/>
                <w:szCs w:val="18"/>
                <w:b w:val="1"/>
                <w:bCs w:val="1"/>
                <w:color w:val="FFFFFF"/>
              </w:rPr>
              <w:t>(in millions)</w:t>
            </w:r>
          </w:p>
        </w:tc>
        <w:tc>
          <w:tcPr>
            <w:tcW w:w="200" w:type="dxa"/>
            <w:vAlign w:val="bottom"/>
            <w:gridSpan w:val="2"/>
            <w:shd w:val="clear" w:color="auto" w:fill="0075A8"/>
          </w:tcPr>
          <w:p>
            <w:pPr>
              <w:jc w:val="right"/>
              <w:spacing w:after="0"/>
              <w:rPr>
                <w:sz w:val="20"/>
                <w:szCs w:val="20"/>
                <w:color w:val="auto"/>
              </w:rPr>
            </w:pPr>
            <w:r>
              <w:rPr>
                <w:rFonts w:ascii="Arial" w:cs="Arial" w:eastAsia="Arial" w:hAnsi="Arial"/>
                <w:sz w:val="18"/>
                <w:szCs w:val="18"/>
                <w:b w:val="1"/>
                <w:bCs w:val="1"/>
                <w:color w:val="FFFFFF"/>
              </w:rPr>
              <w:t>​ ​</w:t>
            </w:r>
          </w:p>
        </w:tc>
        <w:tc>
          <w:tcPr>
            <w:tcW w:w="220" w:type="dxa"/>
            <w:vAlign w:val="bottom"/>
            <w:shd w:val="clear" w:color="auto" w:fill="0075A8"/>
          </w:tcPr>
          <w:p>
            <w:pPr>
              <w:spacing w:after="0"/>
              <w:rPr>
                <w:sz w:val="24"/>
                <w:szCs w:val="24"/>
                <w:color w:val="auto"/>
              </w:rPr>
            </w:pPr>
          </w:p>
        </w:tc>
        <w:tc>
          <w:tcPr>
            <w:tcW w:w="1460" w:type="dxa"/>
            <w:vAlign w:val="bottom"/>
            <w:gridSpan w:val="2"/>
            <w:shd w:val="clear" w:color="auto" w:fill="0075A8"/>
          </w:tcPr>
          <w:p>
            <w:pPr>
              <w:ind w:left="180"/>
              <w:spacing w:after="0"/>
              <w:rPr>
                <w:sz w:val="20"/>
                <w:szCs w:val="20"/>
                <w:color w:val="auto"/>
              </w:rPr>
            </w:pPr>
            <w:r>
              <w:rPr>
                <w:rFonts w:ascii="Arial" w:cs="Arial" w:eastAsia="Arial" w:hAnsi="Arial"/>
                <w:sz w:val="18"/>
                <w:szCs w:val="18"/>
                <w:b w:val="1"/>
                <w:bCs w:val="1"/>
                <w:color w:val="FFFFFF"/>
              </w:rPr>
              <w:t>Sep. 27, 2024</w:t>
            </w:r>
          </w:p>
        </w:tc>
        <w:tc>
          <w:tcPr>
            <w:tcW w:w="240" w:type="dxa"/>
            <w:vAlign w:val="bottom"/>
            <w:shd w:val="clear" w:color="auto" w:fill="0075A8"/>
          </w:tcPr>
          <w:p>
            <w:pPr>
              <w:ind w:left="18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540"/>
              <w:spacing w:after="0"/>
              <w:rPr>
                <w:sz w:val="20"/>
                <w:szCs w:val="20"/>
                <w:color w:val="auto"/>
              </w:rPr>
            </w:pPr>
            <w:r>
              <w:rPr>
                <w:rFonts w:ascii="Arial" w:cs="Arial" w:eastAsia="Arial" w:hAnsi="Arial"/>
                <w:sz w:val="16"/>
                <w:szCs w:val="16"/>
                <w:color w:val="auto"/>
              </w:rPr>
              <w:t>$ 32​</w:t>
            </w:r>
          </w:p>
        </w:tc>
        <w:tc>
          <w:tcPr>
            <w:tcW w:w="2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40" w:type="dxa"/>
            <w:vAlign w:val="bottom"/>
          </w:tcPr>
          <w:p>
            <w:pPr>
              <w:jc w:val="right"/>
              <w:ind w:right="7117"/>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0" w:type="dxa"/>
            <w:vAlign w:val="bottom"/>
          </w:tcPr>
          <w:p>
            <w:pPr>
              <w:ind w:left="52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60" w:type="dxa"/>
            <w:vAlign w:val="bottom"/>
          </w:tcPr>
          <w:p>
            <w:pPr>
              <w:ind w:left="20"/>
              <w:spacing w:after="0"/>
              <w:rPr>
                <w:sz w:val="20"/>
                <w:szCs w:val="20"/>
                <w:color w:val="auto"/>
              </w:rPr>
            </w:pPr>
            <w:r>
              <w:rPr>
                <w:rFonts w:ascii="Arial" w:cs="Arial" w:eastAsia="Arial" w:hAnsi="Arial"/>
                <w:sz w:val="16"/>
                <w:szCs w:val="16"/>
                <w:color w:val="auto"/>
              </w:rPr>
              <w:t>​ 85​</w:t>
            </w:r>
          </w:p>
        </w:tc>
        <w:tc>
          <w:tcPr>
            <w:tcW w:w="2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40" w:type="dxa"/>
            <w:vAlign w:val="bottom"/>
          </w:tcPr>
          <w:p>
            <w:pPr>
              <w:jc w:val="right"/>
              <w:ind w:right="7117"/>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60" w:type="dxa"/>
            <w:vAlign w:val="bottom"/>
          </w:tcPr>
          <w:p>
            <w:pPr>
              <w:ind w:left="20"/>
              <w:spacing w:after="0"/>
              <w:rPr>
                <w:sz w:val="20"/>
                <w:szCs w:val="20"/>
                <w:color w:val="auto"/>
              </w:rPr>
            </w:pPr>
            <w:r>
              <w:rPr>
                <w:rFonts w:ascii="Arial" w:cs="Arial" w:eastAsia="Arial" w:hAnsi="Arial"/>
                <w:sz w:val="16"/>
                <w:szCs w:val="16"/>
                <w:color w:val="auto"/>
              </w:rPr>
              <w:t>​ 63​</w:t>
            </w:r>
          </w:p>
        </w:tc>
        <w:tc>
          <w:tcPr>
            <w:tcW w:w="2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40" w:type="dxa"/>
            <w:vAlign w:val="bottom"/>
          </w:tcPr>
          <w:p>
            <w:pPr>
              <w:jc w:val="right"/>
              <w:ind w:right="7117"/>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​Total share-based compensation</w:t>
            </w:r>
          </w:p>
        </w:tc>
        <w:tc>
          <w:tcPr>
            <w:tcW w:w="120" w:type="dxa"/>
            <w:vAlign w:val="bottom"/>
          </w:tcPr>
          <w:p>
            <w:pPr>
              <w:spacing w:after="0"/>
              <w:rPr>
                <w:sz w:val="23"/>
                <w:szCs w:val="23"/>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460" w:type="dxa"/>
            <w:vAlign w:val="bottom"/>
            <w:gridSpan w:val="2"/>
          </w:tcPr>
          <w:p>
            <w:pPr>
              <w:ind w:left="520"/>
              <w:spacing w:after="0"/>
              <w:rPr>
                <w:sz w:val="20"/>
                <w:szCs w:val="20"/>
                <w:color w:val="auto"/>
              </w:rPr>
            </w:pPr>
            <w:r>
              <w:rPr>
                <w:rFonts w:ascii="Arial" w:cs="Arial" w:eastAsia="Arial" w:hAnsi="Arial"/>
                <w:sz w:val="16"/>
                <w:szCs w:val="16"/>
                <w:color w:val="auto"/>
              </w:rPr>
              <w:t>​$180​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-658495</wp:posOffset>
            </wp:positionV>
            <wp:extent cx="5974715" cy="1631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-332105</wp:posOffset>
            </wp:positionV>
            <wp:extent cx="5974715" cy="162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35560</wp:posOffset>
            </wp:positionV>
            <wp:extent cx="34290" cy="3600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360045"/>
                    </a:xfrm>
                    <a:prstGeom prst="rect">
                      <a:avLst/>
                    </a:prstGeom>
                    <a:noFill/>
                  </pic:spPr>
                </pic:pic>
              </a:graphicData>
            </a:graphic>
          </wp:anchor>
        </w:drawing>
      </w:r>
    </w:p>
    <w:p>
      <w:pPr>
        <w:spacing w:after="0" w:line="36" w:lineRule="exact"/>
        <w:rPr>
          <w:sz w:val="20"/>
          <w:szCs w:val="20"/>
          <w:color w:val="auto"/>
        </w:rPr>
      </w:pPr>
    </w:p>
    <w:tbl>
      <w:tblPr>
        <w:tblLayout w:type="fixed"/>
        <w:tblInd w:w="760" w:type="dxa"/>
        <w:tblCellMar>
          <w:top w:w="0" w:type="dxa"/>
          <w:left w:w="0" w:type="dxa"/>
          <w:bottom w:w="0" w:type="dxa"/>
          <w:right w:w="0" w:type="dxa"/>
        </w:tblCellMar>
      </w:tblPr>
      <w:tr>
        <w:trPr>
          <w:trHeight w:val="297"/>
        </w:trPr>
        <w:tc>
          <w:tcPr>
            <w:tcW w:w="5400" w:type="dxa"/>
            <w:vAlign w:val="bottom"/>
            <w:shd w:val="clear" w:color="auto" w:fill="0075A8"/>
          </w:tcPr>
          <w:p>
            <w:pPr>
              <w:jc w:val="right"/>
              <w:ind w:right="5236"/>
              <w:spacing w:after="0"/>
              <w:rPr>
                <w:sz w:val="20"/>
                <w:szCs w:val="20"/>
                <w:color w:val="auto"/>
              </w:rPr>
            </w:pPr>
            <w:r>
              <w:rPr>
                <w:rFonts w:ascii="Arial" w:cs="Arial" w:eastAsia="Arial" w:hAnsi="Arial"/>
                <w:sz w:val="18"/>
                <w:szCs w:val="18"/>
                <w:b w:val="1"/>
                <w:bCs w:val="1"/>
                <w:color w:val="FFFFFF"/>
              </w:rPr>
              <w:t>​​</w:t>
            </w:r>
          </w:p>
        </w:tc>
        <w:tc>
          <w:tcPr>
            <w:tcW w:w="400" w:type="dxa"/>
            <w:vAlign w:val="bottom"/>
            <w:gridSpan w:val="2"/>
            <w:shd w:val="clear" w:color="auto" w:fill="0075A8"/>
          </w:tcPr>
          <w:p>
            <w:pPr>
              <w:spacing w:after="0"/>
              <w:rPr>
                <w:sz w:val="20"/>
                <w:szCs w:val="20"/>
                <w:color w:val="auto"/>
              </w:rPr>
            </w:pPr>
            <w:r>
              <w:rPr>
                <w:rFonts w:ascii="Arial" w:cs="Arial" w:eastAsia="Arial" w:hAnsi="Arial"/>
                <w:sz w:val="18"/>
                <w:szCs w:val="18"/>
                <w:b w:val="1"/>
                <w:bCs w:val="1"/>
                <w:color w:val="FFFFFF"/>
              </w:rPr>
              <w:t>​ ​</w:t>
            </w:r>
          </w:p>
        </w:tc>
        <w:tc>
          <w:tcPr>
            <w:tcW w:w="200" w:type="dxa"/>
            <w:vAlign w:val="bottom"/>
            <w:shd w:val="clear" w:color="auto" w:fill="0075A8"/>
          </w:tcPr>
          <w:p>
            <w:pPr>
              <w:spacing w:after="0"/>
              <w:rPr>
                <w:sz w:val="24"/>
                <w:szCs w:val="24"/>
                <w:color w:val="auto"/>
              </w:rPr>
            </w:pPr>
          </w:p>
        </w:tc>
        <w:tc>
          <w:tcPr>
            <w:tcW w:w="180" w:type="dxa"/>
            <w:vAlign w:val="bottom"/>
            <w:shd w:val="clear" w:color="auto" w:fill="0075A8"/>
          </w:tcPr>
          <w:p>
            <w:pPr>
              <w:spacing w:after="0"/>
              <w:rPr>
                <w:sz w:val="24"/>
                <w:szCs w:val="24"/>
                <w:color w:val="auto"/>
              </w:rPr>
            </w:pPr>
          </w:p>
        </w:tc>
        <w:tc>
          <w:tcPr>
            <w:tcW w:w="2340" w:type="dxa"/>
            <w:vAlign w:val="bottom"/>
            <w:gridSpan w:val="6"/>
            <w:shd w:val="clear" w:color="auto" w:fill="0075A8"/>
          </w:tcPr>
          <w:p>
            <w:pPr>
              <w:jc w:val="right"/>
              <w:ind w:right="39"/>
              <w:spacing w:after="0"/>
              <w:rPr>
                <w:sz w:val="20"/>
                <w:szCs w:val="20"/>
                <w:color w:val="auto"/>
              </w:rPr>
            </w:pPr>
            <w:r>
              <w:rPr>
                <w:rFonts w:ascii="Arial" w:cs="Arial" w:eastAsia="Arial" w:hAnsi="Arial"/>
                <w:sz w:val="18"/>
                <w:szCs w:val="18"/>
                <w:b w:val="1"/>
                <w:bCs w:val="1"/>
                <w:color w:val="FFFFFF"/>
              </w:rPr>
              <w:t>Twelve Months Ended</w:t>
            </w:r>
          </w:p>
        </w:tc>
        <w:tc>
          <w:tcPr>
            <w:tcW w:w="180" w:type="dxa"/>
            <w:vAlign w:val="bottom"/>
            <w:shd w:val="clear" w:color="auto" w:fill="0075A8"/>
          </w:tcPr>
          <w:p>
            <w:pPr>
              <w:spacing w:after="0"/>
              <w:rPr>
                <w:sz w:val="24"/>
                <w:szCs w:val="24"/>
                <w:color w:val="auto"/>
              </w:rPr>
            </w:pPr>
          </w:p>
        </w:tc>
        <w:tc>
          <w:tcPr>
            <w:tcW w:w="120" w:type="dxa"/>
            <w:vAlign w:val="bottom"/>
            <w:shd w:val="clear" w:color="auto" w:fill="0075A8"/>
          </w:tcPr>
          <w:p>
            <w:pPr>
              <w:spacing w:after="0"/>
              <w:rPr>
                <w:sz w:val="24"/>
                <w:szCs w:val="24"/>
                <w:color w:val="auto"/>
              </w:rPr>
            </w:pPr>
          </w:p>
        </w:tc>
        <w:tc>
          <w:tcPr>
            <w:tcW w:w="460" w:type="dxa"/>
            <w:vAlign w:val="bottom"/>
            <w:shd w:val="clear" w:color="auto" w:fill="0075A8"/>
          </w:tcPr>
          <w:p>
            <w:pPr>
              <w:spacing w:after="0"/>
              <w:rPr>
                <w:sz w:val="24"/>
                <w:szCs w:val="24"/>
                <w:color w:val="auto"/>
              </w:rPr>
            </w:pPr>
          </w:p>
        </w:tc>
        <w:tc>
          <w:tcPr>
            <w:tcW w:w="120" w:type="dxa"/>
            <w:vAlign w:val="bottom"/>
            <w:shd w:val="clear" w:color="auto" w:fill="0075A8"/>
          </w:tcPr>
          <w:p>
            <w:pPr>
              <w:ind w:left="6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b w:val="1"/>
                <w:bCs w:val="1"/>
                <w:color w:val="FFFFFF"/>
              </w:rPr>
              <w:t>​(in millions)</w:t>
            </w:r>
          </w:p>
        </w:tc>
        <w:tc>
          <w:tcPr>
            <w:tcW w:w="4040" w:type="dxa"/>
            <w:vAlign w:val="bottom"/>
            <w:gridSpan w:val="15"/>
          </w:tcPr>
          <w:p>
            <w:pPr>
              <w:jc w:val="right"/>
              <w:ind w:right="20"/>
              <w:spacing w:after="0"/>
              <w:rPr>
                <w:sz w:val="20"/>
                <w:szCs w:val="20"/>
                <w:color w:val="auto"/>
              </w:rPr>
            </w:pPr>
            <w:r>
              <w:rPr>
                <w:rFonts w:ascii="Arial" w:cs="Arial" w:eastAsia="Arial" w:hAnsi="Arial"/>
                <w:sz w:val="18"/>
                <w:szCs w:val="18"/>
                <w:b w:val="1"/>
                <w:bCs w:val="1"/>
                <w:color w:val="FFFFFF"/>
              </w:rPr>
              <w:t>​ ​Sep. 27, 2024 ​ ​Sep. 27, 2019 ​ ​ Oct. 3, 2014 ​</w:t>
            </w:r>
          </w:p>
        </w:tc>
        <w:tc>
          <w:tcPr>
            <w:tcW w:w="0" w:type="dxa"/>
            <w:vAlign w:val="bottom"/>
          </w:tcPr>
          <w:p>
            <w:pPr>
              <w:spacing w:after="0"/>
              <w:rPr>
                <w:sz w:val="1"/>
                <w:szCs w:val="1"/>
                <w:color w:val="auto"/>
              </w:rPr>
            </w:pPr>
          </w:p>
        </w:tc>
      </w:tr>
      <w:tr>
        <w:trPr>
          <w:trHeight w:val="203"/>
        </w:trPr>
        <w:tc>
          <w:tcPr>
            <w:tcW w:w="5400" w:type="dxa"/>
            <w:vAlign w:val="bottom"/>
          </w:tcPr>
          <w:p>
            <w:pPr>
              <w:ind w:left="40"/>
              <w:spacing w:after="0"/>
              <w:rPr>
                <w:sz w:val="20"/>
                <w:szCs w:val="20"/>
                <w:color w:val="auto"/>
              </w:rPr>
            </w:pPr>
            <w:r>
              <w:rPr>
                <w:rFonts w:ascii="Arial" w:cs="Arial" w:eastAsia="Arial" w:hAnsi="Arial"/>
                <w:sz w:val="16"/>
                <w:szCs w:val="16"/>
                <w:color w:val="auto"/>
              </w:rPr>
              <w:t>GAAP net cash provided by operating activities</w:t>
            </w:r>
          </w:p>
        </w:tc>
        <w:tc>
          <w:tcPr>
            <w:tcW w:w="12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 ​</w:t>
            </w:r>
          </w:p>
        </w:tc>
        <w:tc>
          <w:tcPr>
            <w:tcW w:w="880" w:type="dxa"/>
            <w:vAlign w:val="bottom"/>
            <w:gridSpan w:val="3"/>
          </w:tcPr>
          <w:p>
            <w:pPr>
              <w:ind w:left="140"/>
              <w:spacing w:after="0"/>
              <w:rPr>
                <w:sz w:val="20"/>
                <w:szCs w:val="20"/>
                <w:color w:val="auto"/>
              </w:rPr>
            </w:pPr>
            <w:r>
              <w:rPr>
                <w:rFonts w:ascii="Arial" w:cs="Arial" w:eastAsia="Arial" w:hAnsi="Arial"/>
                <w:sz w:val="16"/>
                <w:szCs w:val="16"/>
                <w:color w:val="auto"/>
              </w:rPr>
              <w:t>$1,825​</w:t>
            </w:r>
          </w:p>
        </w:tc>
        <w:tc>
          <w:tcPr>
            <w:tcW w:w="480" w:type="dxa"/>
            <w:vAlign w:val="bottom"/>
            <w:vMerge w:val="restart"/>
          </w:tcPr>
          <w:p>
            <w:pPr>
              <w:ind w:left="80"/>
              <w:spacing w:after="0"/>
              <w:rPr>
                <w:sz w:val="20"/>
                <w:szCs w:val="20"/>
                <w:color w:val="auto"/>
              </w:rPr>
            </w:pPr>
            <w:r>
              <w:rPr>
                <w:rFonts w:ascii="Arial" w:cs="Arial" w:eastAsia="Arial" w:hAnsi="Arial"/>
                <w:sz w:val="16"/>
                <w:szCs w:val="16"/>
                <w:color w:val="auto"/>
              </w:rPr>
              <w:t>​ ​ ​</w:t>
            </w:r>
          </w:p>
        </w:tc>
        <w:tc>
          <w:tcPr>
            <w:tcW w:w="860" w:type="dxa"/>
            <w:vAlign w:val="bottom"/>
            <w:gridSpan w:val="3"/>
          </w:tcPr>
          <w:p>
            <w:pPr>
              <w:ind w:left="120"/>
              <w:spacing w:after="0"/>
              <w:rPr>
                <w:sz w:val="20"/>
                <w:szCs w:val="20"/>
                <w:color w:val="auto"/>
              </w:rPr>
            </w:pPr>
            <w:r>
              <w:rPr>
                <w:rFonts w:ascii="Arial" w:cs="Arial" w:eastAsia="Arial" w:hAnsi="Arial"/>
                <w:sz w:val="16"/>
                <w:szCs w:val="16"/>
                <w:color w:val="auto"/>
              </w:rPr>
              <w:t>$1,367​</w:t>
            </w:r>
          </w:p>
        </w:tc>
        <w:tc>
          <w:tcPr>
            <w:tcW w:w="500" w:type="dxa"/>
            <w:vAlign w:val="bottom"/>
            <w:vMerge w:val="restart"/>
          </w:tcPr>
          <w:p>
            <w:pPr>
              <w:jc w:val="right"/>
              <w:ind w:right="79"/>
              <w:spacing w:after="0"/>
              <w:rPr>
                <w:sz w:val="20"/>
                <w:szCs w:val="20"/>
                <w:color w:val="auto"/>
              </w:rPr>
            </w:pPr>
            <w:r>
              <w:rPr>
                <w:rFonts w:ascii="Arial" w:cs="Arial" w:eastAsia="Arial" w:hAnsi="Arial"/>
                <w:sz w:val="16"/>
                <w:szCs w:val="16"/>
                <w:color w:val="auto"/>
              </w:rPr>
              <w:t>​ ​ ​</w:t>
            </w:r>
          </w:p>
        </w:tc>
        <w:tc>
          <w:tcPr>
            <w:tcW w:w="760" w:type="dxa"/>
            <w:vAlign w:val="bottom"/>
            <w:gridSpan w:val="3"/>
          </w:tcPr>
          <w:p>
            <w:pPr>
              <w:ind w:left="100"/>
              <w:spacing w:after="0"/>
              <w:rPr>
                <w:sz w:val="20"/>
                <w:szCs w:val="20"/>
                <w:color w:val="auto"/>
              </w:rPr>
            </w:pPr>
            <w:r>
              <w:rPr>
                <w:rFonts w:ascii="Arial" w:cs="Arial" w:eastAsia="Arial" w:hAnsi="Arial"/>
                <w:sz w:val="16"/>
                <w:szCs w:val="16"/>
                <w:color w:val="auto"/>
              </w:rPr>
              <w:t>$ 772​</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400" w:type="dxa"/>
            <w:vAlign w:val="bottom"/>
          </w:tcPr>
          <w:p>
            <w:pPr>
              <w:jc w:val="right"/>
              <w:ind w:right="5236"/>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tcPr>
          <w:p>
            <w:pPr>
              <w:ind w:left="140"/>
              <w:spacing w:after="0" w:line="54" w:lineRule="exact"/>
              <w:rPr>
                <w:sz w:val="20"/>
                <w:szCs w:val="20"/>
                <w:color w:val="auto"/>
              </w:rPr>
            </w:pPr>
            <w:r>
              <w:rPr>
                <w:rFonts w:ascii="Arial" w:cs="Arial" w:eastAsia="Arial" w:hAnsi="Arial"/>
                <w:sz w:val="6"/>
                <w:szCs w:val="6"/>
                <w:color w:val="auto"/>
              </w:rPr>
              <w:t>​</w:t>
            </w: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8"/>
                <w:szCs w:val="18"/>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96"/>
              <w:spacing w:after="0"/>
              <w:rPr>
                <w:sz w:val="20"/>
                <w:szCs w:val="20"/>
                <w:color w:val="auto"/>
              </w:rPr>
            </w:pPr>
            <w:r>
              <w:rPr>
                <w:rFonts w:ascii="Arial" w:cs="Arial" w:eastAsia="Arial" w:hAnsi="Arial"/>
                <w:sz w:val="16"/>
                <w:szCs w:val="16"/>
                <w:color w:val="auto"/>
              </w:rPr>
              <w:t>​ (157​)</w:t>
            </w:r>
          </w:p>
        </w:tc>
        <w:tc>
          <w:tcPr>
            <w:tcW w:w="480" w:type="dxa"/>
            <w:vAlign w:val="bottom"/>
            <w:vMerge w:val="restart"/>
          </w:tcPr>
          <w:p>
            <w:pPr>
              <w:ind w:left="80"/>
              <w:spacing w:after="0"/>
              <w:rPr>
                <w:sz w:val="20"/>
                <w:szCs w:val="20"/>
                <w:color w:val="auto"/>
              </w:rPr>
            </w:pPr>
            <w:r>
              <w:rPr>
                <w:rFonts w:ascii="Arial" w:cs="Arial" w:eastAsia="Arial" w:hAnsi="Arial"/>
                <w:sz w:val="16"/>
                <w:szCs w:val="16"/>
                <w:color w:val="auto"/>
              </w:rPr>
              <w:t>​ ​ ​</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79"/>
              <w:spacing w:after="0"/>
              <w:rPr>
                <w:sz w:val="20"/>
                <w:szCs w:val="20"/>
                <w:color w:val="auto"/>
              </w:rPr>
            </w:pPr>
            <w:r>
              <w:rPr>
                <w:rFonts w:ascii="Arial" w:cs="Arial" w:eastAsia="Arial" w:hAnsi="Arial"/>
                <w:sz w:val="16"/>
                <w:szCs w:val="16"/>
                <w:color w:val="auto"/>
              </w:rPr>
              <w:t>​ (398​)</w:t>
            </w:r>
          </w:p>
        </w:tc>
        <w:tc>
          <w:tcPr>
            <w:tcW w:w="500" w:type="dxa"/>
            <w:vAlign w:val="bottom"/>
            <w:vMerge w:val="restart"/>
          </w:tcPr>
          <w:p>
            <w:pPr>
              <w:jc w:val="right"/>
              <w:ind w:right="79"/>
              <w:spacing w:after="0"/>
              <w:rPr>
                <w:sz w:val="20"/>
                <w:szCs w:val="20"/>
                <w:color w:val="auto"/>
              </w:rPr>
            </w:pPr>
            <w:r>
              <w:rPr>
                <w:rFonts w:ascii="Arial" w:cs="Arial" w:eastAsia="Arial" w:hAnsi="Arial"/>
                <w:sz w:val="16"/>
                <w:szCs w:val="16"/>
                <w:color w:val="auto"/>
              </w:rPr>
              <w:t>​ ​ ​</w:t>
            </w:r>
          </w:p>
        </w:tc>
        <w:tc>
          <w:tcPr>
            <w:tcW w:w="1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99"/>
              <w:spacing w:after="0"/>
              <w:rPr>
                <w:sz w:val="20"/>
                <w:szCs w:val="20"/>
                <w:color w:val="auto"/>
              </w:rPr>
            </w:pPr>
            <w:r>
              <w:rPr>
                <w:rFonts w:ascii="Arial" w:cs="Arial" w:eastAsia="Arial" w:hAnsi="Arial"/>
                <w:sz w:val="16"/>
                <w:szCs w:val="16"/>
                <w:color w:val="auto"/>
              </w:rPr>
              <w:t>​(209​)</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400" w:type="dxa"/>
            <w:vAlign w:val="bottom"/>
          </w:tcPr>
          <w:p>
            <w:pPr>
              <w:jc w:val="right"/>
              <w:ind w:right="5236"/>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0"/>
              <w:spacing w:after="0"/>
              <w:rPr>
                <w:sz w:val="20"/>
                <w:szCs w:val="20"/>
                <w:color w:val="auto"/>
              </w:rPr>
            </w:pPr>
            <w:r>
              <w:rPr>
                <w:rFonts w:ascii="Arial" w:cs="Arial" w:eastAsia="Arial" w:hAnsi="Arial"/>
                <w:sz w:val="16"/>
                <w:szCs w:val="16"/>
                <w:color w:val="auto"/>
              </w:rPr>
              <w:t>Non-GAAP free cash flow</w:t>
            </w:r>
          </w:p>
        </w:tc>
        <w:tc>
          <w:tcPr>
            <w:tcW w:w="120" w:type="dxa"/>
            <w:vAlign w:val="bottom"/>
          </w:tcPr>
          <w:p>
            <w:pPr>
              <w:spacing w:after="0"/>
              <w:rPr>
                <w:sz w:val="18"/>
                <w:szCs w:val="18"/>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 ​</w:t>
            </w:r>
          </w:p>
        </w:tc>
        <w:tc>
          <w:tcPr>
            <w:tcW w:w="880" w:type="dxa"/>
            <w:vAlign w:val="bottom"/>
            <w:gridSpan w:val="3"/>
          </w:tcPr>
          <w:p>
            <w:pPr>
              <w:ind w:left="140"/>
              <w:spacing w:after="0"/>
              <w:rPr>
                <w:sz w:val="20"/>
                <w:szCs w:val="20"/>
                <w:color w:val="auto"/>
              </w:rPr>
            </w:pPr>
            <w:r>
              <w:rPr>
                <w:rFonts w:ascii="Arial" w:cs="Arial" w:eastAsia="Arial" w:hAnsi="Arial"/>
                <w:sz w:val="16"/>
                <w:szCs w:val="16"/>
                <w:color w:val="auto"/>
              </w:rPr>
              <w:t>$1,668​</w:t>
            </w:r>
          </w:p>
        </w:tc>
        <w:tc>
          <w:tcPr>
            <w:tcW w:w="480" w:type="dxa"/>
            <w:vAlign w:val="bottom"/>
            <w:vMerge w:val="restart"/>
          </w:tcPr>
          <w:p>
            <w:pPr>
              <w:ind w:left="80"/>
              <w:spacing w:after="0"/>
              <w:rPr>
                <w:sz w:val="20"/>
                <w:szCs w:val="20"/>
                <w:color w:val="auto"/>
              </w:rPr>
            </w:pPr>
            <w:r>
              <w:rPr>
                <w:rFonts w:ascii="Arial" w:cs="Arial" w:eastAsia="Arial" w:hAnsi="Arial"/>
                <w:sz w:val="16"/>
                <w:szCs w:val="16"/>
                <w:color w:val="auto"/>
              </w:rPr>
              <w:t>​ ​ ​</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969​</w:t>
            </w:r>
          </w:p>
        </w:tc>
        <w:tc>
          <w:tcPr>
            <w:tcW w:w="500" w:type="dxa"/>
            <w:vAlign w:val="bottom"/>
            <w:vMerge w:val="restart"/>
          </w:tcPr>
          <w:p>
            <w:pPr>
              <w:jc w:val="right"/>
              <w:ind w:right="79"/>
              <w:spacing w:after="0"/>
              <w:rPr>
                <w:sz w:val="20"/>
                <w:szCs w:val="20"/>
                <w:color w:val="auto"/>
              </w:rPr>
            </w:pPr>
            <w:r>
              <w:rPr>
                <w:rFonts w:ascii="Arial" w:cs="Arial" w:eastAsia="Arial" w:hAnsi="Arial"/>
                <w:sz w:val="16"/>
                <w:szCs w:val="16"/>
                <w:color w:val="auto"/>
              </w:rPr>
              <w:t>​ ​ ​</w:t>
            </w:r>
          </w:p>
        </w:tc>
        <w:tc>
          <w:tcPr>
            <w:tcW w:w="760" w:type="dxa"/>
            <w:vAlign w:val="bottom"/>
            <w:gridSpan w:val="3"/>
          </w:tcPr>
          <w:p>
            <w:pPr>
              <w:ind w:left="100"/>
              <w:spacing w:after="0"/>
              <w:rPr>
                <w:sz w:val="20"/>
                <w:szCs w:val="20"/>
                <w:color w:val="auto"/>
              </w:rPr>
            </w:pPr>
            <w:r>
              <w:rPr>
                <w:rFonts w:ascii="Arial" w:cs="Arial" w:eastAsia="Arial" w:hAnsi="Arial"/>
                <w:sz w:val="16"/>
                <w:szCs w:val="16"/>
                <w:color w:val="auto"/>
              </w:rPr>
              <w:t>$ 564​</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400" w:type="dxa"/>
            <w:vAlign w:val="bottom"/>
          </w:tcPr>
          <w:p>
            <w:pPr>
              <w:jc w:val="right"/>
              <w:ind w:right="5236"/>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tcPr>
          <w:p>
            <w:pPr>
              <w:ind w:left="140"/>
              <w:spacing w:after="0" w:line="54" w:lineRule="exact"/>
              <w:rPr>
                <w:sz w:val="20"/>
                <w:szCs w:val="20"/>
                <w:color w:val="auto"/>
              </w:rPr>
            </w:pPr>
            <w:r>
              <w:rPr>
                <w:rFonts w:ascii="Arial" w:cs="Arial" w:eastAsia="Arial" w:hAnsi="Arial"/>
                <w:sz w:val="6"/>
                <w:szCs w:val="6"/>
                <w:color w:val="auto"/>
              </w:rPr>
              <w:t>​</w:t>
            </w: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0"/>
              <w:spacing w:after="0"/>
              <w:rPr>
                <w:sz w:val="20"/>
                <w:szCs w:val="20"/>
                <w:color w:val="auto"/>
              </w:rPr>
            </w:pPr>
            <w:r>
              <w:rPr>
                <w:rFonts w:ascii="Arial" w:cs="Arial" w:eastAsia="Arial" w:hAnsi="Arial"/>
                <w:sz w:val="16"/>
                <w:szCs w:val="16"/>
                <w:color w:val="auto"/>
              </w:rPr>
              <w:t>GAAP net cash provided by operating activities margin %</w:t>
            </w:r>
          </w:p>
        </w:tc>
        <w:tc>
          <w:tcPr>
            <w:tcW w:w="120" w:type="dxa"/>
            <w:vAlign w:val="bottom"/>
          </w:tcPr>
          <w:p>
            <w:pPr>
              <w:spacing w:after="0"/>
              <w:rPr>
                <w:sz w:val="18"/>
                <w:szCs w:val="18"/>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480" w:type="dxa"/>
            <w:vAlign w:val="bottom"/>
            <w:vMerge w:val="restart"/>
          </w:tcPr>
          <w:p>
            <w:pPr>
              <w:ind w:left="80"/>
              <w:spacing w:after="0"/>
              <w:rPr>
                <w:sz w:val="20"/>
                <w:szCs w:val="20"/>
                <w:color w:val="auto"/>
              </w:rPr>
            </w:pPr>
            <w:r>
              <w:rPr>
                <w:rFonts w:ascii="Arial" w:cs="Arial" w:eastAsia="Arial" w:hAnsi="Arial"/>
                <w:sz w:val="16"/>
                <w:szCs w:val="16"/>
                <w:color w:val="auto"/>
              </w:rPr>
              <w:t>​ ​ ​</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c>
          <w:tcPr>
            <w:tcW w:w="500" w:type="dxa"/>
            <w:vAlign w:val="bottom"/>
            <w:vMerge w:val="restart"/>
          </w:tcPr>
          <w:p>
            <w:pPr>
              <w:jc w:val="right"/>
              <w:ind w:right="79"/>
              <w:spacing w:after="0"/>
              <w:rPr>
                <w:sz w:val="20"/>
                <w:szCs w:val="20"/>
                <w:color w:val="auto"/>
              </w:rPr>
            </w:pPr>
            <w:r>
              <w:rPr>
                <w:rFonts w:ascii="Arial" w:cs="Arial" w:eastAsia="Arial" w:hAnsi="Arial"/>
                <w:sz w:val="16"/>
                <w:szCs w:val="16"/>
                <w:color w:val="auto"/>
              </w:rPr>
              <w:t>​ ​ ​</w:t>
            </w:r>
          </w:p>
        </w:tc>
        <w:tc>
          <w:tcPr>
            <w:tcW w:w="1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400" w:type="dxa"/>
            <w:vAlign w:val="bottom"/>
          </w:tcPr>
          <w:p>
            <w:pPr>
              <w:jc w:val="right"/>
              <w:ind w:right="5236"/>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6"/>
                <w:szCs w:val="16"/>
                <w:color w:val="auto"/>
              </w:rPr>
              <w:t>​Non-GAAP free cash flow margin %</w:t>
            </w:r>
          </w:p>
        </w:tc>
        <w:tc>
          <w:tcPr>
            <w:tcW w:w="1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 ​</w:t>
            </w: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480" w:type="dxa"/>
            <w:vAlign w:val="bottom"/>
          </w:tcPr>
          <w:p>
            <w:pPr>
              <w:ind w:left="80"/>
              <w:spacing w:after="0"/>
              <w:rPr>
                <w:sz w:val="20"/>
                <w:szCs w:val="20"/>
                <w:color w:val="auto"/>
              </w:rPr>
            </w:pPr>
            <w:r>
              <w:rPr>
                <w:rFonts w:ascii="Arial" w:cs="Arial" w:eastAsia="Arial" w:hAnsi="Arial"/>
                <w:sz w:val="16"/>
                <w:szCs w:val="16"/>
                <w:color w:val="auto"/>
              </w:rPr>
              <w:t>​ ​ ​</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29​%  ​ ​ ​</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-1019175</wp:posOffset>
            </wp:positionV>
            <wp:extent cx="5974715" cy="3429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74715" cy="34290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-504825</wp:posOffset>
            </wp:positionV>
            <wp:extent cx="5974715" cy="1714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-162560</wp:posOffset>
            </wp:positionV>
            <wp:extent cx="5974715" cy="163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spacing w:after="0"/>
        <w:tabs>
          <w:tab w:leader="none" w:pos="2040" w:val="left"/>
          <w:tab w:leader="none" w:pos="2340" w:val="left"/>
          <w:tab w:leader="none" w:pos="8520" w:val="left"/>
          <w:tab w:leader="none" w:pos="9960" w:val="left"/>
        </w:tabs>
        <w:rPr>
          <w:sz w:val="20"/>
          <w:szCs w:val="20"/>
          <w:color w:val="auto"/>
        </w:rPr>
      </w:pPr>
      <w:r>
        <w:rPr>
          <w:rFonts w:ascii="Arial" w:cs="Arial" w:eastAsia="Arial" w:hAnsi="Arial"/>
          <w:sz w:val="16"/>
          <w:szCs w:val="16"/>
          <w:color w:val="auto"/>
        </w:rPr>
        <w:t>​Appendix 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Discussion Regarding the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393"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Our annual report and this proxy statement contains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tables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188"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We provide investors with non-GAAP operating income and operating margin, non-GAAP diluted earnings per share, and non-GAAP free cash flow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We believe that providing non-GAAP operating income and operating margin allows investors to assess the extent to which our ongoing operations impact our overall financial performance. We also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further believe that providing non-GAAP free cash flow provides insight into our liquidity, our cash-generating capability, and the amount of cash potentially available to return to stockholders. We believe that disclosing these non-GAAP financial measures contributes to enhanced financial reporting transparency and provides investors with added clarity about complex financial performance measures.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(benefit), amortization of acquisition-related intangibles, settlements, gains, losses, and impairments, restructuring and other charges, and certain tax items. We calculate non-GAAP free cash flow by deducting capital expenditures from GAAP net cash provided by operating activities.</w:t>
      </w:r>
    </w:p>
    <w:p>
      <w:pPr>
        <w:spacing w:after="0" w:line="194" w:lineRule="exact"/>
        <w:rPr>
          <w:sz w:val="20"/>
          <w:szCs w:val="20"/>
          <w:color w:val="auto"/>
        </w:rPr>
      </w:pPr>
    </w:p>
    <w:p>
      <w:pPr>
        <w:jc w:val="both"/>
        <w:ind w:right="100"/>
        <w:spacing w:after="0" w:line="264" w:lineRule="auto"/>
        <w:rPr>
          <w:sz w:val="20"/>
          <w:szCs w:val="20"/>
          <w:color w:val="auto"/>
        </w:rPr>
      </w:pPr>
      <w:r>
        <w:rPr>
          <w:rFonts w:ascii="Arial" w:cs="Arial" w:eastAsia="Arial" w:hAnsi="Arial"/>
          <w:sz w:val="20"/>
          <w:szCs w:val="20"/>
          <w:color w:val="auto"/>
        </w:rPr>
        <w:t>We exclude certain items identified above from the respective non-GAAP financial measure referenced above for the reasons set forth with respect to each such excluded item below:</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66" w:lineRule="exact"/>
        <w:rPr>
          <w:sz w:val="20"/>
          <w:szCs w:val="20"/>
          <w:color w:val="auto"/>
        </w:rPr>
      </w:pPr>
    </w:p>
    <w:p>
      <w:pPr>
        <w:ind w:left="660"/>
        <w:spacing w:after="0"/>
        <w:tabs>
          <w:tab w:leader="none" w:pos="1940" w:val="left"/>
          <w:tab w:leader="none" w:pos="2220" w:val="left"/>
          <w:tab w:leader="none" w:pos="8420" w:val="left"/>
          <w:tab w:leader="none" w:pos="922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20"/>
          <w:szCs w:val="20"/>
          <w:i w:val="1"/>
          <w:iCs w:val="1"/>
          <w:color w:val="auto"/>
        </w:rPr>
        <w:t>Share-Based Compensation Expense</w:t>
      </w:r>
      <w:r>
        <w:rPr>
          <w:rFonts w:ascii="Arial" w:cs="Arial" w:eastAsia="Arial" w:hAnsi="Arial"/>
          <w:sz w:val="20"/>
          <w:szCs w:val="20"/>
          <w:color w:val="auto"/>
        </w:rPr>
        <w:t> — because</w:t>
      </w:r>
    </w:p>
    <w:p>
      <w:pPr>
        <w:spacing w:after="0" w:line="31" w:lineRule="exact"/>
        <w:rPr>
          <w:sz w:val="20"/>
          <w:szCs w:val="20"/>
          <w:color w:val="auto"/>
        </w:rPr>
      </w:pPr>
    </w:p>
    <w:p>
      <w:pPr>
        <w:ind w:left="660" w:hanging="6"/>
        <w:spacing w:after="0" w:line="269" w:lineRule="auto"/>
        <w:tabs>
          <w:tab w:leader="none" w:pos="94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spacing w:after="0" w:line="179" w:lineRule="exact"/>
        <w:rPr>
          <w:sz w:val="20"/>
          <w:szCs w:val="20"/>
          <w:color w:val="auto"/>
        </w:rPr>
      </w:pPr>
    </w:p>
    <w:p>
      <w:pPr>
        <w:ind w:left="660" w:right="100"/>
        <w:spacing w:after="0" w:line="255" w:lineRule="auto"/>
        <w:rPr>
          <w:sz w:val="20"/>
          <w:szCs w:val="20"/>
          <w:color w:val="auto"/>
        </w:rPr>
      </w:pPr>
      <w:r>
        <w:rPr>
          <w:rFonts w:ascii="Arial" w:cs="Arial" w:eastAsia="Arial" w:hAnsi="Arial"/>
          <w:sz w:val="20"/>
          <w:szCs w:val="20"/>
          <w:i w:val="1"/>
          <w:iCs w:val="1"/>
          <w:color w:val="auto"/>
        </w:rPr>
        <w:t xml:space="preserve">Acquisition-Related Expenses (Benefit) and Amortization of Acquisition-Related Intangibles —  </w:t>
      </w:r>
      <w:r>
        <w:rPr>
          <w:rFonts w:ascii="Arial" w:cs="Arial" w:eastAsia="Arial" w:hAnsi="Arial"/>
          <w:sz w:val="20"/>
          <w:szCs w:val="20"/>
          <w:color w:val="auto"/>
        </w:rPr>
        <w:t>including such items as, when applicable, fair value adjustments to 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spacing w:after="0" w:line="196"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i w:val="1"/>
          <w:iCs w:val="1"/>
          <w:color w:val="auto"/>
        </w:rPr>
        <w:t xml:space="preserve">Settlements, Gains, Losses, and Impairments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because such settlements, gains, losses, and impairments (1) are not considered by management in making operating decisions, (2) are infrequent in nature, (3) are generally not directly controlled by management, (4) do not necessarily reflect the performance of our ongoing operations for the period in which such charges are recognized, and/or</w:t>
      </w:r>
    </w:p>
    <w:p>
      <w:pPr>
        <w:spacing w:after="0" w:line="3" w:lineRule="exact"/>
        <w:rPr>
          <w:sz w:val="20"/>
          <w:szCs w:val="20"/>
          <w:color w:val="auto"/>
        </w:rPr>
      </w:pPr>
    </w:p>
    <w:p>
      <w:pPr>
        <w:ind w:left="660" w:right="360" w:hanging="6"/>
        <w:spacing w:after="0" w:line="293" w:lineRule="auto"/>
        <w:tabs>
          <w:tab w:leader="none" w:pos="94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can vary significantly in amount between companies and make comparisons less reliable.</w:t>
      </w:r>
    </w:p>
    <w:p>
      <w:pPr>
        <w:spacing w:after="0" w:line="151" w:lineRule="exact"/>
        <w:rPr>
          <w:sz w:val="20"/>
          <w:szCs w:val="20"/>
          <w:color w:val="auto"/>
        </w:rPr>
      </w:pPr>
    </w:p>
    <w:p>
      <w:pPr>
        <w:ind w:left="660" w:right="40"/>
        <w:spacing w:after="0" w:line="313" w:lineRule="auto"/>
        <w:rPr>
          <w:sz w:val="20"/>
          <w:szCs w:val="20"/>
          <w:color w:val="auto"/>
        </w:rPr>
      </w:pPr>
      <w:r>
        <w:rPr>
          <w:rFonts w:ascii="Arial" w:cs="Arial" w:eastAsia="Arial" w:hAnsi="Arial"/>
          <w:sz w:val="19"/>
          <w:szCs w:val="19"/>
          <w:i w:val="1"/>
          <w:iCs w:val="1"/>
          <w:color w:val="auto"/>
        </w:rPr>
        <w:t>Restructuring and Other Charges</w:t>
      </w:r>
      <w:r>
        <w:rPr>
          <w:rFonts w:ascii="Arial" w:cs="Arial" w:eastAsia="Arial" w:hAnsi="Arial"/>
          <w:sz w:val="19"/>
          <w:szCs w:val="19"/>
          <w:color w:val="auto"/>
        </w:rPr>
        <w:t> — because these</w:t>
      </w:r>
      <w:r>
        <w:rPr>
          <w:rFonts w:ascii="Arial" w:cs="Arial" w:eastAsia="Arial" w:hAnsi="Arial"/>
          <w:sz w:val="19"/>
          <w:szCs w:val="19"/>
          <w:i w:val="1"/>
          <w:iCs w:val="1"/>
          <w:color w:val="auto"/>
        </w:rPr>
        <w:t xml:space="preserve"> </w:t>
      </w:r>
      <w:r>
        <w:rPr>
          <w:rFonts w:ascii="Arial" w:cs="Arial" w:eastAsia="Arial" w:hAnsi="Arial"/>
          <w:sz w:val="19"/>
          <w:szCs w:val="19"/>
          <w:color w:val="auto"/>
        </w:rPr>
        <w:t>charges have no direct correlation to our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business operations and including such charges or reversals does not necessarily reflect the performance of our ongoing operations for the period in which such charges or reversals are incurred.</w:t>
      </w:r>
    </w:p>
    <w:p>
      <w:pPr>
        <w:spacing w:after="0" w:line="180"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i w:val="1"/>
          <w:iCs w:val="1"/>
          <w:color w:val="auto"/>
        </w:rPr>
        <w:t>Certain Income Tax Items</w:t>
      </w:r>
      <w:r>
        <w:rPr>
          <w:rFonts w:ascii="Arial" w:cs="Arial" w:eastAsia="Arial" w:hAnsi="Arial"/>
          <w:sz w:val="19"/>
          <w:szCs w:val="19"/>
          <w:color w:val="auto"/>
        </w:rPr>
        <w:t> — including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deferred tax charges and benefits that do not result in a current tax payment or tax refund and other adjustments, including but not limited to, items unrelated to the current fiscal year or that are not indicative of our ongoing business operations.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spacing w:after="0" w:line="1428"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tabs>
          <w:tab w:leader="none" w:pos="1940" w:val="left"/>
          <w:tab w:leader="none" w:pos="2240" w:val="left"/>
          <w:tab w:leader="none" w:pos="8420" w:val="left"/>
          <w:tab w:leader="none" w:pos="9860" w:val="left"/>
        </w:tabs>
        <w:rPr>
          <w:sz w:val="20"/>
          <w:szCs w:val="20"/>
          <w:color w:val="auto"/>
        </w:rPr>
      </w:pPr>
      <w:r>
        <w:rPr>
          <w:rFonts w:ascii="Arial" w:cs="Arial" w:eastAsia="Arial" w:hAnsi="Arial"/>
          <w:sz w:val="16"/>
          <w:szCs w:val="16"/>
          <w:color w:val="auto"/>
        </w:rPr>
        <w:t>​Appendix 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9795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897953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1)"/>
      <w:numFmt w:val="decimal"/>
      <w:start w:val="2"/>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lvl w:ilvl="1">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1)"/>
      <w:numFmt w:val="decimal"/>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lowerRoman"/>
      <w:start w:val="1"/>
    </w:lvl>
  </w:abstractNum>
  <w:abstractNum w:abstractNumId="48">
    <w:nsid w:val="885E1B"/>
    <w:multiLevelType w:val="hybridMultilevel"/>
    <w:lvl w:ilvl="0">
      <w:lvlJc w:val="left"/>
      <w:lvlText w:val="(%1)"/>
      <w:numFmt w:val="lowerRoman"/>
      <w:start w:val="4"/>
    </w:lvl>
  </w:abstractNum>
  <w:abstractNum w:abstractNumId="49">
    <w:nsid w:val="76272110"/>
    <w:multiLevelType w:val="hybridMultilevel"/>
    <w:lvl w:ilvl="0">
      <w:lvlJc w:val="left"/>
      <w:lvlText w:val="(%1)"/>
      <w:numFmt w:val="decimal"/>
      <w:start w:val="2"/>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decimal"/>
      <w:start w:val="4"/>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1)"/>
      <w:numFmt w:val="decimal"/>
      <w:start w:val="1"/>
    </w:lvl>
  </w:abstractNum>
  <w:abstractNum w:abstractNumId="56">
    <w:nsid w:val="2DF6D648"/>
    <w:multiLevelType w:val="hybridMultilevel"/>
    <w:lvl w:ilvl="0">
      <w:lvlJc w:val="left"/>
      <w:lvlText w:val="(%1)"/>
      <w:numFmt w:val="decimal"/>
      <w:start w:val="1"/>
    </w:lvl>
  </w:abstractNum>
  <w:abstractNum w:abstractNumId="57">
    <w:nsid w:val="46B7D447"/>
    <w:multiLevelType w:val="hybridMultilevel"/>
    <w:lvl w:ilvl="0">
      <w:lvlJc w:val="left"/>
      <w:lvlText w:val="(%1)"/>
      <w:numFmt w:val="decimal"/>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1)"/>
      <w:numFmt w:val="decimal"/>
      <w:start w:val="3"/>
    </w:lvl>
  </w:abstractNum>
  <w:abstractNum w:abstractNumId="63">
    <w:nsid w:val="60EF0119"/>
    <w:multiLevelType w:val="hybridMultilevel"/>
    <w:lvl w:ilvl="0">
      <w:lvlJc w:val="left"/>
      <w:lvlText w:val="(%1)"/>
      <w:numFmt w:val="decimal"/>
      <w:start w:val="1"/>
    </w:lvl>
  </w:abstractNum>
  <w:abstractNum w:abstractNumId="64">
    <w:nsid w:val="26F324BA"/>
    <w:multiLevelType w:val="hybridMultilevel"/>
    <w:lvl w:ilvl="0">
      <w:lvlJc w:val="left"/>
      <w:lvlText w:val="(%1)"/>
      <w:numFmt w:val="lowerRoman"/>
      <w:start w:val="1"/>
    </w:lvl>
  </w:abstractNum>
  <w:abstractNum w:abstractNumId="65">
    <w:nsid w:val="7F01579B"/>
    <w:multiLevelType w:val="hybridMultilevel"/>
    <w:lvl w:ilvl="0">
      <w:lvlJc w:val="left"/>
      <w:lvlText w:val="(%1)"/>
      <w:numFmt w:val="lowerRoman"/>
      <w:start w:val="1"/>
    </w:lvl>
  </w:abstractNum>
  <w:abstractNum w:abstractNumId="66">
    <w:nsid w:val="49DA307D"/>
    <w:multiLevelType w:val="hybridMultilevel"/>
    <w:lvl w:ilvl="0">
      <w:lvlJc w:val="left"/>
      <w:lvlText w:val="(%1)"/>
      <w:numFmt w:val="lowerRoman"/>
      <w:start w:val="4"/>
    </w:lvl>
  </w:abstractNum>
  <w:abstractNum w:abstractNumId="67">
    <w:nsid w:val="7055A5F5"/>
    <w:multiLevelType w:val="hybridMultilevel"/>
    <w:lvl w:ilvl="0">
      <w:lvlJc w:val="left"/>
      <w:lvlText w:val="(%1)"/>
      <w:numFmt w:val="lowerRoman"/>
      <w:start w:val="1"/>
    </w:lvl>
  </w:abstractNum>
  <w:abstractNum w:abstractNumId="68">
    <w:nsid w:val="5FB8370B"/>
    <w:multiLevelType w:val="hybridMultilevel"/>
    <w:lvl w:ilvl="0">
      <w:lvlJc w:val="left"/>
      <w:lvlText w:val="(%1)"/>
      <w:numFmt w:val="lowerRoman"/>
      <w:start w:val="1"/>
    </w:lvl>
    <w:lvl w:ilvl="1">
      <w:lvlJc w:val="left"/>
      <w:lvlText w:val="​"/>
      <w:numFmt w:val="bullet"/>
      <w:start w:val="1"/>
    </w:lvl>
  </w:abstractNum>
  <w:abstractNum w:abstractNumId="69">
    <w:nsid w:val="50801EE1"/>
    <w:multiLevelType w:val="hybridMultilevel"/>
    <w:lvl w:ilvl="0">
      <w:lvlJc w:val="left"/>
      <w:lvlText w:val="(%1)"/>
      <w:numFmt w:val="lowerRoman"/>
      <w:start w:val="3"/>
    </w:lvl>
    <w:lvl w:ilvl="1">
      <w:lvlJc w:val="left"/>
      <w:lvlText w:val="​"/>
      <w:numFmt w:val="bullet"/>
      <w:start w:val="1"/>
    </w:lvl>
  </w:abstractNum>
  <w:abstractNum w:abstractNumId="70">
    <w:nsid w:val="488AC1A"/>
    <w:multiLevelType w:val="hybridMultilevel"/>
    <w:lvl w:ilvl="0">
      <w:lvlJc w:val="left"/>
      <w:lvlText w:val="(%1)"/>
      <w:numFmt w:val="decimal"/>
      <w:start w:val="5"/>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1)"/>
      <w:numFmt w:val="decimal"/>
      <w:start w:val="4"/>
    </w:lvl>
  </w:abstractNum>
  <w:abstractNum w:abstractNumId="74">
    <w:nsid w:val="6FC75AF8"/>
    <w:multiLevelType w:val="hybridMultilevel"/>
    <w:lvl w:ilvl="0">
      <w:lvlJc w:val="left"/>
      <w:lvlText w:val="(%1)"/>
      <w:numFmt w:val="decimal"/>
      <w:start w:val="5"/>
    </w:lvl>
  </w:abstractNum>
  <w:abstractNum w:abstractNumId="75">
    <w:nsid w:val="6A5F7029"/>
    <w:multiLevelType w:val="hybridMultilevel"/>
    <w:lvl w:ilvl="0">
      <w:lvlJc w:val="left"/>
      <w:lvlText w:val="(%1)"/>
      <w:numFmt w:val="decimal"/>
      <w:start w:val="6"/>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1)"/>
      <w:numFmt w:val="lowerRoman"/>
      <w:start w:val="3"/>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1)"/>
      <w:numFmt w:val="decimal"/>
      <w:start w:val="2"/>
    </w:lvl>
    <w:lvl w:ilvl="1">
      <w:lvlJc w:val="left"/>
      <w:lvlText w:val="*"/>
      <w:numFmt w:val="bullet"/>
      <w:start w:val="1"/>
    </w:lvl>
  </w:abstractNum>
  <w:abstractNum w:abstractNumId="83">
    <w:nsid w:val="6A3DD3E8"/>
    <w:multiLevelType w:val="hybridMultilevel"/>
    <w:lvl w:ilvl="0">
      <w:lvlJc w:val="left"/>
      <w:lvlText w:val="(%1)"/>
      <w:numFmt w:val="lowerLetter"/>
      <w:start w:val="2"/>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decimal"/>
      <w:start w:val="2"/>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1)"/>
      <w:numFmt w:val="decimal"/>
      <w:start w:val="3"/>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1)"/>
      <w:numFmt w:val="decimal"/>
      <w:start w:val="7"/>
    </w:lvl>
  </w:abstractNum>
  <w:abstractNum w:abstractNumId="92">
    <w:nsid w:val="2A155DBC"/>
    <w:multiLevelType w:val="hybridMultilevel"/>
    <w:lvl w:ilvl="0">
      <w:lvlJc w:val="left"/>
      <w:lvlText w:val="(%1)"/>
      <w:numFmt w:val="decimal"/>
      <w:start w:val="60"/>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3"/>
    </w:lvl>
  </w:abstractNum>
  <w:abstractNum w:abstractNumId="96">
    <w:nsid w:val="1CA0C5FA"/>
    <w:multiLevelType w:val="hybridMultilevel"/>
    <w:lvl w:ilvl="0">
      <w:lvlJc w:val="left"/>
      <w:lvlText w:val="%1."/>
      <w:numFmt w:val="upperLetter"/>
      <w:start w:val="17"/>
    </w:lvl>
    <w:lvl w:ilvl="1">
      <w:lvlJc w:val="left"/>
      <w:lvlText w:val="•"/>
      <w:numFmt w:val="bullet"/>
      <w:start w:val="1"/>
    </w:lvl>
  </w:abstractNum>
  <w:abstractNum w:abstractNumId="97">
    <w:nsid w:val="53584BCB"/>
    <w:multiLevelType w:val="hybridMultilevel"/>
    <w:lvl w:ilvl="0">
      <w:lvlJc w:val="left"/>
      <w:lvlText w:val="%1."/>
      <w:numFmt w:val="upperLetter"/>
      <w:start w:val="17"/>
    </w:lvl>
    <w:lvl w:ilvl="1">
      <w:lvlJc w:val="left"/>
      <w:lvlText w:val="•"/>
      <w:numFmt w:val="bullet"/>
      <w:start w:val="1"/>
    </w:lvl>
  </w:abstractNum>
  <w:abstractNum w:abstractNumId="98">
    <w:nsid w:val="415E286C"/>
    <w:multiLevelType w:val="hybridMultilevel"/>
    <w:lvl w:ilvl="0">
      <w:lvlJc w:val="left"/>
      <w:lvlText w:val="%1."/>
      <w:numFmt w:val="upperLetter"/>
      <w:start w:val="17"/>
    </w:lvl>
    <w:lvl w:ilvl="1">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upperLetter"/>
      <w:start w:val="17"/>
    </w:lvl>
  </w:abstractNum>
  <w:abstractNum w:abstractNumId="101">
    <w:nsid w:val="45E6D486"/>
    <w:multiLevelType w:val="hybridMultilevel"/>
    <w:lvl w:ilvl="0">
      <w:lvlJc w:val="left"/>
      <w:lvlText w:val="%1."/>
      <w:numFmt w:val="upperLetter"/>
      <w:start w:val="17"/>
    </w:lvl>
  </w:abstractNum>
  <w:abstractNum w:abstractNumId="102">
    <w:nsid w:val="5C10FE21"/>
    <w:multiLevelType w:val="hybridMultilevel"/>
    <w:lvl w:ilvl="0">
      <w:lvlJc w:val="left"/>
      <w:lvlText w:val="%1."/>
      <w:numFmt w:val="upperLetter"/>
      <w:start w:val="17"/>
    </w:lvl>
  </w:abstractNum>
  <w:abstractNum w:abstractNumId="103">
    <w:nsid w:val="E7FFA2B"/>
    <w:multiLevelType w:val="hybridMultilevel"/>
    <w:lvl w:ilvl="0">
      <w:lvlJc w:val="left"/>
      <w:lvlText w:val="%1."/>
      <w:numFmt w:val="upperLetter"/>
      <w:start w:val="17"/>
    </w:lvl>
  </w:abstractNum>
  <w:abstractNum w:abstractNumId="104">
    <w:nsid w:val="3C5991AA"/>
    <w:multiLevelType w:val="hybridMultilevel"/>
    <w:lvl w:ilvl="0">
      <w:lvlJc w:val="left"/>
      <w:lvlText w:val="%1."/>
      <w:numFmt w:val="upperLetter"/>
      <w:start w:val="17"/>
    </w:lvl>
  </w:abstractNum>
  <w:abstractNum w:abstractNumId="105">
    <w:nsid w:val="4BD8591A"/>
    <w:multiLevelType w:val="hybridMultilevel"/>
    <w:lvl w:ilvl="0">
      <w:lvlJc w:val="left"/>
      <w:lvlText w:val="%1."/>
      <w:numFmt w:val="upperLetter"/>
      <w:start w:val="17"/>
    </w:lvl>
  </w:abstractNum>
  <w:abstractNum w:abstractNumId="106">
    <w:nsid w:val="78DF6A55"/>
    <w:multiLevelType w:val="hybridMultilevel"/>
    <w:lvl w:ilvl="0">
      <w:lvlJc w:val="left"/>
      <w:lvlText w:val="%1."/>
      <w:numFmt w:val="upperLetter"/>
      <w:start w:val="17"/>
    </w:lvl>
  </w:abstractNum>
  <w:abstractNum w:abstractNumId="107">
    <w:nsid w:val="39B7AAA2"/>
    <w:multiLevelType w:val="hybridMultilevel"/>
    <w:lvl w:ilvl="0">
      <w:lvlJc w:val="left"/>
      <w:lvlText w:val="%1."/>
      <w:numFmt w:val="upperLetter"/>
      <w:start w:val="17"/>
    </w:lvl>
  </w:abstractNum>
  <w:abstractNum w:abstractNumId="108">
    <w:nsid w:val="2B0D8DBE"/>
    <w:multiLevelType w:val="hybridMultilevel"/>
    <w:lvl w:ilvl="0">
      <w:lvlJc w:val="left"/>
      <w:lvlText w:val="%1."/>
      <w:numFmt w:val="upperLetter"/>
      <w:start w:val="17"/>
    </w:lvl>
  </w:abstractNum>
  <w:abstractNum w:abstractNumId="109">
    <w:nsid w:val="6C80EC70"/>
    <w:multiLevelType w:val="hybridMultilevel"/>
    <w:lvl w:ilvl="0">
      <w:lvlJc w:val="left"/>
      <w:lvlText w:val="%1."/>
      <w:numFmt w:val="upperLetter"/>
      <w:start w:val="17"/>
    </w:lvl>
  </w:abstractNum>
  <w:abstractNum w:abstractNumId="110">
    <w:nsid w:val="379E21B5"/>
    <w:multiLevelType w:val="hybridMultilevel"/>
    <w:lvl w:ilvl="0">
      <w:lvlJc w:val="left"/>
      <w:lvlText w:val="%1."/>
      <w:numFmt w:val="upperLetter"/>
      <w:start w:val="17"/>
    </w:lvl>
  </w:abstractNum>
  <w:abstractNum w:abstractNumId="111">
    <w:nsid w:val="69E373"/>
    <w:multiLevelType w:val="hybridMultilevel"/>
    <w:lvl w:ilvl="0">
      <w:lvlJc w:val="left"/>
      <w:lvlText w:val="%1."/>
      <w:numFmt w:val="upperLetter"/>
      <w:start w:val="17"/>
    </w:lvl>
  </w:abstractNum>
  <w:abstractNum w:abstractNumId="112">
    <w:nsid w:val="2C27173B"/>
    <w:multiLevelType w:val="hybridMultilevel"/>
    <w:lvl w:ilvl="0">
      <w:lvlJc w:val="left"/>
      <w:lvlText w:val="%1."/>
      <w:numFmt w:val="upperLetter"/>
      <w:start w:val="17"/>
    </w:lvl>
  </w:abstractNum>
  <w:abstractNum w:abstractNumId="113">
    <w:nsid w:val="4C9B0904"/>
    <w:multiLevelType w:val="hybridMultilevel"/>
    <w:lvl w:ilvl="0">
      <w:lvlJc w:val="left"/>
      <w:lvlText w:val="%1."/>
      <w:numFmt w:val="upperLetter"/>
      <w:start w:val="17"/>
    </w:lvl>
  </w:abstractNum>
  <w:abstractNum w:abstractNumId="114">
    <w:nsid w:val="6AA7B75C"/>
    <w:multiLevelType w:val="hybridMultilevel"/>
    <w:lvl w:ilvl="0">
      <w:lvlJc w:val="left"/>
      <w:lvlText w:val="%1."/>
      <w:numFmt w:val="upperLetter"/>
      <w:start w:val="17"/>
    </w:lvl>
  </w:abstractNum>
  <w:abstractNum w:abstractNumId="115">
    <w:nsid w:val="1DF029D3"/>
    <w:multiLevelType w:val="hybridMultilevel"/>
    <w:lvl w:ilvl="0">
      <w:lvlJc w:val="left"/>
      <w:lvlText w:val="%1."/>
      <w:numFmt w:val="upperLetter"/>
      <w:start w:val="17"/>
    </w:lvl>
  </w:abstractNum>
  <w:abstractNum w:abstractNumId="116">
    <w:nsid w:val="5675FF36"/>
    <w:multiLevelType w:val="hybridMultilevel"/>
    <w:lvl w:ilvl="0">
      <w:lvlJc w:val="left"/>
      <w:lvlText w:val="%1."/>
      <w:numFmt w:val="upperLetter"/>
      <w:start w:val="17"/>
    </w:lvl>
  </w:abstractNum>
  <w:abstractNum w:abstractNumId="117">
    <w:nsid w:val="3DD15094"/>
    <w:multiLevelType w:val="hybridMultilevel"/>
    <w:lvl w:ilvl="0">
      <w:lvlJc w:val="left"/>
      <w:lvlText w:val="%1."/>
      <w:numFmt w:val="upperLetter"/>
      <w:start w:val="17"/>
    </w:lvl>
  </w:abstractNum>
  <w:abstractNum w:abstractNumId="118">
    <w:nsid w:val="3DB012B3"/>
    <w:multiLevelType w:val="hybridMultilevel"/>
    <w:lvl w:ilvl="0">
      <w:lvlJc w:val="left"/>
      <w:lvlText w:val="%1."/>
      <w:numFmt w:val="upperLetter"/>
      <w:start w:val="17"/>
    </w:lvl>
  </w:abstractNum>
  <w:abstractNum w:abstractNumId="119">
    <w:nsid w:val="2708C9AF"/>
    <w:multiLevelType w:val="hybridMultilevel"/>
    <w:lvl w:ilvl="0">
      <w:lvlJc w:val="left"/>
      <w:lvlText w:val="%1."/>
      <w:numFmt w:val="upperLetter"/>
      <w:start w:val="17"/>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1)"/>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2025-03-28T16:17:48Z</dcterms:created>
  <dcterms:modified xsi:type="dcterms:W3CDTF">2025-03-28T16:17:48Z</dcterms:modified>
</cp:coreProperties>
</file>