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UNITED STATES SECURITIES AND EXCHANGE COMMISSION</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10-K/A</w:t>
      </w:r>
    </w:p>
    <w:p>
      <w:pPr>
        <w:spacing w:after="0" w:line="8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148" w:lineRule="exact"/>
        <w:rPr>
          <w:sz w:val="24"/>
          <w:szCs w:val="24"/>
          <w:color w:val="auto"/>
        </w:rPr>
      </w:pPr>
    </w:p>
    <w:p>
      <w:pPr>
        <w:ind w:left="600" w:hanging="574"/>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ANNUAL REPORT PURSUANT TO SECTION 13 OR 15(d) OF THE SECURITIES EXCHANGE ACT OF 1934</w:t>
      </w:r>
    </w:p>
    <w:p>
      <w:pPr>
        <w:spacing w:after="0" w:line="9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the fiscal year ended September 27, 2024</w:t>
      </w:r>
    </w:p>
    <w:p>
      <w:pPr>
        <w:spacing w:after="0" w:line="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28" w:lineRule="exact"/>
        <w:rPr>
          <w:sz w:val="24"/>
          <w:szCs w:val="24"/>
          <w:color w:val="auto"/>
        </w:rPr>
      </w:pPr>
    </w:p>
    <w:p>
      <w:pPr>
        <w:ind w:left="600" w:hanging="574"/>
        <w:spacing w:after="0"/>
        <w:tabs>
          <w:tab w:leader="none" w:pos="60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__________to__________</w:t>
      </w:r>
    </w:p>
    <w:p>
      <w:pPr>
        <w:spacing w:after="0" w:line="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001-05560</w:t>
      </w:r>
    </w:p>
    <w:p>
      <w:pPr>
        <w:spacing w:after="0" w:line="1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6"/>
          <w:szCs w:val="36"/>
          <w:b w:val="1"/>
          <w:bCs w:val="1"/>
          <w:color w:val="auto"/>
        </w:rPr>
        <w:t>Skyworks Solutions, Inc.</w:t>
      </w:r>
    </w:p>
    <w:p>
      <w:pPr>
        <w:spacing w:after="0" w:line="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107" w:lineRule="exact"/>
        <w:rPr>
          <w:sz w:val="24"/>
          <w:szCs w:val="24"/>
          <w:color w:val="auto"/>
        </w:rPr>
      </w:pPr>
    </w:p>
    <w:tbl>
      <w:tblPr>
        <w:tblLayout w:type="fixed"/>
        <w:tblInd w:w="1100" w:type="dxa"/>
        <w:tblCellMar>
          <w:top w:w="0" w:type="dxa"/>
          <w:left w:w="0" w:type="dxa"/>
          <w:bottom w:w="0" w:type="dxa"/>
          <w:right w:w="0" w:type="dxa"/>
        </w:tblCellMar>
      </w:tblPr>
      <w:tr>
        <w:trPr>
          <w:trHeight w:val="236"/>
        </w:trPr>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480" w:type="dxa"/>
            <w:vAlign w:val="bottom"/>
          </w:tcPr>
          <w:p>
            <w:pPr>
              <w:spacing w:after="0"/>
              <w:rPr>
                <w:sz w:val="20"/>
                <w:szCs w:val="20"/>
                <w:color w:val="auto"/>
              </w:rPr>
            </w:pPr>
          </w:p>
        </w:tc>
        <w:tc>
          <w:tcPr>
            <w:tcW w:w="3480" w:type="dxa"/>
            <w:vAlign w:val="bottom"/>
          </w:tcPr>
          <w:p>
            <w:pPr>
              <w:jc w:val="right"/>
              <w:ind w:right="1539"/>
              <w:spacing w:after="0"/>
              <w:rPr>
                <w:sz w:val="20"/>
                <w:szCs w:val="20"/>
                <w:color w:val="auto"/>
              </w:rPr>
            </w:pPr>
            <w:r>
              <w:rPr>
                <w:rFonts w:ascii="Times New Roman" w:cs="Times New Roman" w:eastAsia="Times New Roman" w:hAnsi="Times New Roman"/>
                <w:sz w:val="18"/>
                <w:szCs w:val="18"/>
                <w:b w:val="1"/>
                <w:bCs w:val="1"/>
                <w:color w:val="auto"/>
              </w:rPr>
              <w:t>04-2302115</w:t>
            </w:r>
          </w:p>
        </w:tc>
      </w:tr>
      <w:tr>
        <w:trPr>
          <w:trHeight w:val="212"/>
        </w:trPr>
        <w:tc>
          <w:tcPr>
            <w:tcW w:w="408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(State or other jurisdiction of incorporation or organization)</w:t>
            </w:r>
          </w:p>
        </w:tc>
        <w:tc>
          <w:tcPr>
            <w:tcW w:w="1480" w:type="dxa"/>
            <w:vAlign w:val="bottom"/>
          </w:tcPr>
          <w:p>
            <w:pPr>
              <w:spacing w:after="0"/>
              <w:rPr>
                <w:sz w:val="18"/>
                <w:szCs w:val="18"/>
                <w:color w:val="auto"/>
              </w:rPr>
            </w:pPr>
          </w:p>
        </w:tc>
        <w:tc>
          <w:tcPr>
            <w:tcW w:w="3480" w:type="dxa"/>
            <w:vAlign w:val="bottom"/>
          </w:tcPr>
          <w:p>
            <w:pPr>
              <w:jc w:val="center"/>
              <w:ind w:right="559"/>
              <w:spacing w:after="0"/>
              <w:rPr>
                <w:sz w:val="20"/>
                <w:szCs w:val="20"/>
                <w:color w:val="auto"/>
              </w:rPr>
            </w:pPr>
            <w:r>
              <w:rPr>
                <w:rFonts w:ascii="Times New Roman" w:cs="Times New Roman" w:eastAsia="Times New Roman" w:hAnsi="Times New Roman"/>
                <w:sz w:val="16"/>
                <w:szCs w:val="16"/>
                <w:i w:val="1"/>
                <w:iCs w:val="1"/>
                <w:color w:val="auto"/>
              </w:rPr>
              <w:t>(I.R.S. Employer Identification No.)</w:t>
            </w:r>
          </w:p>
        </w:tc>
      </w:tr>
      <w:tr>
        <w:trPr>
          <w:trHeight w:val="519"/>
        </w:trPr>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5260 California Avenue</w:t>
            </w:r>
          </w:p>
        </w:tc>
        <w:tc>
          <w:tcPr>
            <w:tcW w:w="148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54"/>
        </w:trPr>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Irvine, California</w:t>
            </w:r>
          </w:p>
        </w:tc>
        <w:tc>
          <w:tcPr>
            <w:tcW w:w="1480" w:type="dxa"/>
            <w:vAlign w:val="bottom"/>
          </w:tcPr>
          <w:p>
            <w:pPr>
              <w:spacing w:after="0"/>
              <w:rPr>
                <w:sz w:val="22"/>
                <w:szCs w:val="22"/>
                <w:color w:val="auto"/>
              </w:rPr>
            </w:pPr>
          </w:p>
        </w:tc>
        <w:tc>
          <w:tcPr>
            <w:tcW w:w="3480" w:type="dxa"/>
            <w:vAlign w:val="bottom"/>
          </w:tcPr>
          <w:p>
            <w:pPr>
              <w:jc w:val="right"/>
              <w:ind w:right="1759"/>
              <w:spacing w:after="0"/>
              <w:rPr>
                <w:sz w:val="20"/>
                <w:szCs w:val="20"/>
                <w:color w:val="auto"/>
              </w:rPr>
            </w:pPr>
            <w:r>
              <w:rPr>
                <w:rFonts w:ascii="Times New Roman" w:cs="Times New Roman" w:eastAsia="Times New Roman" w:hAnsi="Times New Roman"/>
                <w:sz w:val="18"/>
                <w:szCs w:val="18"/>
                <w:b w:val="1"/>
                <w:bCs w:val="1"/>
                <w:color w:val="auto"/>
              </w:rPr>
              <w:t>92617</w:t>
            </w:r>
          </w:p>
        </w:tc>
      </w:tr>
      <w:tr>
        <w:trPr>
          <w:trHeight w:val="212"/>
        </w:trPr>
        <w:tc>
          <w:tcPr>
            <w:tcW w:w="408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w:t>
            </w:r>
          </w:p>
        </w:tc>
        <w:tc>
          <w:tcPr>
            <w:tcW w:w="1480" w:type="dxa"/>
            <w:vAlign w:val="bottom"/>
          </w:tcPr>
          <w:p>
            <w:pPr>
              <w:spacing w:after="0"/>
              <w:rPr>
                <w:sz w:val="18"/>
                <w:szCs w:val="18"/>
                <w:color w:val="auto"/>
              </w:rPr>
            </w:pPr>
          </w:p>
        </w:tc>
        <w:tc>
          <w:tcPr>
            <w:tcW w:w="3480" w:type="dxa"/>
            <w:vAlign w:val="bottom"/>
          </w:tcPr>
          <w:p>
            <w:pPr>
              <w:jc w:val="center"/>
              <w:ind w:right="559"/>
              <w:spacing w:after="0"/>
              <w:rPr>
                <w:sz w:val="20"/>
                <w:szCs w:val="20"/>
                <w:color w:val="auto"/>
              </w:rPr>
            </w:pPr>
            <w:r>
              <w:rPr>
                <w:rFonts w:ascii="Times New Roman" w:cs="Times New Roman" w:eastAsia="Times New Roman" w:hAnsi="Times New Roman"/>
                <w:sz w:val="16"/>
                <w:szCs w:val="16"/>
                <w:i w:val="1"/>
                <w:iCs w:val="1"/>
                <w:color w:val="auto"/>
              </w:rPr>
              <w:t>(Zip Code)</w:t>
            </w:r>
          </w:p>
        </w:tc>
      </w:tr>
      <w:tr>
        <w:trPr>
          <w:trHeight w:val="350"/>
        </w:trPr>
        <w:tc>
          <w:tcPr>
            <w:tcW w:w="4080" w:type="dxa"/>
            <w:vAlign w:val="bottom"/>
          </w:tcPr>
          <w:p>
            <w:pPr>
              <w:spacing w:after="0"/>
              <w:rPr>
                <w:sz w:val="24"/>
                <w:szCs w:val="24"/>
                <w:color w:val="auto"/>
              </w:rPr>
            </w:pPr>
          </w:p>
        </w:tc>
        <w:tc>
          <w:tcPr>
            <w:tcW w:w="1480" w:type="dxa"/>
            <w:vAlign w:val="bottom"/>
          </w:tcPr>
          <w:p>
            <w:pPr>
              <w:jc w:val="right"/>
              <w:ind w:right="262"/>
              <w:spacing w:after="0"/>
              <w:rPr>
                <w:sz w:val="20"/>
                <w:szCs w:val="20"/>
                <w:color w:val="auto"/>
              </w:rPr>
            </w:pPr>
            <w:r>
              <w:rPr>
                <w:rFonts w:ascii="Times New Roman" w:cs="Times New Roman" w:eastAsia="Times New Roman" w:hAnsi="Times New Roman"/>
                <w:sz w:val="18"/>
                <w:szCs w:val="18"/>
                <w:b w:val="1"/>
                <w:bCs w:val="1"/>
                <w:color w:val="auto"/>
                <w:w w:val="99"/>
              </w:rPr>
              <w:t>(949) 231-3000</w:t>
            </w:r>
          </w:p>
        </w:tc>
        <w:tc>
          <w:tcPr>
            <w:tcW w:w="3480" w:type="dxa"/>
            <w:vAlign w:val="bottom"/>
          </w:tcPr>
          <w:p>
            <w:pPr>
              <w:spacing w:after="0"/>
              <w:rPr>
                <w:sz w:val="24"/>
                <w:szCs w:val="24"/>
                <w:color w:val="auto"/>
              </w:rPr>
            </w:pPr>
          </w:p>
        </w:tc>
      </w:tr>
      <w:tr>
        <w:trPr>
          <w:trHeight w:val="236"/>
        </w:trPr>
        <w:tc>
          <w:tcPr>
            <w:tcW w:w="9040" w:type="dxa"/>
            <w:vAlign w:val="bottom"/>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(Registrant’s telephone number, including area code)</w:t>
            </w:r>
          </w:p>
        </w:tc>
      </w:tr>
      <w:tr>
        <w:trPr>
          <w:trHeight w:val="503"/>
        </w:trPr>
        <w:tc>
          <w:tcPr>
            <w:tcW w:w="90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r>
      <w:tr>
        <w:trPr>
          <w:trHeight w:val="270"/>
        </w:trPr>
        <w:tc>
          <w:tcPr>
            <w:tcW w:w="4080" w:type="dxa"/>
            <w:vAlign w:val="bottom"/>
          </w:tcPr>
          <w:p>
            <w:pPr>
              <w:jc w:val="center"/>
              <w:ind w:right="63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48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480" w:type="dxa"/>
            <w:vAlign w:val="bottom"/>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0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r>
      <w:tr>
        <w:trPr>
          <w:trHeight w:val="213"/>
        </w:trPr>
        <w:tc>
          <w:tcPr>
            <w:tcW w:w="4080" w:type="dxa"/>
            <w:vAlign w:val="bottom"/>
          </w:tcPr>
          <w:p>
            <w:pPr>
              <w:jc w:val="center"/>
              <w:ind w:right="618"/>
              <w:spacing w:after="0"/>
              <w:rPr>
                <w:sz w:val="20"/>
                <w:szCs w:val="20"/>
                <w:color w:val="auto"/>
              </w:rPr>
            </w:pPr>
            <w:r>
              <w:rPr>
                <w:rFonts w:ascii="Times New Roman" w:cs="Times New Roman" w:eastAsia="Times New Roman" w:hAnsi="Times New Roman"/>
                <w:sz w:val="14"/>
                <w:szCs w:val="14"/>
                <w:color w:val="auto"/>
              </w:rPr>
              <w:t>Common Stock, par value $0.25 per share</w:t>
            </w:r>
          </w:p>
        </w:tc>
        <w:tc>
          <w:tcPr>
            <w:tcW w:w="1480" w:type="dxa"/>
            <w:vAlign w:val="bottom"/>
          </w:tcPr>
          <w:p>
            <w:pPr>
              <w:jc w:val="center"/>
              <w:ind w:right="82"/>
              <w:spacing w:after="0"/>
              <w:rPr>
                <w:sz w:val="20"/>
                <w:szCs w:val="20"/>
                <w:color w:val="auto"/>
              </w:rPr>
            </w:pPr>
            <w:r>
              <w:rPr>
                <w:rFonts w:ascii="Times New Roman" w:cs="Times New Roman" w:eastAsia="Times New Roman" w:hAnsi="Times New Roman"/>
                <w:sz w:val="14"/>
                <w:szCs w:val="14"/>
                <w:color w:val="auto"/>
              </w:rPr>
              <w:t>SWKS</w:t>
            </w:r>
          </w:p>
        </w:tc>
        <w:tc>
          <w:tcPr>
            <w:tcW w:w="3480" w:type="dxa"/>
            <w:vAlign w:val="bottom"/>
          </w:tcPr>
          <w:p>
            <w:pPr>
              <w:jc w:val="center"/>
              <w:ind w:left="459"/>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3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p>
      <w:pPr>
        <w:spacing w:after="0" w:line="242" w:lineRule="exact"/>
        <w:rPr>
          <w:sz w:val="24"/>
          <w:szCs w:val="24"/>
          <w:color w:val="auto"/>
        </w:rPr>
      </w:pPr>
    </w:p>
    <w:p>
      <w:pPr>
        <w:ind w:right="3540"/>
        <w:spacing w:after="0" w:line="243"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Indicate by check mark if the registrant is not required to file reports pursuant to Section 13 or 15(d) of the Act.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20" w:lineRule="exact"/>
        <w:rPr>
          <w:sz w:val="24"/>
          <w:szCs w:val="24"/>
          <w:color w:val="auto"/>
        </w:rPr>
      </w:pPr>
    </w:p>
    <w:p>
      <w:pPr>
        <w:ind w:right="180"/>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w:t>
      </w:r>
    </w:p>
    <w:p>
      <w:pPr>
        <w:spacing w:after="0" w:line="20" w:lineRule="exact"/>
        <w:rPr>
          <w:sz w:val="24"/>
          <w:szCs w:val="24"/>
          <w:color w:val="auto"/>
        </w:rPr>
      </w:pPr>
    </w:p>
    <w:p>
      <w:pPr>
        <w:ind w:right="2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w:t>
      </w:r>
    </w:p>
    <w:p>
      <w:pPr>
        <w:spacing w:after="0" w:line="20" w:lineRule="exact"/>
        <w:rPr>
          <w:sz w:val="24"/>
          <w:szCs w:val="24"/>
          <w:color w:val="auto"/>
        </w:rPr>
      </w:pPr>
    </w:p>
    <w:p>
      <w:pPr>
        <w:ind w:right="40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0" w:lineRule="exact"/>
        <w:rPr>
          <w:sz w:val="24"/>
          <w:szCs w:val="24"/>
          <w:color w:val="auto"/>
        </w:rPr>
      </w:pPr>
    </w:p>
    <w:p>
      <w:pPr>
        <w:jc w:val="center"/>
        <w:ind w:right="-39"/>
        <w:spacing w:after="0" w:line="161" w:lineRule="exact"/>
        <w:tabs>
          <w:tab w:leader="none" w:pos="320" w:val="left"/>
          <w:tab w:leader="none" w:pos="280" w:val="left"/>
          <w:tab w:leader="none" w:pos="340" w:val="left"/>
          <w:tab w:leader="none" w:pos="12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r>
        <w:rPr>
          <w:sz w:val="20"/>
          <w:szCs w:val="20"/>
          <w:color w:val="auto"/>
        </w:rPr>
        <w:tab/>
      </w:r>
      <w:r>
        <w:rPr>
          <w:rFonts w:ascii="MS PGothic" w:cs="MS PGothic" w:eastAsia="MS PGothic" w:hAnsi="MS PGothic"/>
          <w:sz w:val="14"/>
          <w:szCs w:val="14"/>
          <w:color w:val="auto"/>
        </w:rPr>
        <w:t xml:space="preserve">☐  </w:t>
      </w:r>
      <w:r>
        <w:rPr>
          <w:rFonts w:ascii="Times New Roman" w:cs="Times New Roman" w:eastAsia="Times New Roman" w:hAnsi="Times New Roman"/>
          <w:sz w:val="14"/>
          <w:szCs w:val="14"/>
          <w:color w:val="auto"/>
        </w:rPr>
        <w:t>Emerging growth company</w:t>
      </w:r>
      <w:r>
        <w:rPr>
          <w:rFonts w:ascii="MS PGothic" w:cs="MS PGothic" w:eastAsia="MS PGothic" w:hAnsi="MS PGothic"/>
          <w:sz w:val="14"/>
          <w:szCs w:val="14"/>
          <w:color w:val="auto"/>
        </w:rPr>
        <w:t xml:space="preserve">  ☐</w:t>
      </w:r>
    </w:p>
    <w:p>
      <w:pPr>
        <w:spacing w:after="0" w:line="235" w:lineRule="exact"/>
        <w:rPr>
          <w:sz w:val="24"/>
          <w:szCs w:val="24"/>
          <w:color w:val="auto"/>
        </w:rPr>
      </w:pPr>
    </w:p>
    <w:p>
      <w:pPr>
        <w:ind w:right="520"/>
        <w:spacing w:after="0" w:line="32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41" w:lineRule="exact"/>
        <w:rPr>
          <w:sz w:val="24"/>
          <w:szCs w:val="24"/>
          <w:color w:val="auto"/>
        </w:rPr>
      </w:pPr>
    </w:p>
    <w:p>
      <w:pPr>
        <w:ind w:right="2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74" w:lineRule="exact"/>
        <w:rPr>
          <w:sz w:val="24"/>
          <w:szCs w:val="24"/>
          <w:color w:val="auto"/>
        </w:rPr>
      </w:pPr>
    </w:p>
    <w:p>
      <w:pPr>
        <w:ind w:right="80"/>
        <w:spacing w:after="0" w:line="227"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88" w:lineRule="exact"/>
        <w:rPr>
          <w:sz w:val="24"/>
          <w:szCs w:val="24"/>
          <w:color w:val="auto"/>
        </w:rPr>
      </w:pPr>
    </w:p>
    <w:p>
      <w:pPr>
        <w:ind w:right="240"/>
        <w:spacing w:after="0" w:line="227"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4"/>
          <w:szCs w:val="14"/>
          <w:color w:val="auto"/>
        </w:rPr>
        <w:t>☐</w:t>
      </w:r>
    </w:p>
    <w:p>
      <w:pPr>
        <w:spacing w:after="0" w:line="3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165" w:lineRule="exact"/>
        <w:rPr>
          <w:sz w:val="24"/>
          <w:szCs w:val="24"/>
          <w:color w:val="auto"/>
        </w:rPr>
      </w:pPr>
    </w:p>
    <w:p>
      <w:pPr>
        <w:spacing w:after="0" w:line="281" w:lineRule="auto"/>
        <w:rPr>
          <w:sz w:val="20"/>
          <w:szCs w:val="20"/>
          <w:color w:val="auto"/>
        </w:rPr>
      </w:pPr>
      <w:r>
        <w:rPr>
          <w:rFonts w:ascii="Times New Roman" w:cs="Times New Roman" w:eastAsia="Times New Roman" w:hAnsi="Times New Roman"/>
          <w:sz w:val="14"/>
          <w:szCs w:val="14"/>
          <w:color w:val="auto"/>
        </w:rPr>
        <w:t>The aggregate market value of the registrant’s common stock held by non-affiliates of the registrant (based on the closing price of the registrant’s common stock as reported on the Nasdaq Global Select Market on March 29, 2024, the last business day of the registrant’s most recently completed second fiscal quarter) was approximately $17.3 billion. The number of outstanding shares of the registrant’s common stock, par value $0.25 per share, as of January 17, 2025, was 160,741,022.</w:t>
      </w:r>
    </w:p>
    <w:p>
      <w:pPr>
        <w:sectPr>
          <w:pgSz w:w="11900" w:h="16838" w:orient="portrait"/>
          <w:cols w:equalWidth="0" w:num="1">
            <w:col w:w="11200"/>
          </w:cols>
          <w:pgMar w:left="320" w:top="878" w:right="379" w:bottom="1440" w:gutter="0" w:footer="0" w:header="0"/>
        </w:sectPr>
      </w:pPr>
    </w:p>
    <w:p>
      <w:pPr>
        <w:spacing w:after="0" w:line="3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78" w:right="37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56" w:lineRule="exact"/>
        <w:rPr>
          <w:sz w:val="20"/>
          <w:szCs w:val="20"/>
          <w:color w:val="auto"/>
        </w:rPr>
      </w:pPr>
    </w:p>
    <w:p>
      <w:pPr>
        <w:jc w:val="both"/>
        <w:ind w:firstLine="389"/>
        <w:spacing w:after="0" w:line="256" w:lineRule="auto"/>
        <w:rPr>
          <w:sz w:val="20"/>
          <w:szCs w:val="20"/>
          <w:color w:val="auto"/>
        </w:rPr>
      </w:pPr>
      <w:r>
        <w:rPr>
          <w:rFonts w:ascii="Times New Roman" w:cs="Times New Roman" w:eastAsia="Times New Roman" w:hAnsi="Times New Roman"/>
          <w:sz w:val="18"/>
          <w:szCs w:val="18"/>
          <w:color w:val="auto"/>
        </w:rPr>
        <w:t>This Amendment No. 1 amends the Annual Report on Form 10-K of Skyworks Solutions, Inc. (“Skyworks” or the “Company”), for the year ended September 27, 2024, which was filed with the Securities and Exchange Commission (“SEC”) on November 15, 2024 (the “Original Filing”). The Company is filing this Amendment No. 1 for the sole purpose of providing the information required in Part III of Form 10-K, as the Company’s 2025 Annual Meeting of Stockholders is scheduled for May 14, 2025, and, accordingly, the Company’s Proxy Statement relating to such Annual Meeting will be filed after the date hereof. Except as described above, this Amendment No. 1 does not amend any other information set forth in the Original Filing, and the Company has not updated disclosures included therein to reflect any subsequent events.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Directors and Executive Officers</w:t>
      </w:r>
    </w:p>
    <w:p>
      <w:pPr>
        <w:spacing w:after="0" w:line="2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sets forth for each director and executive officer of the Company his or her position with the Company as of January 17, 2025:</w:t>
      </w:r>
    </w:p>
    <w:p>
      <w:pPr>
        <w:spacing w:after="0" w:line="327" w:lineRule="exact"/>
        <w:rPr>
          <w:sz w:val="20"/>
          <w:szCs w:val="20"/>
          <w:color w:val="auto"/>
        </w:rPr>
      </w:pPr>
    </w:p>
    <w:p>
      <w:pPr>
        <w:ind w:left="20"/>
        <w:spacing w:after="0"/>
        <w:tabs>
          <w:tab w:leader="none" w:pos="274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8"/>
          <w:szCs w:val="18"/>
          <w:b w:val="1"/>
          <w:bCs w:val="1"/>
          <w:color w:val="auto"/>
        </w:rPr>
        <w:t>Title</w:t>
      </w:r>
    </w:p>
    <w:p>
      <w:pPr>
        <w:spacing w:after="0" w:line="31" w:lineRule="exact"/>
        <w:rPr>
          <w:sz w:val="20"/>
          <w:szCs w:val="20"/>
          <w:color w:val="auto"/>
        </w:rPr>
      </w:pPr>
    </w:p>
    <w:p>
      <w:pPr>
        <w:ind w:left="20"/>
        <w:spacing w:after="0"/>
        <w:tabs>
          <w:tab w:leader="none" w:pos="2740" w:val="left"/>
        </w:tabs>
        <w:rPr>
          <w:sz w:val="20"/>
          <w:szCs w:val="20"/>
          <w:color w:val="auto"/>
        </w:rPr>
      </w:pPr>
      <w:r>
        <w:rPr>
          <w:rFonts w:ascii="Times New Roman" w:cs="Times New Roman" w:eastAsia="Times New Roman" w:hAnsi="Times New Roman"/>
          <w:sz w:val="18"/>
          <w:szCs w:val="18"/>
          <w:color w:val="auto"/>
        </w:rPr>
        <w:t>Liam K. Griffin</w:t>
      </w:r>
      <w:r>
        <w:rPr>
          <w:sz w:val="20"/>
          <w:szCs w:val="20"/>
          <w:color w:val="auto"/>
        </w:rPr>
        <w:tab/>
      </w:r>
      <w:r>
        <w:rPr>
          <w:rFonts w:ascii="Times New Roman" w:cs="Times New Roman" w:eastAsia="Times New Roman" w:hAnsi="Times New Roman"/>
          <w:sz w:val="17"/>
          <w:szCs w:val="17"/>
          <w:color w:val="auto"/>
        </w:rPr>
        <w:t>Chairman of the Board, Chief Executive Officer and President</w:t>
      </w:r>
    </w:p>
    <w:p>
      <w:pPr>
        <w:spacing w:after="0" w:line="23" w:lineRule="exact"/>
        <w:rPr>
          <w:sz w:val="20"/>
          <w:szCs w:val="20"/>
          <w:color w:val="auto"/>
        </w:rPr>
      </w:pPr>
    </w:p>
    <w:p>
      <w:pPr>
        <w:ind w:left="20"/>
        <w:spacing w:after="0"/>
        <w:tabs>
          <w:tab w:leader="none" w:pos="2740" w:val="left"/>
        </w:tabs>
        <w:rPr>
          <w:sz w:val="20"/>
          <w:szCs w:val="20"/>
          <w:color w:val="auto"/>
        </w:rPr>
      </w:pPr>
      <w:r>
        <w:rPr>
          <w:rFonts w:ascii="Times New Roman" w:cs="Times New Roman" w:eastAsia="Times New Roman" w:hAnsi="Times New Roman"/>
          <w:sz w:val="18"/>
          <w:szCs w:val="18"/>
          <w:color w:val="auto"/>
        </w:rPr>
        <w:t>Christine King</w:t>
      </w:r>
      <w:r>
        <w:rPr>
          <w:sz w:val="20"/>
          <w:szCs w:val="20"/>
          <w:color w:val="auto"/>
        </w:rPr>
        <w:tab/>
      </w:r>
      <w:r>
        <w:rPr>
          <w:rFonts w:ascii="Times New Roman" w:cs="Times New Roman" w:eastAsia="Times New Roman" w:hAnsi="Times New Roman"/>
          <w:sz w:val="18"/>
          <w:szCs w:val="18"/>
          <w:color w:val="auto"/>
        </w:rPr>
        <w:t>Lead Independent Director</w:t>
      </w:r>
    </w:p>
    <w:p>
      <w:pPr>
        <w:spacing w:after="0" w:line="23" w:lineRule="exact"/>
        <w:rPr>
          <w:sz w:val="20"/>
          <w:szCs w:val="20"/>
          <w:color w:val="auto"/>
        </w:rPr>
      </w:pPr>
    </w:p>
    <w:p>
      <w:pPr>
        <w:ind w:left="20"/>
        <w:spacing w:after="0"/>
        <w:tabs>
          <w:tab w:leader="none" w:pos="2740" w:val="left"/>
        </w:tabs>
        <w:rPr>
          <w:sz w:val="20"/>
          <w:szCs w:val="20"/>
          <w:color w:val="auto"/>
        </w:rPr>
      </w:pPr>
      <w:r>
        <w:rPr>
          <w:rFonts w:ascii="Times New Roman" w:cs="Times New Roman" w:eastAsia="Times New Roman" w:hAnsi="Times New Roman"/>
          <w:sz w:val="18"/>
          <w:szCs w:val="18"/>
          <w:color w:val="auto"/>
        </w:rPr>
        <w:t>Alan S. Batey</w:t>
      </w:r>
      <w:r>
        <w:rPr>
          <w:sz w:val="20"/>
          <w:szCs w:val="20"/>
          <w:color w:val="auto"/>
        </w:rPr>
        <w:tab/>
      </w:r>
      <w:r>
        <w:rPr>
          <w:rFonts w:ascii="Times New Roman" w:cs="Times New Roman" w:eastAsia="Times New Roman" w:hAnsi="Times New Roman"/>
          <w:sz w:val="18"/>
          <w:szCs w:val="18"/>
          <w:color w:val="auto"/>
        </w:rPr>
        <w:t>Director</w:t>
      </w:r>
    </w:p>
    <w:p>
      <w:pPr>
        <w:spacing w:after="0" w:line="23" w:lineRule="exact"/>
        <w:rPr>
          <w:sz w:val="20"/>
          <w:szCs w:val="20"/>
          <w:color w:val="auto"/>
        </w:rPr>
      </w:pPr>
    </w:p>
    <w:p>
      <w:pPr>
        <w:ind w:left="20"/>
        <w:spacing w:after="0"/>
        <w:tabs>
          <w:tab w:leader="none" w:pos="2740" w:val="left"/>
        </w:tabs>
        <w:rPr>
          <w:sz w:val="20"/>
          <w:szCs w:val="20"/>
          <w:color w:val="auto"/>
        </w:rPr>
      </w:pPr>
      <w:r>
        <w:rPr>
          <w:rFonts w:ascii="Times New Roman" w:cs="Times New Roman" w:eastAsia="Times New Roman" w:hAnsi="Times New Roman"/>
          <w:sz w:val="18"/>
          <w:szCs w:val="18"/>
          <w:color w:val="auto"/>
        </w:rPr>
        <w:t>Kevin L. Beebe</w:t>
      </w:r>
      <w:r>
        <w:rPr>
          <w:sz w:val="20"/>
          <w:szCs w:val="20"/>
          <w:color w:val="auto"/>
        </w:rPr>
        <w:tab/>
      </w:r>
      <w:r>
        <w:rPr>
          <w:rFonts w:ascii="Times New Roman" w:cs="Times New Roman" w:eastAsia="Times New Roman" w:hAnsi="Times New Roman"/>
          <w:sz w:val="18"/>
          <w:szCs w:val="18"/>
          <w:color w:val="auto"/>
        </w:rPr>
        <w:t>Director</w:t>
      </w:r>
    </w:p>
    <w:p>
      <w:pPr>
        <w:spacing w:after="0" w:line="23" w:lineRule="exact"/>
        <w:rPr>
          <w:sz w:val="20"/>
          <w:szCs w:val="20"/>
          <w:color w:val="auto"/>
        </w:rPr>
      </w:pPr>
    </w:p>
    <w:p>
      <w:pPr>
        <w:ind w:left="20"/>
        <w:spacing w:after="0"/>
        <w:tabs>
          <w:tab w:leader="none" w:pos="2740" w:val="left"/>
        </w:tabs>
        <w:rPr>
          <w:sz w:val="20"/>
          <w:szCs w:val="20"/>
          <w:color w:val="auto"/>
        </w:rPr>
      </w:pPr>
      <w:r>
        <w:rPr>
          <w:rFonts w:ascii="Times New Roman" w:cs="Times New Roman" w:eastAsia="Times New Roman" w:hAnsi="Times New Roman"/>
          <w:sz w:val="18"/>
          <w:szCs w:val="18"/>
          <w:color w:val="auto"/>
        </w:rPr>
        <w:t>Eric J. Guerin</w:t>
      </w:r>
      <w:r>
        <w:rPr>
          <w:sz w:val="20"/>
          <w:szCs w:val="20"/>
          <w:color w:val="auto"/>
        </w:rPr>
        <w:tab/>
      </w:r>
      <w:r>
        <w:rPr>
          <w:rFonts w:ascii="Times New Roman" w:cs="Times New Roman" w:eastAsia="Times New Roman" w:hAnsi="Times New Roman"/>
          <w:sz w:val="18"/>
          <w:szCs w:val="18"/>
          <w:color w:val="auto"/>
        </w:rPr>
        <w:t>Director</w:t>
      </w:r>
    </w:p>
    <w:p>
      <w:pPr>
        <w:spacing w:after="0" w:line="23" w:lineRule="exact"/>
        <w:rPr>
          <w:sz w:val="20"/>
          <w:szCs w:val="20"/>
          <w:color w:val="auto"/>
        </w:rPr>
      </w:pPr>
    </w:p>
    <w:p>
      <w:pPr>
        <w:ind w:left="20"/>
        <w:spacing w:after="0"/>
        <w:tabs>
          <w:tab w:leader="none" w:pos="2740" w:val="left"/>
        </w:tabs>
        <w:rPr>
          <w:sz w:val="20"/>
          <w:szCs w:val="20"/>
          <w:color w:val="auto"/>
        </w:rPr>
      </w:pPr>
      <w:r>
        <w:rPr>
          <w:rFonts w:ascii="Times New Roman" w:cs="Times New Roman" w:eastAsia="Times New Roman" w:hAnsi="Times New Roman"/>
          <w:sz w:val="18"/>
          <w:szCs w:val="18"/>
          <w:color w:val="auto"/>
        </w:rPr>
        <w:t>Suzanne E. McBride</w:t>
      </w:r>
      <w:r>
        <w:rPr>
          <w:sz w:val="20"/>
          <w:szCs w:val="20"/>
          <w:color w:val="auto"/>
        </w:rPr>
        <w:tab/>
      </w:r>
      <w:r>
        <w:rPr>
          <w:rFonts w:ascii="Times New Roman" w:cs="Times New Roman" w:eastAsia="Times New Roman" w:hAnsi="Times New Roman"/>
          <w:sz w:val="18"/>
          <w:szCs w:val="18"/>
          <w:color w:val="auto"/>
        </w:rPr>
        <w:t>Director</w:t>
      </w:r>
    </w:p>
    <w:p>
      <w:pPr>
        <w:spacing w:after="0" w:line="23" w:lineRule="exact"/>
        <w:rPr>
          <w:sz w:val="20"/>
          <w:szCs w:val="20"/>
          <w:color w:val="auto"/>
        </w:rPr>
      </w:pPr>
    </w:p>
    <w:p>
      <w:pPr>
        <w:ind w:left="20"/>
        <w:spacing w:after="0"/>
        <w:tabs>
          <w:tab w:leader="none" w:pos="2740" w:val="left"/>
        </w:tabs>
        <w:rPr>
          <w:sz w:val="20"/>
          <w:szCs w:val="20"/>
          <w:color w:val="auto"/>
        </w:rPr>
      </w:pPr>
      <w:r>
        <w:rPr>
          <w:rFonts w:ascii="Times New Roman" w:cs="Times New Roman" w:eastAsia="Times New Roman" w:hAnsi="Times New Roman"/>
          <w:sz w:val="18"/>
          <w:szCs w:val="18"/>
          <w:color w:val="auto"/>
        </w:rPr>
        <w:t>David P. McGlade</w:t>
      </w:r>
      <w:r>
        <w:rPr>
          <w:sz w:val="20"/>
          <w:szCs w:val="20"/>
          <w:color w:val="auto"/>
        </w:rPr>
        <w:tab/>
      </w:r>
      <w:r>
        <w:rPr>
          <w:rFonts w:ascii="Times New Roman" w:cs="Times New Roman" w:eastAsia="Times New Roman" w:hAnsi="Times New Roman"/>
          <w:sz w:val="18"/>
          <w:szCs w:val="18"/>
          <w:color w:val="auto"/>
        </w:rPr>
        <w:t>Director</w:t>
      </w:r>
    </w:p>
    <w:p>
      <w:pPr>
        <w:spacing w:after="0" w:line="23" w:lineRule="exact"/>
        <w:rPr>
          <w:sz w:val="20"/>
          <w:szCs w:val="20"/>
          <w:color w:val="auto"/>
        </w:rPr>
      </w:pPr>
    </w:p>
    <w:p>
      <w:pPr>
        <w:ind w:left="20"/>
        <w:spacing w:after="0"/>
        <w:tabs>
          <w:tab w:leader="none" w:pos="2740" w:val="left"/>
        </w:tabs>
        <w:rPr>
          <w:sz w:val="20"/>
          <w:szCs w:val="20"/>
          <w:color w:val="auto"/>
        </w:rPr>
      </w:pPr>
      <w:r>
        <w:rPr>
          <w:rFonts w:ascii="Times New Roman" w:cs="Times New Roman" w:eastAsia="Times New Roman" w:hAnsi="Times New Roman"/>
          <w:sz w:val="18"/>
          <w:szCs w:val="18"/>
          <w:color w:val="auto"/>
        </w:rPr>
        <w:t>Robert A. Schriesheim</w:t>
      </w:r>
      <w:r>
        <w:rPr>
          <w:sz w:val="20"/>
          <w:szCs w:val="20"/>
          <w:color w:val="auto"/>
        </w:rPr>
        <w:tab/>
      </w:r>
      <w:r>
        <w:rPr>
          <w:rFonts w:ascii="Times New Roman" w:cs="Times New Roman" w:eastAsia="Times New Roman" w:hAnsi="Times New Roman"/>
          <w:sz w:val="18"/>
          <w:szCs w:val="18"/>
          <w:color w:val="auto"/>
        </w:rPr>
        <w:t>Director</w:t>
      </w:r>
    </w:p>
    <w:p>
      <w:pPr>
        <w:spacing w:after="0" w:line="23" w:lineRule="exact"/>
        <w:rPr>
          <w:sz w:val="20"/>
          <w:szCs w:val="20"/>
          <w:color w:val="auto"/>
        </w:rPr>
      </w:pPr>
    </w:p>
    <w:p>
      <w:pPr>
        <w:ind w:left="20"/>
        <w:spacing w:after="0"/>
        <w:tabs>
          <w:tab w:leader="none" w:pos="2740" w:val="left"/>
        </w:tabs>
        <w:rPr>
          <w:sz w:val="20"/>
          <w:szCs w:val="20"/>
          <w:color w:val="auto"/>
        </w:rPr>
      </w:pPr>
      <w:r>
        <w:rPr>
          <w:rFonts w:ascii="Times New Roman" w:cs="Times New Roman" w:eastAsia="Times New Roman" w:hAnsi="Times New Roman"/>
          <w:sz w:val="18"/>
          <w:szCs w:val="18"/>
          <w:color w:val="auto"/>
        </w:rPr>
        <w:t>Maryann Turcke</w:t>
      </w:r>
      <w:r>
        <w:rPr>
          <w:sz w:val="20"/>
          <w:szCs w:val="20"/>
          <w:color w:val="auto"/>
        </w:rPr>
        <w:tab/>
      </w:r>
      <w:r>
        <w:rPr>
          <w:rFonts w:ascii="Times New Roman" w:cs="Times New Roman" w:eastAsia="Times New Roman" w:hAnsi="Times New Roman"/>
          <w:sz w:val="18"/>
          <w:szCs w:val="18"/>
          <w:color w:val="auto"/>
        </w:rPr>
        <w:t>Director</w:t>
      </w:r>
    </w:p>
    <w:p>
      <w:pPr>
        <w:spacing w:after="0" w:line="23" w:lineRule="exact"/>
        <w:rPr>
          <w:sz w:val="20"/>
          <w:szCs w:val="20"/>
          <w:color w:val="auto"/>
        </w:rPr>
      </w:pPr>
    </w:p>
    <w:p>
      <w:pPr>
        <w:ind w:left="20"/>
        <w:spacing w:after="0"/>
        <w:tabs>
          <w:tab w:leader="none" w:pos="2740" w:val="left"/>
        </w:tabs>
        <w:rPr>
          <w:sz w:val="20"/>
          <w:szCs w:val="20"/>
          <w:color w:val="auto"/>
        </w:rPr>
      </w:pPr>
      <w:r>
        <w:rPr>
          <w:rFonts w:ascii="Times New Roman" w:cs="Times New Roman" w:eastAsia="Times New Roman" w:hAnsi="Times New Roman"/>
          <w:sz w:val="18"/>
          <w:szCs w:val="18"/>
          <w:color w:val="auto"/>
        </w:rPr>
        <w:t>Carlos S. Bori</w:t>
      </w:r>
      <w:r>
        <w:rPr>
          <w:sz w:val="20"/>
          <w:szCs w:val="20"/>
          <w:color w:val="auto"/>
        </w:rPr>
        <w:tab/>
      </w:r>
      <w:r>
        <w:rPr>
          <w:rFonts w:ascii="Times New Roman" w:cs="Times New Roman" w:eastAsia="Times New Roman" w:hAnsi="Times New Roman"/>
          <w:sz w:val="17"/>
          <w:szCs w:val="17"/>
          <w:color w:val="auto"/>
        </w:rPr>
        <w:t>Senior Vice President, Sales and Marketing</w:t>
      </w:r>
    </w:p>
    <w:p>
      <w:pPr>
        <w:spacing w:after="0" w:line="23" w:lineRule="exact"/>
        <w:rPr>
          <w:sz w:val="20"/>
          <w:szCs w:val="20"/>
          <w:color w:val="auto"/>
        </w:rPr>
      </w:pPr>
    </w:p>
    <w:p>
      <w:pPr>
        <w:ind w:left="20"/>
        <w:spacing w:after="0"/>
        <w:tabs>
          <w:tab w:leader="none" w:pos="2740" w:val="left"/>
        </w:tabs>
        <w:rPr>
          <w:sz w:val="20"/>
          <w:szCs w:val="20"/>
          <w:color w:val="auto"/>
        </w:rPr>
      </w:pPr>
      <w:r>
        <w:rPr>
          <w:rFonts w:ascii="Times New Roman" w:cs="Times New Roman" w:eastAsia="Times New Roman" w:hAnsi="Times New Roman"/>
          <w:sz w:val="18"/>
          <w:szCs w:val="18"/>
          <w:color w:val="auto"/>
        </w:rPr>
        <w:t>Karilee A. Durham</w:t>
      </w:r>
      <w:r>
        <w:rPr>
          <w:sz w:val="20"/>
          <w:szCs w:val="20"/>
          <w:color w:val="auto"/>
        </w:rPr>
        <w:tab/>
      </w:r>
      <w:r>
        <w:rPr>
          <w:rFonts w:ascii="Times New Roman" w:cs="Times New Roman" w:eastAsia="Times New Roman" w:hAnsi="Times New Roman"/>
          <w:sz w:val="17"/>
          <w:szCs w:val="17"/>
          <w:color w:val="auto"/>
        </w:rPr>
        <w:t>Senior Vice President, Human Resources</w:t>
      </w:r>
    </w:p>
    <w:p>
      <w:pPr>
        <w:spacing w:after="0" w:line="23" w:lineRule="exact"/>
        <w:rPr>
          <w:sz w:val="20"/>
          <w:szCs w:val="20"/>
          <w:color w:val="auto"/>
        </w:rPr>
      </w:pPr>
    </w:p>
    <w:p>
      <w:pPr>
        <w:ind w:left="20"/>
        <w:spacing w:after="0"/>
        <w:tabs>
          <w:tab w:leader="none" w:pos="2740" w:val="left"/>
        </w:tabs>
        <w:rPr>
          <w:sz w:val="20"/>
          <w:szCs w:val="20"/>
          <w:color w:val="auto"/>
        </w:rPr>
      </w:pPr>
      <w:r>
        <w:rPr>
          <w:rFonts w:ascii="Times New Roman" w:cs="Times New Roman" w:eastAsia="Times New Roman" w:hAnsi="Times New Roman"/>
          <w:sz w:val="18"/>
          <w:szCs w:val="18"/>
          <w:color w:val="auto"/>
        </w:rPr>
        <w:t>Reza Kasnavi</w:t>
      </w:r>
      <w:r>
        <w:rPr>
          <w:sz w:val="20"/>
          <w:szCs w:val="20"/>
          <w:color w:val="auto"/>
        </w:rPr>
        <w:tab/>
      </w:r>
      <w:r>
        <w:rPr>
          <w:rFonts w:ascii="Times New Roman" w:cs="Times New Roman" w:eastAsia="Times New Roman" w:hAnsi="Times New Roman"/>
          <w:sz w:val="17"/>
          <w:szCs w:val="17"/>
          <w:color w:val="auto"/>
        </w:rPr>
        <w:t>Senior Vice President, Technology and Manufacturing</w:t>
      </w:r>
    </w:p>
    <w:p>
      <w:pPr>
        <w:spacing w:after="0" w:line="23" w:lineRule="exact"/>
        <w:rPr>
          <w:sz w:val="20"/>
          <w:szCs w:val="20"/>
          <w:color w:val="auto"/>
        </w:rPr>
      </w:pPr>
    </w:p>
    <w:p>
      <w:pPr>
        <w:ind w:left="20"/>
        <w:spacing w:after="0"/>
        <w:tabs>
          <w:tab w:leader="none" w:pos="2740" w:val="left"/>
        </w:tabs>
        <w:rPr>
          <w:sz w:val="20"/>
          <w:szCs w:val="20"/>
          <w:color w:val="auto"/>
        </w:rPr>
      </w:pPr>
      <w:r>
        <w:rPr>
          <w:rFonts w:ascii="Times New Roman" w:cs="Times New Roman" w:eastAsia="Times New Roman" w:hAnsi="Times New Roman"/>
          <w:sz w:val="18"/>
          <w:szCs w:val="18"/>
          <w:color w:val="auto"/>
        </w:rPr>
        <w:t>Kris Sennesael</w:t>
      </w:r>
      <w:r>
        <w:rPr>
          <w:sz w:val="20"/>
          <w:szCs w:val="20"/>
          <w:color w:val="auto"/>
        </w:rPr>
        <w:tab/>
      </w:r>
      <w:r>
        <w:rPr>
          <w:rFonts w:ascii="Times New Roman" w:cs="Times New Roman" w:eastAsia="Times New Roman" w:hAnsi="Times New Roman"/>
          <w:sz w:val="17"/>
          <w:szCs w:val="17"/>
          <w:color w:val="auto"/>
        </w:rPr>
        <w:t>Senior Vice President and Chief Financial Officer</w:t>
      </w:r>
    </w:p>
    <w:p>
      <w:pPr>
        <w:spacing w:after="0" w:line="23" w:lineRule="exact"/>
        <w:rPr>
          <w:sz w:val="20"/>
          <w:szCs w:val="20"/>
          <w:color w:val="auto"/>
        </w:rPr>
      </w:pPr>
    </w:p>
    <w:p>
      <w:pPr>
        <w:ind w:left="20"/>
        <w:spacing w:after="0"/>
        <w:tabs>
          <w:tab w:leader="none" w:pos="2740" w:val="left"/>
        </w:tabs>
        <w:rPr>
          <w:sz w:val="20"/>
          <w:szCs w:val="20"/>
          <w:color w:val="auto"/>
        </w:rPr>
      </w:pPr>
      <w:r>
        <w:rPr>
          <w:rFonts w:ascii="Times New Roman" w:cs="Times New Roman" w:eastAsia="Times New Roman" w:hAnsi="Times New Roman"/>
          <w:sz w:val="18"/>
          <w:szCs w:val="18"/>
          <w:color w:val="auto"/>
        </w:rPr>
        <w:t>Robert J. Terry</w:t>
      </w:r>
      <w:r>
        <w:rPr>
          <w:sz w:val="20"/>
          <w:szCs w:val="20"/>
          <w:color w:val="auto"/>
        </w:rPr>
        <w:tab/>
      </w:r>
      <w:r>
        <w:rPr>
          <w:rFonts w:ascii="Times New Roman" w:cs="Times New Roman" w:eastAsia="Times New Roman" w:hAnsi="Times New Roman"/>
          <w:sz w:val="17"/>
          <w:szCs w:val="17"/>
          <w:color w:val="auto"/>
        </w:rPr>
        <w:t>Senior Vice President, General Counsel and Secretary</w:t>
      </w:r>
    </w:p>
    <w:p>
      <w:pPr>
        <w:sectPr>
          <w:pgSz w:w="11900" w:h="16838" w:orient="portrait"/>
          <w:cols w:equalWidth="0" w:num="1">
            <w:col w:w="11240"/>
          </w:cols>
          <w:pgMar w:left="320" w:top="900" w:right="339" w:bottom="1440" w:gutter="0" w:footer="0" w:header="0"/>
        </w:sectPr>
      </w:pPr>
    </w:p>
    <w:p>
      <w:pPr>
        <w:spacing w:after="0" w:line="3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p>
      <w:pPr>
        <w:spacing w:after="0" w:line="360" w:lineRule="exact"/>
        <w:rPr>
          <w:sz w:val="20"/>
          <w:szCs w:val="20"/>
          <w:color w:val="auto"/>
        </w:rPr>
      </w:pPr>
    </w:p>
    <w:p>
      <w:pPr>
        <w:jc w:val="both"/>
        <w:ind w:left="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Liam K. Griffin</w:t>
      </w:r>
      <w:r>
        <w:rPr>
          <w:rFonts w:ascii="Times New Roman" w:cs="Times New Roman" w:eastAsia="Times New Roman" w:hAnsi="Times New Roman"/>
          <w:sz w:val="18"/>
          <w:szCs w:val="18"/>
          <w:color w:val="auto"/>
        </w:rPr>
        <w:t>, age 58, is Chairman, Chief Executive Officer and President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Prior to his appointment as Chairman of the Board in May 2021, Mr. Griffin had served as Chief Executive Officer and a director since May 2016 and as President since May 2014. He served as Executive Vice President and Corporate General Manager from November 2012 to May 2014, Executive Vice President and General Manager, High Performance Analog from May 2011 to November 2012, and Senior Vice President, Sales and Marketing from August 2001 to May 2011. Previously, Mr. Griffin was employed by Vectron International, a division of Dover Corp., as Vice President of Worldwide Sales from 1997 to 2001 and as Vice President of North American Sales from 1995 to 1997.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Public Company Boards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w:t>
      </w:r>
    </w:p>
    <w:p>
      <w:pPr>
        <w:spacing w:after="0" w:line="162" w:lineRule="exact"/>
        <w:rPr>
          <w:sz w:val="20"/>
          <w:szCs w:val="20"/>
          <w:color w:val="auto"/>
        </w:rPr>
      </w:pPr>
    </w:p>
    <w:p>
      <w:pPr>
        <w:ind w:left="640" w:hanging="324"/>
        <w:spacing w:after="0"/>
        <w:tabs>
          <w:tab w:leader="none" w:pos="6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None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Past 5 Years</w:t>
      </w:r>
    </w:p>
    <w:p>
      <w:pPr>
        <w:spacing w:after="0" w:line="162" w:lineRule="exact"/>
        <w:rPr>
          <w:sz w:val="20"/>
          <w:szCs w:val="20"/>
          <w:color w:val="auto"/>
        </w:rPr>
      </w:pPr>
    </w:p>
    <w:p>
      <w:pPr>
        <w:ind w:left="640" w:hanging="324"/>
        <w:spacing w:after="0"/>
        <w:tabs>
          <w:tab w:leader="none" w:pos="64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National Instruments Corporation (until 2023)</w:t>
      </w:r>
    </w:p>
    <w:p>
      <w:pPr>
        <w:spacing w:after="0" w:line="984" w:lineRule="exact"/>
        <w:rPr>
          <w:sz w:val="20"/>
          <w:szCs w:val="20"/>
          <w:color w:val="auto"/>
        </w:rPr>
      </w:pPr>
    </w:p>
    <w:p>
      <w:pPr>
        <w:sectPr>
          <w:pgSz w:w="11900" w:h="16838" w:orient="portrait"/>
          <w:cols w:equalWidth="0" w:num="2">
            <w:col w:w="6320" w:space="140"/>
            <w:col w:w="4780"/>
          </w:cols>
          <w:pgMar w:left="320" w:top="900" w:right="339" w:bottom="1440" w:gutter="0" w:footer="0" w:header="0"/>
          <w:type w:val="continuous"/>
        </w:sectPr>
      </w:pPr>
    </w:p>
    <w:p>
      <w:pPr>
        <w:spacing w:after="0" w:line="166"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8"/>
          <w:szCs w:val="18"/>
          <w:b w:val="1"/>
          <w:bCs w:val="1"/>
          <w:color w:val="191919"/>
        </w:rPr>
        <w:t xml:space="preserve">Qualifications: </w:t>
      </w:r>
      <w:r>
        <w:rPr>
          <w:rFonts w:ascii="Times New Roman" w:cs="Times New Roman" w:eastAsia="Times New Roman" w:hAnsi="Times New Roman"/>
          <w:sz w:val="18"/>
          <w:szCs w:val="18"/>
          <w:color w:val="191919"/>
        </w:rPr>
        <w:t>We believe that Mr. Griffin’s qualifications to serve as a director include his strong relationships with Skyworks’ key customers, investors,</w:t>
      </w:r>
      <w:r>
        <w:rPr>
          <w:rFonts w:ascii="Times New Roman" w:cs="Times New Roman" w:eastAsia="Times New Roman" w:hAnsi="Times New Roman"/>
          <w:sz w:val="18"/>
          <w:szCs w:val="18"/>
          <w:b w:val="1"/>
          <w:bCs w:val="1"/>
          <w:color w:val="191919"/>
        </w:rPr>
        <w:t xml:space="preserve"> </w:t>
      </w:r>
      <w:r>
        <w:rPr>
          <w:rFonts w:ascii="Times New Roman" w:cs="Times New Roman" w:eastAsia="Times New Roman" w:hAnsi="Times New Roman"/>
          <w:sz w:val="18"/>
          <w:szCs w:val="18"/>
          <w:color w:val="191919"/>
        </w:rPr>
        <w:t>employees, and other stakeholders, as well as his deep understanding of the semiconductor industry and its competitive landscape gained through serving in several different executive positions at Skyworks over the past two decades.</w:t>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3" w:name="page4"/>
    <w:bookmarkEnd w:id="3"/>
    <w:p>
      <w:pPr>
        <w:jc w:val="both"/>
        <w:ind w:left="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Christine King</w:t>
      </w:r>
      <w:r>
        <w:rPr>
          <w:rFonts w:ascii="Times New Roman" w:cs="Times New Roman" w:eastAsia="Times New Roman" w:hAnsi="Times New Roman"/>
          <w:sz w:val="18"/>
          <w:szCs w:val="18"/>
          <w:color w:val="auto"/>
        </w:rPr>
        <w:t>, age 75, has been a director since 2014 and Lead Independent Director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2019. Ms. King served as Executive Chairman of QLogic Corporation (a publicly traded developer of high performance server and storage networking connectivity products) from August 2015 until August 2016, when it was acquired by Cavium, Inc. Previously, she served as Chief Executive Officer of Standard Microsystems Corporation (“Standard Microsystems”) (a publicly traded developer of silicon-based integrated circuits utilizing analog and mixed-signal technologies) from 2008 until the company’s acquisition in 2012 by Microchip Technology, Inc. Prior to Standard Microsystems, Ms. King was Chief Executive Officer of AMI Semiconductor, Inc., a publicly traded company, from 2001 until it was acquired by ON Semiconductor Corp. in 2008.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Public Company Boards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w:t>
      </w:r>
    </w:p>
    <w:p>
      <w:pPr>
        <w:spacing w:after="0" w:line="148" w:lineRule="exact"/>
        <w:rPr>
          <w:sz w:val="20"/>
          <w:szCs w:val="20"/>
          <w:color w:val="auto"/>
        </w:rPr>
      </w:pPr>
    </w:p>
    <w:p>
      <w:pPr>
        <w:ind w:left="640" w:hanging="324"/>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Past 5 Years</w:t>
      </w:r>
    </w:p>
    <w:p>
      <w:pPr>
        <w:spacing w:after="0" w:line="148" w:lineRule="exact"/>
        <w:rPr>
          <w:sz w:val="20"/>
          <w:szCs w:val="20"/>
          <w:color w:val="auto"/>
        </w:rPr>
      </w:pPr>
    </w:p>
    <w:p>
      <w:pPr>
        <w:ind w:left="640" w:hanging="324"/>
        <w:spacing w:after="0"/>
        <w:tabs>
          <w:tab w:leader="none" w:pos="6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Allegro MicroSystems, Inc. (until 2021)</w:t>
      </w:r>
    </w:p>
    <w:p>
      <w:pPr>
        <w:spacing w:after="0" w:line="47" w:lineRule="exact"/>
        <w:rPr>
          <w:rFonts w:ascii="Times New Roman" w:cs="Times New Roman" w:eastAsia="Times New Roman" w:hAnsi="Times New Roman"/>
          <w:sz w:val="17"/>
          <w:szCs w:val="17"/>
          <w:color w:val="auto"/>
        </w:rPr>
      </w:pPr>
    </w:p>
    <w:p>
      <w:pPr>
        <w:ind w:left="640" w:hanging="324"/>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IDACORP, Inc. (until 2021)</w:t>
      </w:r>
    </w:p>
    <w:p>
      <w:pPr>
        <w:spacing w:after="0" w:line="971" w:lineRule="exact"/>
        <w:rPr>
          <w:sz w:val="20"/>
          <w:szCs w:val="20"/>
          <w:color w:val="auto"/>
        </w:rPr>
      </w:pPr>
    </w:p>
    <w:p>
      <w:pPr>
        <w:sectPr>
          <w:pgSz w:w="11900" w:h="16838" w:orient="portrait"/>
          <w:cols w:equalWidth="0" w:num="2">
            <w:col w:w="6320" w:space="140"/>
            <w:col w:w="4780"/>
          </w:cols>
          <w:pgMar w:left="320" w:top="1008" w:right="339" w:bottom="1440" w:gutter="0" w:footer="0" w:header="0"/>
        </w:sectPr>
      </w:pPr>
    </w:p>
    <w:p>
      <w:pPr>
        <w:spacing w:after="0" w:line="154" w:lineRule="exact"/>
        <w:rPr>
          <w:sz w:val="20"/>
          <w:szCs w:val="20"/>
          <w:color w:val="auto"/>
        </w:rPr>
      </w:pPr>
    </w:p>
    <w:p>
      <w:pPr>
        <w:ind w:right="20"/>
        <w:spacing w:after="0" w:line="333" w:lineRule="auto"/>
        <w:rPr>
          <w:sz w:val="20"/>
          <w:szCs w:val="20"/>
          <w:color w:val="auto"/>
        </w:rPr>
      </w:pPr>
      <w:r>
        <w:rPr>
          <w:rFonts w:ascii="Times New Roman" w:cs="Times New Roman" w:eastAsia="Times New Roman" w:hAnsi="Times New Roman"/>
          <w:sz w:val="18"/>
          <w:szCs w:val="18"/>
          <w:b w:val="1"/>
          <w:bCs w:val="1"/>
          <w:color w:val="191919"/>
        </w:rPr>
        <w:t xml:space="preserve">Qualifications: </w:t>
      </w:r>
      <w:r>
        <w:rPr>
          <w:rFonts w:ascii="Times New Roman" w:cs="Times New Roman" w:eastAsia="Times New Roman" w:hAnsi="Times New Roman"/>
          <w:sz w:val="18"/>
          <w:szCs w:val="18"/>
          <w:color w:val="191919"/>
        </w:rPr>
        <w:t>We believe that Ms. King’s qualifications to serve as a director include her extensive management and operational experience in the high-tech and semiconductor industries as well as her significant strategic and financial expertise.</w:t>
      </w:r>
    </w:p>
    <w:p>
      <w:pPr>
        <w:sectPr>
          <w:pgSz w:w="11900" w:h="16838" w:orient="portrait"/>
          <w:cols w:equalWidth="0" w:num="1">
            <w:col w:w="11240"/>
          </w:cols>
          <w:pgMar w:left="320" w:top="1008" w:right="339" w:bottom="1440" w:gutter="0" w:footer="0" w:header="0"/>
          <w:type w:val="continuous"/>
        </w:sectPr>
      </w:pPr>
    </w:p>
    <w:p>
      <w:pPr>
        <w:spacing w:after="0" w:line="276"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Alan S. Batey</w:t>
      </w:r>
      <w:r>
        <w:rPr>
          <w:rFonts w:ascii="Times New Roman" w:cs="Times New Roman" w:eastAsia="Times New Roman" w:hAnsi="Times New Roman"/>
          <w:sz w:val="18"/>
          <w:szCs w:val="18"/>
          <w:color w:val="auto"/>
        </w:rPr>
        <w:t>, age 61, has been a director since 2019. Mr. Batey served as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Vice President and President of North America for General Motors Company (a publicly traded automotive manufacturer), as well as the Global Brand Chief for Chevrolet, a division of General Motors Company, from 2014 until 2019. His career spans more than 39 years with General Motors where he held various senior management positions in operations, marketing, and sales around the world.</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Public Company Boards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w:t>
      </w:r>
    </w:p>
    <w:p>
      <w:pPr>
        <w:spacing w:after="0" w:line="162" w:lineRule="exact"/>
        <w:rPr>
          <w:sz w:val="20"/>
          <w:szCs w:val="20"/>
          <w:color w:val="auto"/>
        </w:rPr>
      </w:pPr>
    </w:p>
    <w:p>
      <w:pPr>
        <w:ind w:left="640" w:hanging="324"/>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Past 5 Years</w:t>
      </w:r>
    </w:p>
    <w:p>
      <w:pPr>
        <w:spacing w:after="0" w:line="162" w:lineRule="exact"/>
        <w:rPr>
          <w:sz w:val="20"/>
          <w:szCs w:val="20"/>
          <w:color w:val="auto"/>
        </w:rPr>
      </w:pPr>
    </w:p>
    <w:p>
      <w:pPr>
        <w:ind w:left="640" w:hanging="324"/>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ectPr>
          <w:pgSz w:w="11900" w:h="16838" w:orient="portrait"/>
          <w:cols w:equalWidth="0" w:num="2">
            <w:col w:w="6320" w:space="140"/>
            <w:col w:w="4780"/>
          </w:cols>
          <w:pgMar w:left="320" w:top="1008" w:right="339" w:bottom="1440" w:gutter="0" w:footer="0" w:header="0"/>
          <w:type w:val="continuous"/>
        </w:sectPr>
      </w:pPr>
    </w:p>
    <w:p>
      <w:pPr>
        <w:spacing w:after="0" w:line="197"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8"/>
          <w:szCs w:val="18"/>
          <w:b w:val="1"/>
          <w:bCs w:val="1"/>
          <w:color w:val="191919"/>
        </w:rPr>
        <w:t xml:space="preserve">Qualifications: </w:t>
      </w:r>
      <w:r>
        <w:rPr>
          <w:rFonts w:ascii="Times New Roman" w:cs="Times New Roman" w:eastAsia="Times New Roman" w:hAnsi="Times New Roman"/>
          <w:sz w:val="18"/>
          <w:szCs w:val="18"/>
          <w:color w:val="191919"/>
        </w:rPr>
        <w:t>We believe that Mr. Batey’s qualifications to serve as a director include his extensive senior management experience at General Motors,</w:t>
      </w:r>
      <w:r>
        <w:rPr>
          <w:rFonts w:ascii="Times New Roman" w:cs="Times New Roman" w:eastAsia="Times New Roman" w:hAnsi="Times New Roman"/>
          <w:sz w:val="18"/>
          <w:szCs w:val="18"/>
          <w:b w:val="1"/>
          <w:bCs w:val="1"/>
          <w:color w:val="191919"/>
        </w:rPr>
        <w:t xml:space="preserve"> </w:t>
      </w:r>
      <w:r>
        <w:rPr>
          <w:rFonts w:ascii="Times New Roman" w:cs="Times New Roman" w:eastAsia="Times New Roman" w:hAnsi="Times New Roman"/>
          <w:sz w:val="18"/>
          <w:szCs w:val="18"/>
          <w:color w:val="191919"/>
        </w:rPr>
        <w:t>where he developed expertise on a broad set of complex strategic, operational, and technological matters involving the automotive industry, an industry that is expected to be a growth market for the Company.</w:t>
      </w:r>
    </w:p>
    <w:p>
      <w:pPr>
        <w:sectPr>
          <w:pgSz w:w="11900" w:h="16838" w:orient="portrait"/>
          <w:cols w:equalWidth="0" w:num="1">
            <w:col w:w="11240"/>
          </w:cols>
          <w:pgMar w:left="320" w:top="1008" w:right="339" w:bottom="1440" w:gutter="0" w:footer="0" w:header="0"/>
          <w:type w:val="continuous"/>
        </w:sectPr>
      </w:pPr>
    </w:p>
    <w:p>
      <w:pPr>
        <w:spacing w:after="0" w:line="299"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Kevin L. Beebe</w:t>
      </w:r>
      <w:r>
        <w:rPr>
          <w:rFonts w:ascii="Times New Roman" w:cs="Times New Roman" w:eastAsia="Times New Roman" w:hAnsi="Times New Roman"/>
          <w:sz w:val="18"/>
          <w:szCs w:val="18"/>
          <w:color w:val="auto"/>
        </w:rPr>
        <w:t>, age 65, has been a director since 2004. He has been President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Executive Officer of 2BPartners, LLC (a partnership that provides strategic, financial, and operational advice to private equity investors and management) since 2007. In 2014, Mr. Beebe became a founding partner of Astra Capital Management (a private equity firm based in Washington, D.C.). Previously, beginning in 1998, he was Group President of Operations at ALLTEL Corporation (a telecommunications services company).</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Public Company Boards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w:t>
      </w:r>
    </w:p>
    <w:p>
      <w:pPr>
        <w:spacing w:after="0" w:line="148" w:lineRule="exact"/>
        <w:rPr>
          <w:sz w:val="20"/>
          <w:szCs w:val="20"/>
          <w:color w:val="auto"/>
        </w:rPr>
      </w:pPr>
    </w:p>
    <w:p>
      <w:pPr>
        <w:ind w:left="640" w:hanging="324"/>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SBA Communications Corporation</w:t>
      </w:r>
    </w:p>
    <w:p>
      <w:pPr>
        <w:spacing w:after="0" w:line="49" w:lineRule="exact"/>
        <w:rPr>
          <w:rFonts w:ascii="Times New Roman" w:cs="Times New Roman" w:eastAsia="Times New Roman" w:hAnsi="Times New Roman"/>
          <w:sz w:val="18"/>
          <w:szCs w:val="18"/>
          <w:color w:val="auto"/>
        </w:rPr>
      </w:pPr>
    </w:p>
    <w:p>
      <w:pPr>
        <w:ind w:left="640" w:right="60" w:hanging="324"/>
        <w:spacing w:after="0" w:line="305"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Frontier Communications Parent, Inc. (formerly Frontier Communications Corporation), Lead Independent Director</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Past 5 Years</w:t>
      </w:r>
    </w:p>
    <w:p>
      <w:pPr>
        <w:spacing w:after="0" w:line="162" w:lineRule="exact"/>
        <w:rPr>
          <w:sz w:val="20"/>
          <w:szCs w:val="20"/>
          <w:color w:val="auto"/>
        </w:rPr>
      </w:pPr>
    </w:p>
    <w:p>
      <w:pPr>
        <w:ind w:left="640" w:right="1780" w:hanging="324"/>
        <w:spacing w:after="0" w:line="268"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Altimar Acquisition Corporation (until 2021)</w:t>
      </w:r>
    </w:p>
    <w:p>
      <w:pPr>
        <w:spacing w:after="0" w:line="1"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Altimar Acquisition Corp. II (until 2021)</w:t>
      </w:r>
    </w:p>
    <w:p>
      <w:pPr>
        <w:spacing w:after="0" w:line="200" w:lineRule="exact"/>
        <w:rPr>
          <w:sz w:val="20"/>
          <w:szCs w:val="20"/>
          <w:color w:val="auto"/>
        </w:rPr>
      </w:pPr>
    </w:p>
    <w:p>
      <w:pPr>
        <w:sectPr>
          <w:pgSz w:w="11900" w:h="16838" w:orient="portrait"/>
          <w:cols w:equalWidth="0" w:num="2">
            <w:col w:w="6320" w:space="140"/>
            <w:col w:w="4780"/>
          </w:cols>
          <w:pgMar w:left="320" w:top="1008" w:right="339" w:bottom="1440" w:gutter="0" w:footer="0" w:header="0"/>
          <w:type w:val="continuous"/>
        </w:sect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259080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type w:val="continuous"/>
        </w:sectPr>
      </w:pPr>
    </w:p>
    <w:bookmarkStart w:id="4" w:name="page5"/>
    <w:bookmarkEnd w:id="4"/>
    <w:p>
      <w:pPr>
        <w:jc w:val="both"/>
        <w:spacing w:after="0" w:line="307" w:lineRule="auto"/>
        <w:rPr>
          <w:sz w:val="20"/>
          <w:szCs w:val="20"/>
          <w:color w:val="auto"/>
        </w:rPr>
      </w:pPr>
      <w:r>
        <w:rPr>
          <w:rFonts w:ascii="Times New Roman" w:cs="Times New Roman" w:eastAsia="Times New Roman" w:hAnsi="Times New Roman"/>
          <w:sz w:val="18"/>
          <w:szCs w:val="18"/>
          <w:b w:val="1"/>
          <w:bCs w:val="1"/>
          <w:color w:val="191919"/>
        </w:rPr>
        <w:t xml:space="preserve">Qualifications: </w:t>
      </w:r>
      <w:r>
        <w:rPr>
          <w:rFonts w:ascii="Times New Roman" w:cs="Times New Roman" w:eastAsia="Times New Roman" w:hAnsi="Times New Roman"/>
          <w:sz w:val="18"/>
          <w:szCs w:val="18"/>
          <w:color w:val="191919"/>
        </w:rPr>
        <w:t>We believe that Mr. Beebe’s qualifications to serve as a director include his two decades of experience as an operating executive in the</w:t>
      </w:r>
      <w:r>
        <w:rPr>
          <w:rFonts w:ascii="Times New Roman" w:cs="Times New Roman" w:eastAsia="Times New Roman" w:hAnsi="Times New Roman"/>
          <w:sz w:val="18"/>
          <w:szCs w:val="18"/>
          <w:b w:val="1"/>
          <w:bCs w:val="1"/>
          <w:color w:val="191919"/>
        </w:rPr>
        <w:t xml:space="preserve"> </w:t>
      </w:r>
      <w:r>
        <w:rPr>
          <w:rFonts w:ascii="Times New Roman" w:cs="Times New Roman" w:eastAsia="Times New Roman" w:hAnsi="Times New Roman"/>
          <w:sz w:val="18"/>
          <w:szCs w:val="18"/>
          <w:color w:val="191919"/>
        </w:rPr>
        <w:t>wireless telecommunications industry as well as his experience and relationships gained from advising leading private equity firms that are transacting business in the global capital markets.</w:t>
      </w:r>
    </w:p>
    <w:p>
      <w:pPr>
        <w:sectPr>
          <w:pgSz w:w="11900" w:h="16838" w:orient="portrait"/>
          <w:cols w:equalWidth="0" w:num="1">
            <w:col w:w="11240"/>
          </w:cols>
          <w:pgMar w:left="320" w:top="914" w:right="339" w:bottom="1440" w:gutter="0" w:footer="0" w:header="0"/>
        </w:sectPr>
      </w:pPr>
    </w:p>
    <w:p>
      <w:pPr>
        <w:spacing w:after="0" w:line="299" w:lineRule="exact"/>
        <w:rPr>
          <w:sz w:val="20"/>
          <w:szCs w:val="20"/>
          <w:color w:val="auto"/>
        </w:rPr>
      </w:pPr>
    </w:p>
    <w:p>
      <w:pPr>
        <w:jc w:val="both"/>
        <w:ind w:left="20"/>
        <w:spacing w:after="0" w:line="29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Eric J. Guerin, </w:t>
      </w:r>
      <w:r>
        <w:rPr>
          <w:rFonts w:ascii="Times New Roman" w:cs="Times New Roman" w:eastAsia="Times New Roman" w:hAnsi="Times New Roman"/>
          <w:sz w:val="18"/>
          <w:szCs w:val="18"/>
          <w:color w:val="auto"/>
        </w:rPr>
        <w:t>age 53, has been a director since 2022. He currently serves as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Officer of RB Global (a publicly traded provider of insights, services and transaction solutions for buyers and sellers of commercial assets and vehicles), a role he has held since January 2024. Previously, Mr. Guerin served as Senior Vice President and Chief Financial Officer of Veritiv Corporation (a formerly publicly traded provider of packaging and hygiene products), from March 2023 to December 2023 and its Senior Vice President-Finance from January 2023 to March 2023. Prior to that, he served as Executive Vice President and Chief Financial Officer of CDK Global Inc. (a formerly publicly traded provider of integrated technology solutions to the automotive industry) from 2021 to 2022. From 2016 to 2021, he served as Division Vice President and sector Chief Financial Officer at Corning Glass Technologies, a division of Corning, Inc. Previously, he served in financial leadership roles with Flowserve Corporation, Novartis Corporation, Johnson &amp; Johnson Services Inc., and AstraZeneca PLC.</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Public Company Boards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w:t>
      </w:r>
    </w:p>
    <w:p>
      <w:pPr>
        <w:spacing w:after="0" w:line="162" w:lineRule="exact"/>
        <w:rPr>
          <w:sz w:val="20"/>
          <w:szCs w:val="20"/>
          <w:color w:val="auto"/>
        </w:rPr>
      </w:pPr>
    </w:p>
    <w:p>
      <w:pPr>
        <w:ind w:left="640" w:hanging="324"/>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Past 5 Years</w:t>
      </w:r>
    </w:p>
    <w:p>
      <w:pPr>
        <w:spacing w:after="0" w:line="162" w:lineRule="exact"/>
        <w:rPr>
          <w:sz w:val="20"/>
          <w:szCs w:val="20"/>
          <w:color w:val="auto"/>
        </w:rPr>
      </w:pPr>
    </w:p>
    <w:p>
      <w:pPr>
        <w:ind w:left="640" w:hanging="324"/>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Natus Medical Incorporated (until 2022)</w:t>
      </w:r>
    </w:p>
    <w:p>
      <w:pPr>
        <w:spacing w:after="0" w:line="2083" w:lineRule="exact"/>
        <w:rPr>
          <w:sz w:val="20"/>
          <w:szCs w:val="20"/>
          <w:color w:val="auto"/>
        </w:rPr>
      </w:pPr>
    </w:p>
    <w:p>
      <w:pPr>
        <w:sectPr>
          <w:pgSz w:w="11900" w:h="16838" w:orient="portrait"/>
          <w:cols w:equalWidth="0" w:num="2">
            <w:col w:w="6320" w:space="140"/>
            <w:col w:w="4780"/>
          </w:cols>
          <w:pgMar w:left="320" w:top="914" w:right="339" w:bottom="1440" w:gutter="0" w:footer="0" w:header="0"/>
          <w:type w:val="continuous"/>
        </w:sectPr>
      </w:pPr>
    </w:p>
    <w:p>
      <w:pPr>
        <w:spacing w:after="0" w:line="162" w:lineRule="exact"/>
        <w:rPr>
          <w:sz w:val="20"/>
          <w:szCs w:val="20"/>
          <w:color w:val="auto"/>
        </w:rPr>
      </w:pPr>
    </w:p>
    <w:p>
      <w:pPr>
        <w:spacing w:after="0" w:line="318" w:lineRule="auto"/>
        <w:rPr>
          <w:sz w:val="20"/>
          <w:szCs w:val="20"/>
          <w:color w:val="auto"/>
        </w:rPr>
      </w:pPr>
      <w:r>
        <w:rPr>
          <w:rFonts w:ascii="Times New Roman" w:cs="Times New Roman" w:eastAsia="Times New Roman" w:hAnsi="Times New Roman"/>
          <w:sz w:val="18"/>
          <w:szCs w:val="18"/>
          <w:b w:val="1"/>
          <w:bCs w:val="1"/>
          <w:color w:val="191919"/>
        </w:rPr>
        <w:t xml:space="preserve">Qualifications: </w:t>
      </w:r>
      <w:r>
        <w:rPr>
          <w:rFonts w:ascii="Times New Roman" w:cs="Times New Roman" w:eastAsia="Times New Roman" w:hAnsi="Times New Roman"/>
          <w:sz w:val="18"/>
          <w:szCs w:val="18"/>
          <w:color w:val="191919"/>
        </w:rPr>
        <w:t>We believe that Mr. Guerin’s qualifications to serve as a director include his financial and operational expertise, together with his extensive</w:t>
      </w:r>
      <w:r>
        <w:rPr>
          <w:rFonts w:ascii="Times New Roman" w:cs="Times New Roman" w:eastAsia="Times New Roman" w:hAnsi="Times New Roman"/>
          <w:sz w:val="18"/>
          <w:szCs w:val="18"/>
          <w:b w:val="1"/>
          <w:bCs w:val="1"/>
          <w:color w:val="191919"/>
        </w:rPr>
        <w:t xml:space="preserve"> </w:t>
      </w:r>
      <w:r>
        <w:rPr>
          <w:rFonts w:ascii="Times New Roman" w:cs="Times New Roman" w:eastAsia="Times New Roman" w:hAnsi="Times New Roman"/>
          <w:sz w:val="18"/>
          <w:szCs w:val="18"/>
          <w:color w:val="191919"/>
        </w:rPr>
        <w:t>engagements within Asia-Pacific markets.</w:t>
      </w:r>
    </w:p>
    <w:p>
      <w:pPr>
        <w:sectPr>
          <w:pgSz w:w="11900" w:h="16838" w:orient="portrait"/>
          <w:cols w:equalWidth="0" w:num="1">
            <w:col w:w="11240"/>
          </w:cols>
          <w:pgMar w:left="320" w:top="914" w:right="339" w:bottom="1440" w:gutter="0" w:footer="0" w:header="0"/>
          <w:type w:val="continuous"/>
        </w:sectPr>
      </w:pPr>
    </w:p>
    <w:p>
      <w:pPr>
        <w:spacing w:after="0" w:line="288"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Suzanne E. McBride</w:t>
      </w:r>
      <w:r>
        <w:rPr>
          <w:rFonts w:ascii="Times New Roman" w:cs="Times New Roman" w:eastAsia="Times New Roman" w:hAnsi="Times New Roman"/>
          <w:sz w:val="18"/>
          <w:szCs w:val="18"/>
          <w:color w:val="auto"/>
        </w:rPr>
        <w:t>, age 56, has been a director since 2022. Ms. McBride serves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Operations Officer for Iridium Communications Inc. (“Iridium”) (a publicly traded operator of a global satellite communications network). Prior to rejoining Iridium in February 2019, where she had previously served from 2007 to 2016 in various leadership roles, Ms. McBride served from June 2016 to January 2019 as Senior Vice President and Chief Operations Officer for OneWeb (a privately held company building a space-based global communications network that filed a voluntary petition for Chapter 11 bankruptcy protection on March 27, 2020). Earlier in her career, she held a series of increasingly senior positions in technology and operations with Motorola Solutions, Inc. (a publicly traded telecommunications company) and General Dynamics Corporation (a publicly traded aerospace and defense company).</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Public Company Boards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w:t>
      </w:r>
    </w:p>
    <w:p>
      <w:pPr>
        <w:spacing w:after="0" w:line="162" w:lineRule="exact"/>
        <w:rPr>
          <w:sz w:val="20"/>
          <w:szCs w:val="20"/>
          <w:color w:val="auto"/>
        </w:rPr>
      </w:pPr>
    </w:p>
    <w:p>
      <w:pPr>
        <w:ind w:left="640" w:hanging="324"/>
        <w:spacing w:after="0"/>
        <w:tabs>
          <w:tab w:leader="none" w:pos="6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Iridium Communications Inc.</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Past 5 Years</w:t>
      </w:r>
    </w:p>
    <w:p>
      <w:pPr>
        <w:spacing w:after="0" w:line="162" w:lineRule="exact"/>
        <w:rPr>
          <w:sz w:val="20"/>
          <w:szCs w:val="20"/>
          <w:color w:val="auto"/>
        </w:rPr>
      </w:pPr>
    </w:p>
    <w:p>
      <w:pPr>
        <w:ind w:left="640" w:hanging="324"/>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219" w:lineRule="exact"/>
        <w:rPr>
          <w:sz w:val="20"/>
          <w:szCs w:val="20"/>
          <w:color w:val="auto"/>
        </w:rPr>
      </w:pPr>
    </w:p>
    <w:p>
      <w:pPr>
        <w:sectPr>
          <w:pgSz w:w="11900" w:h="16838" w:orient="portrait"/>
          <w:cols w:equalWidth="0" w:num="2">
            <w:col w:w="6320" w:space="140"/>
            <w:col w:w="4780"/>
          </w:cols>
          <w:pgMar w:left="320" w:top="914" w:right="339" w:bottom="1440" w:gutter="0" w:footer="0" w:header="0"/>
          <w:type w:val="continuous"/>
        </w:sectPr>
      </w:pPr>
    </w:p>
    <w:p>
      <w:pPr>
        <w:spacing w:after="0" w:line="149" w:lineRule="exact"/>
        <w:rPr>
          <w:sz w:val="20"/>
          <w:szCs w:val="20"/>
          <w:color w:val="auto"/>
        </w:rPr>
      </w:pPr>
    </w:p>
    <w:p>
      <w:pPr>
        <w:ind w:right="20"/>
        <w:spacing w:after="0" w:line="318" w:lineRule="auto"/>
        <w:rPr>
          <w:sz w:val="20"/>
          <w:szCs w:val="20"/>
          <w:color w:val="auto"/>
        </w:rPr>
      </w:pPr>
      <w:r>
        <w:rPr>
          <w:rFonts w:ascii="Times New Roman" w:cs="Times New Roman" w:eastAsia="Times New Roman" w:hAnsi="Times New Roman"/>
          <w:sz w:val="18"/>
          <w:szCs w:val="18"/>
          <w:b w:val="1"/>
          <w:bCs w:val="1"/>
          <w:color w:val="191919"/>
        </w:rPr>
        <w:t xml:space="preserve">Qualifications: </w:t>
      </w:r>
      <w:r>
        <w:rPr>
          <w:rFonts w:ascii="Times New Roman" w:cs="Times New Roman" w:eastAsia="Times New Roman" w:hAnsi="Times New Roman"/>
          <w:sz w:val="18"/>
          <w:szCs w:val="18"/>
          <w:color w:val="191919"/>
        </w:rPr>
        <w:t>We believe that Ms. McBride’s qualifications to serve as a director include her extensive strategy and operations expertise developed</w:t>
      </w:r>
      <w:r>
        <w:rPr>
          <w:rFonts w:ascii="Times New Roman" w:cs="Times New Roman" w:eastAsia="Times New Roman" w:hAnsi="Times New Roman"/>
          <w:sz w:val="18"/>
          <w:szCs w:val="18"/>
          <w:b w:val="1"/>
          <w:bCs w:val="1"/>
          <w:color w:val="191919"/>
        </w:rPr>
        <w:t xml:space="preserve"> </w:t>
      </w:r>
      <w:r>
        <w:rPr>
          <w:rFonts w:ascii="Times New Roman" w:cs="Times New Roman" w:eastAsia="Times New Roman" w:hAnsi="Times New Roman"/>
          <w:sz w:val="18"/>
          <w:szCs w:val="18"/>
          <w:color w:val="191919"/>
        </w:rPr>
        <w:t>through twenty-five years of experience within the wireless technology industry.</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type w:val="continuous"/>
        </w:sectPr>
      </w:pPr>
    </w:p>
    <w:bookmarkStart w:id="5" w:name="page6"/>
    <w:bookmarkEnd w:id="5"/>
    <w:p>
      <w:pPr>
        <w:jc w:val="both"/>
        <w:ind w:lef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David P. McGlade</w:t>
      </w:r>
      <w:r>
        <w:rPr>
          <w:rFonts w:ascii="Times New Roman" w:cs="Times New Roman" w:eastAsia="Times New Roman" w:hAnsi="Times New Roman"/>
          <w:sz w:val="18"/>
          <w:szCs w:val="18"/>
          <w:color w:val="auto"/>
        </w:rPr>
        <w:t>, age 64, has been a director since 2005. He served as Chairman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Board of Intelsat S.A. (“Intelsat”) (a formerly publicly traded worldwide provider of satellite communication services) from April 2013 to February 2022. Mr. McGlade served as Executive Chairman of Intelsat from April 2015 to March 2018, prior to which he served as Chairman and Chief Executive Officer. Mr. McGlade joined Intelsat in April 2005 and was the Deputy Chairman of Intelsat from August 2008 until April 2013. Previously, Mr. McGlade served as an Executive Director of mmO2 PLC and as the Chief Executive Officer of O2 UK (a subsidiary of mmO2), a position he held from October 2000 until March 2005.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Public Company Boards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w:t>
      </w:r>
    </w:p>
    <w:p>
      <w:pPr>
        <w:spacing w:after="0" w:line="148" w:lineRule="exact"/>
        <w:rPr>
          <w:sz w:val="20"/>
          <w:szCs w:val="20"/>
          <w:color w:val="auto"/>
        </w:rPr>
      </w:pPr>
    </w:p>
    <w:p>
      <w:pPr>
        <w:ind w:left="640" w:hanging="324"/>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Past 5 Years</w:t>
      </w:r>
    </w:p>
    <w:p>
      <w:pPr>
        <w:spacing w:after="0" w:line="148" w:lineRule="exact"/>
        <w:rPr>
          <w:sz w:val="20"/>
          <w:szCs w:val="20"/>
          <w:color w:val="auto"/>
        </w:rPr>
      </w:pPr>
    </w:p>
    <w:p>
      <w:pPr>
        <w:ind w:left="640" w:hanging="324"/>
        <w:spacing w:after="0"/>
        <w:tabs>
          <w:tab w:leader="none" w:pos="6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Intelsat S.A. (until 2022)</w:t>
      </w:r>
    </w:p>
    <w:p>
      <w:pPr>
        <w:spacing w:after="0" w:line="771" w:lineRule="exact"/>
        <w:rPr>
          <w:sz w:val="20"/>
          <w:szCs w:val="20"/>
          <w:color w:val="auto"/>
        </w:rPr>
      </w:pPr>
    </w:p>
    <w:p>
      <w:pPr>
        <w:sectPr>
          <w:pgSz w:w="11900" w:h="16838" w:orient="portrait"/>
          <w:cols w:equalWidth="0" w:num="2">
            <w:col w:w="6320" w:space="140"/>
            <w:col w:w="4780"/>
          </w:cols>
          <w:pgMar w:left="320" w:top="1008" w:right="339" w:bottom="1440" w:gutter="0" w:footer="0" w:header="0"/>
        </w:sectPr>
      </w:pPr>
    </w:p>
    <w:p>
      <w:pPr>
        <w:spacing w:after="0" w:line="149" w:lineRule="exact"/>
        <w:rPr>
          <w:sz w:val="20"/>
          <w:szCs w:val="20"/>
          <w:color w:val="auto"/>
        </w:rPr>
      </w:pPr>
    </w:p>
    <w:p>
      <w:pPr>
        <w:spacing w:after="0" w:line="333" w:lineRule="auto"/>
        <w:rPr>
          <w:sz w:val="20"/>
          <w:szCs w:val="20"/>
          <w:color w:val="auto"/>
        </w:rPr>
      </w:pPr>
      <w:r>
        <w:rPr>
          <w:rFonts w:ascii="Times New Roman" w:cs="Times New Roman" w:eastAsia="Times New Roman" w:hAnsi="Times New Roman"/>
          <w:sz w:val="18"/>
          <w:szCs w:val="18"/>
          <w:b w:val="1"/>
          <w:bCs w:val="1"/>
          <w:color w:val="191919"/>
        </w:rPr>
        <w:t xml:space="preserve">Qualifications: </w:t>
      </w:r>
      <w:r>
        <w:rPr>
          <w:rFonts w:ascii="Times New Roman" w:cs="Times New Roman" w:eastAsia="Times New Roman" w:hAnsi="Times New Roman"/>
          <w:sz w:val="18"/>
          <w:szCs w:val="18"/>
          <w:color w:val="191919"/>
        </w:rPr>
        <w:t>We believe that Mr. McGlade’s qualifications to serve as a director include his significant operational, strategic, and financial acumen, as</w:t>
      </w:r>
      <w:r>
        <w:rPr>
          <w:rFonts w:ascii="Times New Roman" w:cs="Times New Roman" w:eastAsia="Times New Roman" w:hAnsi="Times New Roman"/>
          <w:sz w:val="18"/>
          <w:szCs w:val="18"/>
          <w:b w:val="1"/>
          <w:bCs w:val="1"/>
          <w:color w:val="191919"/>
        </w:rPr>
        <w:t xml:space="preserve"> </w:t>
      </w:r>
      <w:r>
        <w:rPr>
          <w:rFonts w:ascii="Times New Roman" w:cs="Times New Roman" w:eastAsia="Times New Roman" w:hAnsi="Times New Roman"/>
          <w:sz w:val="18"/>
          <w:szCs w:val="18"/>
          <w:color w:val="191919"/>
        </w:rPr>
        <w:t>well as his knowledge about global capital markets, developed over nearly four decades of experience in the telecommunications business.</w:t>
      </w:r>
    </w:p>
    <w:p>
      <w:pPr>
        <w:sectPr>
          <w:pgSz w:w="11900" w:h="16838" w:orient="portrait"/>
          <w:cols w:equalWidth="0" w:num="1">
            <w:col w:w="11240"/>
          </w:cols>
          <w:pgMar w:left="320" w:top="1008" w:right="339" w:bottom="1440" w:gutter="0" w:footer="0" w:header="0"/>
          <w:type w:val="continuous"/>
        </w:sectPr>
      </w:pPr>
    </w:p>
    <w:p>
      <w:pPr>
        <w:spacing w:after="0" w:line="276" w:lineRule="exact"/>
        <w:rPr>
          <w:sz w:val="20"/>
          <w:szCs w:val="20"/>
          <w:color w:val="auto"/>
        </w:rPr>
      </w:pPr>
    </w:p>
    <w:p>
      <w:pPr>
        <w:jc w:val="both"/>
        <w:ind w:left="20"/>
        <w:spacing w:after="0" w:line="280" w:lineRule="auto"/>
        <w:rPr>
          <w:sz w:val="20"/>
          <w:szCs w:val="20"/>
          <w:color w:val="auto"/>
        </w:rPr>
      </w:pPr>
      <w:r>
        <w:rPr>
          <w:rFonts w:ascii="Times New Roman" w:cs="Times New Roman" w:eastAsia="Times New Roman" w:hAnsi="Times New Roman"/>
          <w:sz w:val="18"/>
          <w:szCs w:val="18"/>
          <w:b w:val="1"/>
          <w:bCs w:val="1"/>
          <w:color w:val="auto"/>
        </w:rPr>
        <w:t>Robert A. Schriesheim</w:t>
      </w:r>
      <w:r>
        <w:rPr>
          <w:rFonts w:ascii="Times New Roman" w:cs="Times New Roman" w:eastAsia="Times New Roman" w:hAnsi="Times New Roman"/>
          <w:sz w:val="18"/>
          <w:szCs w:val="18"/>
          <w:color w:val="auto"/>
        </w:rPr>
        <w:t>, age 64, has been a director since 2006. He has been chairman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Truax Partners LLC (a consulting firm) since 2018 and has served as Adjunct Associate Professor of Finance at The University of Chicago Booth School of Business since September 2023. He served as Executive Vice President and Chief Financial Officer of Sears Holdings Corporation (a publicly traded nationwide retailer) from August 2011 to October 2016. From January 2010 to October 2010, Mr. Schriesheim was Chief Financial Officer of Hewitt Associates, Inc. (a global human resources consulting and outsourcing company that was acquired by Aon Corporation). From October 2006 until December 2009, he was the Executive Vice President and Chief Financial Officer of Lawson Software, Inc. (a publicly traded ERP software provider).</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Public Company Boards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w:t>
      </w:r>
    </w:p>
    <w:p>
      <w:pPr>
        <w:spacing w:after="0" w:line="162" w:lineRule="exact"/>
        <w:rPr>
          <w:sz w:val="20"/>
          <w:szCs w:val="20"/>
          <w:color w:val="auto"/>
        </w:rPr>
      </w:pPr>
    </w:p>
    <w:p>
      <w:pPr>
        <w:ind w:left="640" w:hanging="324"/>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Houlihan Lokey, Inc., Lead Independent Director</w:t>
      </w:r>
    </w:p>
    <w:p>
      <w:pPr>
        <w:spacing w:after="0" w:line="27"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Indivior PLC</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Past 5 Years</w:t>
      </w:r>
    </w:p>
    <w:p>
      <w:pPr>
        <w:spacing w:after="0" w:line="162" w:lineRule="exact"/>
        <w:rPr>
          <w:sz w:val="20"/>
          <w:szCs w:val="20"/>
          <w:color w:val="auto"/>
        </w:rPr>
      </w:pPr>
    </w:p>
    <w:p>
      <w:pPr>
        <w:ind w:left="640" w:hanging="324"/>
        <w:spacing w:after="0"/>
        <w:tabs>
          <w:tab w:leader="none" w:pos="6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Frontier Communications Corporation (until 2021)</w:t>
      </w:r>
    </w:p>
    <w:p>
      <w:pPr>
        <w:spacing w:after="0" w:line="768" w:lineRule="exact"/>
        <w:rPr>
          <w:sz w:val="20"/>
          <w:szCs w:val="20"/>
          <w:color w:val="auto"/>
        </w:rPr>
      </w:pPr>
    </w:p>
    <w:p>
      <w:pPr>
        <w:sectPr>
          <w:pgSz w:w="11900" w:h="16838" w:orient="portrait"/>
          <w:cols w:equalWidth="0" w:num="2">
            <w:col w:w="6320" w:space="140"/>
            <w:col w:w="4780"/>
          </w:cols>
          <w:pgMar w:left="320" w:top="1008" w:right="339" w:bottom="1440" w:gutter="0" w:footer="0" w:header="0"/>
          <w:type w:val="continuous"/>
        </w:sectPr>
      </w:pPr>
    </w:p>
    <w:p>
      <w:pPr>
        <w:spacing w:after="0" w:line="166"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8"/>
          <w:szCs w:val="18"/>
          <w:b w:val="1"/>
          <w:bCs w:val="1"/>
          <w:color w:val="191919"/>
        </w:rPr>
        <w:t xml:space="preserve">Qualifications: </w:t>
      </w:r>
      <w:r>
        <w:rPr>
          <w:rFonts w:ascii="Times New Roman" w:cs="Times New Roman" w:eastAsia="Times New Roman" w:hAnsi="Times New Roman"/>
          <w:sz w:val="18"/>
          <w:szCs w:val="18"/>
          <w:color w:val="191919"/>
        </w:rPr>
        <w:t>We believe that Mr. Schriesheim’s qualifications to serve as a director include his extensive knowledge of the capital markets and corporate</w:t>
      </w:r>
      <w:r>
        <w:rPr>
          <w:rFonts w:ascii="Times New Roman" w:cs="Times New Roman" w:eastAsia="Times New Roman" w:hAnsi="Times New Roman"/>
          <w:sz w:val="18"/>
          <w:szCs w:val="18"/>
          <w:b w:val="1"/>
          <w:bCs w:val="1"/>
          <w:color w:val="191919"/>
        </w:rPr>
        <w:t xml:space="preserve"> </w:t>
      </w:r>
      <w:r>
        <w:rPr>
          <w:rFonts w:ascii="Times New Roman" w:cs="Times New Roman" w:eastAsia="Times New Roman" w:hAnsi="Times New Roman"/>
          <w:sz w:val="18"/>
          <w:szCs w:val="18"/>
          <w:color w:val="191919"/>
        </w:rPr>
        <w:t>financial capital structures, his expertise evaluating and structuring merger and acquisition transactions within the technology sector, and his experience gained through leading companies through major strategic and financial corporate transformations.</w:t>
      </w:r>
    </w:p>
    <w:p>
      <w:pPr>
        <w:sectPr>
          <w:pgSz w:w="11900" w:h="16838" w:orient="portrait"/>
          <w:cols w:equalWidth="0" w:num="1">
            <w:col w:w="11240"/>
          </w:cols>
          <w:pgMar w:left="320" w:top="1008" w:right="339" w:bottom="1440" w:gutter="0" w:footer="0" w:header="0"/>
          <w:type w:val="continuous"/>
        </w:sectPr>
      </w:pPr>
    </w:p>
    <w:p>
      <w:pPr>
        <w:spacing w:after="0" w:line="299"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b w:val="1"/>
          <w:bCs w:val="1"/>
          <w:color w:val="auto"/>
        </w:rPr>
        <w:t>Maryann Turcke</w:t>
      </w:r>
      <w:r>
        <w:rPr>
          <w:rFonts w:ascii="Times New Roman" w:cs="Times New Roman" w:eastAsia="Times New Roman" w:hAnsi="Times New Roman"/>
          <w:sz w:val="18"/>
          <w:szCs w:val="18"/>
          <w:color w:val="auto"/>
        </w:rPr>
        <w:t>, age 59, has been a director since 2023. Most recently, she served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senior advisor at Brookfield Asset Management from September 2020 to September 2022. Previously, Ms. Turcke served as Chief Operating Officer of the National Football League (“NFL”) from January 2018 to September 2020 and as a Senior Advisor for the NFL from September 2020 to May 2021. She joined the league as President of NFL Network, Digital Media, NFL Films and IT in April 2017. Prior to the NFL, Ms. Turcke served for more than a decade in various leadership roles within BCE Inc. (a publicly traded communications company formerly known as Bell Canada Enterprises), including serving from April 2015 to February 2017 as president of Bell Media, a division of BCE.</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Public Company Boards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w:t>
      </w:r>
    </w:p>
    <w:p>
      <w:pPr>
        <w:spacing w:after="0" w:line="148" w:lineRule="exact"/>
        <w:rPr>
          <w:sz w:val="20"/>
          <w:szCs w:val="20"/>
          <w:color w:val="auto"/>
        </w:rPr>
      </w:pPr>
    </w:p>
    <w:p>
      <w:pPr>
        <w:ind w:left="640" w:hanging="324"/>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Frontier Communications Parent, Inc.</w:t>
      </w:r>
    </w:p>
    <w:p>
      <w:pPr>
        <w:spacing w:after="0" w:line="49"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 Bank of Canada</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Past 5 Years</w:t>
      </w:r>
    </w:p>
    <w:p>
      <w:pPr>
        <w:spacing w:after="0" w:line="162" w:lineRule="exact"/>
        <w:rPr>
          <w:sz w:val="20"/>
          <w:szCs w:val="20"/>
          <w:color w:val="auto"/>
        </w:rPr>
      </w:pPr>
    </w:p>
    <w:p>
      <w:pPr>
        <w:ind w:left="640" w:hanging="324"/>
        <w:spacing w:after="0"/>
        <w:tabs>
          <w:tab w:leader="none" w:pos="6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Northern Star Investment Corp. II (until 2023)</w:t>
      </w:r>
    </w:p>
    <w:p>
      <w:pPr>
        <w:spacing w:after="0" w:line="745" w:lineRule="exact"/>
        <w:rPr>
          <w:sz w:val="20"/>
          <w:szCs w:val="20"/>
          <w:color w:val="auto"/>
        </w:rPr>
      </w:pPr>
    </w:p>
    <w:p>
      <w:pPr>
        <w:sectPr>
          <w:pgSz w:w="11900" w:h="16838" w:orient="portrait"/>
          <w:cols w:equalWidth="0" w:num="2">
            <w:col w:w="6320" w:space="140"/>
            <w:col w:w="4780"/>
          </w:cols>
          <w:pgMar w:left="320" w:top="1008" w:right="339" w:bottom="1440" w:gutter="0" w:footer="0" w:header="0"/>
          <w:type w:val="continuous"/>
        </w:sect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259080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type w:val="continuous"/>
        </w:sectPr>
      </w:pPr>
    </w:p>
    <w:bookmarkStart w:id="6" w:name="page7"/>
    <w:bookmarkEnd w:id="6"/>
    <w:p>
      <w:pPr>
        <w:jc w:val="both"/>
        <w:spacing w:after="0" w:line="318" w:lineRule="auto"/>
        <w:rPr>
          <w:sz w:val="20"/>
          <w:szCs w:val="20"/>
          <w:color w:val="auto"/>
        </w:rPr>
      </w:pPr>
      <w:r>
        <w:rPr>
          <w:rFonts w:ascii="Times New Roman" w:cs="Times New Roman" w:eastAsia="Times New Roman" w:hAnsi="Times New Roman"/>
          <w:sz w:val="18"/>
          <w:szCs w:val="18"/>
          <w:b w:val="1"/>
          <w:bCs w:val="1"/>
          <w:color w:val="auto"/>
        </w:rPr>
        <w:t xml:space="preserve">Qualifications: </w:t>
      </w:r>
      <w:r>
        <w:rPr>
          <w:rFonts w:ascii="Times New Roman" w:cs="Times New Roman" w:eastAsia="Times New Roman" w:hAnsi="Times New Roman"/>
          <w:sz w:val="18"/>
          <w:szCs w:val="18"/>
          <w:color w:val="auto"/>
        </w:rPr>
        <w:t>We believe that Ms. Turcke’s qualifications to serve as a director include her significant operational, management and financial experience,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in the telecommunications industry.</w:t>
      </w:r>
    </w:p>
    <w:p>
      <w:pPr>
        <w:spacing w:after="0" w:line="198" w:lineRule="exact"/>
        <w:rPr>
          <w:sz w:val="20"/>
          <w:szCs w:val="20"/>
          <w:color w:val="auto"/>
        </w:rPr>
      </w:pPr>
    </w:p>
    <w:p>
      <w:pPr>
        <w:jc w:val="both"/>
        <w:ind w:firstLine="389"/>
        <w:spacing w:after="0" w:line="297" w:lineRule="auto"/>
        <w:rPr>
          <w:sz w:val="20"/>
          <w:szCs w:val="20"/>
          <w:color w:val="auto"/>
        </w:rPr>
      </w:pPr>
      <w:r>
        <w:rPr>
          <w:rFonts w:ascii="Times New Roman" w:cs="Times New Roman" w:eastAsia="Times New Roman" w:hAnsi="Times New Roman"/>
          <w:sz w:val="18"/>
          <w:szCs w:val="18"/>
          <w:color w:val="auto"/>
        </w:rPr>
        <w:t>In addition to the information presented above regarding each director’s specific experience, qualifications, attributes, and skills that led our Board of Directors to conclude that he or she should serve as a director, we also believe that each of our directors has a reputation for integrity, honesty, and adherence to high ethical standards. They have each demonstrated business acumen, an ability to exercise sound judgment, and a commitment of service to Skyworks. Each of our directors will serve until the 2025 Annual Meeting of Stockholders and until their successors are elected and qualified or until their earlier resignation or removal.</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 (other than the Chief Executive Officer)</w:t>
      </w:r>
    </w:p>
    <w:p>
      <w:pPr>
        <w:spacing w:after="0" w:line="266"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8"/>
          <w:szCs w:val="18"/>
          <w:b w:val="1"/>
          <w:bCs w:val="1"/>
          <w:i w:val="1"/>
          <w:iCs w:val="1"/>
          <w:color w:val="auto"/>
        </w:rPr>
        <w:t>Carlos S. Bori</w:t>
      </w:r>
      <w:r>
        <w:rPr>
          <w:rFonts w:ascii="Times New Roman" w:cs="Times New Roman" w:eastAsia="Times New Roman" w:hAnsi="Times New Roman"/>
          <w:sz w:val="18"/>
          <w:szCs w:val="18"/>
          <w:color w:val="auto"/>
        </w:rPr>
        <w:t>, age 54, joined the Company in July 2013 and has served as Senior Vice President, Sales and Marketing, since November 2017. 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previously served as Vice President, Sales and Marketing, from May 2016 to November 2017 and as Vice President, Marketing, from July 2013 to May 2016. Previously, he spent more than 18 years with Beacon Electronic Associates (a North American independent representative of semiconductor manufacturers), serving as its President from 2004 to 2013.</w:t>
      </w:r>
    </w:p>
    <w:p>
      <w:pPr>
        <w:spacing w:after="0" w:line="211"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8"/>
          <w:szCs w:val="18"/>
          <w:b w:val="1"/>
          <w:bCs w:val="1"/>
          <w:i w:val="1"/>
          <w:iCs w:val="1"/>
          <w:color w:val="auto"/>
        </w:rPr>
        <w:t>Karilee A. Durham</w:t>
      </w:r>
      <w:r>
        <w:rPr>
          <w:rFonts w:ascii="Times New Roman" w:cs="Times New Roman" w:eastAsia="Times New Roman" w:hAnsi="Times New Roman"/>
          <w:sz w:val="18"/>
          <w:szCs w:val="18"/>
          <w:color w:val="auto"/>
        </w:rPr>
        <w:t>, age 56, joined the Company in April 2018 and is Senior Vice President, Human Resources. Previously, Ms. Durham served as Senior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Vice President, Human Resources and General Affairs for Goodman Global Group, Inc. (an HVAC manufacturing and distribution company) from September 2010 to April 2018. Earlier, she held multiple senior human resources positions with Dell Inc. (a computer retailer) from October 2007 to September 2010, prior to which she held human resources positions at Flextronics International Ltd., Solectron Corporation, and UT-Battelle LLC.</w:t>
      </w:r>
    </w:p>
    <w:p>
      <w:pPr>
        <w:spacing w:after="0" w:line="193"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8"/>
          <w:szCs w:val="18"/>
          <w:b w:val="1"/>
          <w:bCs w:val="1"/>
          <w:i w:val="1"/>
          <w:iCs w:val="1"/>
          <w:color w:val="auto"/>
        </w:rPr>
        <w:t>Reza Kasnavi</w:t>
      </w:r>
      <w:r>
        <w:rPr>
          <w:rFonts w:ascii="Times New Roman" w:cs="Times New Roman" w:eastAsia="Times New Roman" w:hAnsi="Times New Roman"/>
          <w:sz w:val="18"/>
          <w:szCs w:val="18"/>
          <w:color w:val="auto"/>
        </w:rPr>
        <w:t>, age 51, joined the Company in 2010 and has served as Senior Vice President, Technology and Manufacturing, since November 2019. 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previously served as Vice President and General Manager, Open Market Platforms, from November 2012 to September 2018 and as Vice President, Central Engineering and Quality, from September 2018 to November 2019. Prior to joining Skyworks, Dr. Kasnavi spent 10 years as an investor and executive with Tallwood Venture Capital (an investment firm focused on semiconductor-related technologies and markets), holding various leadership positions at several Tallwood portfolio companies including Sequoia Communications.</w:t>
      </w:r>
    </w:p>
    <w:p>
      <w:pPr>
        <w:spacing w:after="0" w:line="21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b w:val="1"/>
          <w:bCs w:val="1"/>
          <w:i w:val="1"/>
          <w:iCs w:val="1"/>
          <w:color w:val="auto"/>
        </w:rPr>
        <w:t>Kris Sennesael</w:t>
      </w:r>
      <w:r>
        <w:rPr>
          <w:rFonts w:ascii="Times New Roman" w:cs="Times New Roman" w:eastAsia="Times New Roman" w:hAnsi="Times New Roman"/>
          <w:sz w:val="18"/>
          <w:szCs w:val="18"/>
          <w:color w:val="auto"/>
        </w:rPr>
        <w:t>, age 56, joined the Company in August 2016 and is Senior Vice President and Chief Financial Officer. Previously, Mr. Sennesael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Financial Officer for Enphase Energy, Inc. (a semiconductor-based renewable energy solutions provider), from September 2012 to August 2016. Earlier, he served as Chief Financial Officer for Standard Microsystems Corporation (a global fabless semiconductor company) from January 2009 to August 2012, prior to which he held financial positions at ON Semiconductor Corp., AMI Semiconductor, Inc., and Alcatel Microelectronics. Mr. Sennesael currently serves on the board of directors of Maxeon Solar Technologies, Ltd. (a publicly traded manufacturer and provider of solar energy products).</w:t>
      </w:r>
    </w:p>
    <w:p>
      <w:pPr>
        <w:spacing w:after="0" w:line="215"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8"/>
          <w:szCs w:val="18"/>
          <w:b w:val="1"/>
          <w:bCs w:val="1"/>
          <w:i w:val="1"/>
          <w:iCs w:val="1"/>
          <w:color w:val="auto"/>
        </w:rPr>
        <w:t>Robert J. Terry</w:t>
      </w:r>
      <w:r>
        <w:rPr>
          <w:rFonts w:ascii="Times New Roman" w:cs="Times New Roman" w:eastAsia="Times New Roman" w:hAnsi="Times New Roman"/>
          <w:sz w:val="18"/>
          <w:szCs w:val="18"/>
          <w:color w:val="auto"/>
        </w:rPr>
        <w:t>, age 58, joined the Company in 2003 and has served as Senior Vice President, General Counsel and Secretary since November 2017. 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previously served as Vice President, General Counsel and Secretary from November 2016 to November 2017 and as Vice President, Associate General Counsel and Assistant Secretary from June 2011 to November 2016. Before joining Skyworks, he served as General Counsel and Secretary for Day Software, Inc. (“Day Software”) (an enterprise content management software company), from July 2001 to February 2003. Prior to joining Day Software, Mr. Terry was in private practice, focusing on corporate and securities matters, mergers and acquisitions, and general business litigation.</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7" w:name="page8"/>
    <w:bookmarkEnd w:id="7"/>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56" w:lineRule="exact"/>
        <w:rPr>
          <w:sz w:val="20"/>
          <w:szCs w:val="20"/>
          <w:color w:val="auto"/>
        </w:rPr>
      </w:pPr>
    </w:p>
    <w:p>
      <w:pPr>
        <w:jc w:val="both"/>
        <w:ind w:firstLine="389"/>
        <w:spacing w:after="0" w:line="297" w:lineRule="auto"/>
        <w:rPr>
          <w:sz w:val="20"/>
          <w:szCs w:val="20"/>
          <w:color w:val="auto"/>
        </w:rPr>
      </w:pPr>
      <w:r>
        <w:rPr>
          <w:rFonts w:ascii="Times New Roman" w:cs="Times New Roman" w:eastAsia="Times New Roman" w:hAnsi="Times New Roman"/>
          <w:sz w:val="18"/>
          <w:szCs w:val="18"/>
          <w:color w:val="auto"/>
        </w:rPr>
        <w:t>We have established an Audit Committee consisting of the following individuals, each of whom qualifies as independent within the meaning of the applicable Listing Rules of the Nasdaq Stock Market LLC (the “Nasdaq Rules”) and meets the criteria for independence set forth in Rule 10A-3(b)(1) under the Securities Exchange Act of 1934 (“Exchange Act”): David P. McGlade (Chairman), Eric Guerin, Christine King, and Robert A. Schriesheim. The Board of Directors has determined that each of Mr. McGlade (Chairman), Mr. Guerin, Ms. King, and Mr. Schriesheim meets the qualifications of an “audit committee financial expert” under SEC Rules and the qualifications of “financial sophistication” under the applicable Nasdaq Rules.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Code of Ethics</w:t>
      </w:r>
    </w:p>
    <w:p>
      <w:pPr>
        <w:spacing w:after="0" w:line="260" w:lineRule="exact"/>
        <w:rPr>
          <w:sz w:val="20"/>
          <w:szCs w:val="20"/>
          <w:color w:val="auto"/>
        </w:rPr>
      </w:pPr>
    </w:p>
    <w:p>
      <w:pPr>
        <w:jc w:val="both"/>
        <w:ind w:firstLine="389"/>
        <w:spacing w:after="0" w:line="297" w:lineRule="auto"/>
        <w:rPr>
          <w:sz w:val="20"/>
          <w:szCs w:val="20"/>
          <w:color w:val="auto"/>
        </w:rPr>
      </w:pPr>
      <w:r>
        <w:rPr>
          <w:rFonts w:ascii="Times New Roman" w:cs="Times New Roman" w:eastAsia="Times New Roman" w:hAnsi="Times New Roman"/>
          <w:sz w:val="18"/>
          <w:szCs w:val="18"/>
          <w:color w:val="auto"/>
        </w:rPr>
        <w:t xml:space="preserve">We have adopted a written code of business conduct and ethics that applies to our directors, officers, and employees, including our principal executive officer, principal financial officer, principal accounting officer or controller, or persons performing similar functions. We make available our code of business conduct and ethics free of charge through our website at </w:t>
      </w:r>
      <w:r>
        <w:rPr>
          <w:rFonts w:ascii="Times New Roman" w:cs="Times New Roman" w:eastAsia="Times New Roman" w:hAnsi="Times New Roman"/>
          <w:sz w:val="18"/>
          <w:szCs w:val="18"/>
          <w:i w:val="1"/>
          <w:iCs w:val="1"/>
          <w:color w:val="auto"/>
        </w:rPr>
        <w:t>www.skyworksinc.com</w:t>
      </w:r>
      <w:r>
        <w:rPr>
          <w:rFonts w:ascii="Times New Roman" w:cs="Times New Roman" w:eastAsia="Times New Roman" w:hAnsi="Times New Roman"/>
          <w:sz w:val="18"/>
          <w:szCs w:val="18"/>
          <w:color w:val="auto"/>
        </w:rPr>
        <w:t>. We intend to disclose any amendments to, or waivers from, our code of business conduct and ethics that are required to be publicly disclosed by posting any such amendment or waivers on our website pursuant to SEC requirements and Nasdaq Rules.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Insider Trading Policy</w:t>
      </w:r>
    </w:p>
    <w:p>
      <w:pPr>
        <w:spacing w:after="0" w:line="260" w:lineRule="exact"/>
        <w:rPr>
          <w:sz w:val="20"/>
          <w:szCs w:val="20"/>
          <w:color w:val="auto"/>
        </w:rPr>
      </w:pPr>
    </w:p>
    <w:p>
      <w:pPr>
        <w:jc w:val="both"/>
        <w:ind w:firstLine="389"/>
        <w:spacing w:after="0" w:line="297" w:lineRule="auto"/>
        <w:rPr>
          <w:sz w:val="20"/>
          <w:szCs w:val="20"/>
          <w:color w:val="auto"/>
        </w:rPr>
      </w:pPr>
      <w:r>
        <w:rPr>
          <w:rFonts w:ascii="Times New Roman" w:cs="Times New Roman" w:eastAsia="Times New Roman" w:hAnsi="Times New Roman"/>
          <w:sz w:val="18"/>
          <w:szCs w:val="18"/>
          <w:color w:val="auto"/>
        </w:rPr>
        <w:t>We have adopted the Skyworks Solutions, Inc. Company Policy Regarding Insider Trading and Disclosure of Material Non-Public Information governing the purchase, sale, and/or other dispositions of the Company’s securities by directors, officers and employees, which the Company believes is reasonably designed to promote compliance with insider trading laws, rules and regulations, and any listing standards applicable to the Company. A copy of the Skyworks Solutions, Inc. Company Policy Regarding Insider Trading and Disclosure of Material Non-Public Information is filed as Exhibit 19 to this Form 10-K/A.</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Compensation Discussion and Analysis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w:t>
      </w:r>
    </w:p>
    <w:p>
      <w:pPr>
        <w:spacing w:after="0" w:line="270" w:lineRule="exact"/>
        <w:rPr>
          <w:sz w:val="20"/>
          <w:szCs w:val="20"/>
          <w:color w:val="auto"/>
        </w:rPr>
      </w:pPr>
    </w:p>
    <w:p>
      <w:pPr>
        <w:jc w:val="both"/>
        <w:ind w:firstLine="389"/>
        <w:spacing w:after="0" w:line="297" w:lineRule="auto"/>
        <w:rPr>
          <w:sz w:val="20"/>
          <w:szCs w:val="20"/>
          <w:color w:val="auto"/>
        </w:rPr>
      </w:pPr>
      <w:r>
        <w:rPr>
          <w:rFonts w:ascii="Times New Roman" w:cs="Times New Roman" w:eastAsia="Times New Roman" w:hAnsi="Times New Roman"/>
          <w:sz w:val="18"/>
          <w:szCs w:val="18"/>
          <w:color w:val="auto"/>
        </w:rPr>
        <w:t>This Compensation Discussion and Analysis section discusses the compensation policies and programs for our Chief Executive Officer, our Chief Financial Officer, and our three next most highly paid executive officers during our fiscal year ended September 27, 2024 (“fiscal year 2024”), as determined under the rules of the SEC. We refer to this group of executive officers as our “Named Executive Officers.” For fiscal year 2024, our Named Executive Officers were:</w:t>
      </w:r>
    </w:p>
    <w:p>
      <w:pPr>
        <w:spacing w:after="0" w:line="217" w:lineRule="exact"/>
        <w:rPr>
          <w:sz w:val="20"/>
          <w:szCs w:val="20"/>
          <w:color w:val="auto"/>
        </w:rPr>
      </w:pPr>
    </w:p>
    <w:p>
      <w:pPr>
        <w:ind w:left="500" w:hanging="103"/>
        <w:spacing w:after="0"/>
        <w:tabs>
          <w:tab w:leader="none" w:pos="50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Liam K. Griffin, Chairman, Chief Executive Officer and President;</w:t>
      </w:r>
    </w:p>
    <w:p>
      <w:pPr>
        <w:spacing w:after="0" w:line="184" w:lineRule="exact"/>
        <w:rPr>
          <w:rFonts w:ascii="Times New Roman" w:cs="Times New Roman" w:eastAsia="Times New Roman" w:hAnsi="Times New Roman"/>
          <w:sz w:val="18"/>
          <w:szCs w:val="18"/>
          <w:b w:val="1"/>
          <w:bCs w:val="1"/>
          <w:color w:val="auto"/>
        </w:rPr>
      </w:pPr>
    </w:p>
    <w:p>
      <w:pPr>
        <w:ind w:left="500" w:hanging="103"/>
        <w:spacing w:after="0"/>
        <w:tabs>
          <w:tab w:leader="none" w:pos="50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Kris Sennesael, Senior Vice President and Chief Financial Officer;</w:t>
      </w:r>
    </w:p>
    <w:p>
      <w:pPr>
        <w:spacing w:after="0" w:line="184" w:lineRule="exact"/>
        <w:rPr>
          <w:rFonts w:ascii="Times New Roman" w:cs="Times New Roman" w:eastAsia="Times New Roman" w:hAnsi="Times New Roman"/>
          <w:sz w:val="18"/>
          <w:szCs w:val="18"/>
          <w:b w:val="1"/>
          <w:bCs w:val="1"/>
          <w:color w:val="auto"/>
        </w:rPr>
      </w:pPr>
    </w:p>
    <w:p>
      <w:pPr>
        <w:ind w:left="500" w:hanging="103"/>
        <w:spacing w:after="0"/>
        <w:tabs>
          <w:tab w:leader="none" w:pos="50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Reza Kasnavi, Senior Vice President, Technology and Manufacturing;</w:t>
      </w:r>
    </w:p>
    <w:p>
      <w:pPr>
        <w:spacing w:after="0" w:line="198" w:lineRule="exact"/>
        <w:rPr>
          <w:rFonts w:ascii="Times New Roman" w:cs="Times New Roman" w:eastAsia="Times New Roman" w:hAnsi="Times New Roman"/>
          <w:sz w:val="18"/>
          <w:szCs w:val="18"/>
          <w:b w:val="1"/>
          <w:bCs w:val="1"/>
          <w:color w:val="auto"/>
        </w:rPr>
      </w:pPr>
    </w:p>
    <w:p>
      <w:pPr>
        <w:ind w:left="500" w:hanging="103"/>
        <w:spacing w:after="0"/>
        <w:tabs>
          <w:tab w:leader="none" w:pos="50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Carlos S. Bori, Senior Vice President, Sales and Marketing; and</w:t>
      </w:r>
    </w:p>
    <w:p>
      <w:pPr>
        <w:spacing w:after="0" w:line="184" w:lineRule="exact"/>
        <w:rPr>
          <w:rFonts w:ascii="Times New Roman" w:cs="Times New Roman" w:eastAsia="Times New Roman" w:hAnsi="Times New Roman"/>
          <w:sz w:val="18"/>
          <w:szCs w:val="18"/>
          <w:b w:val="1"/>
          <w:bCs w:val="1"/>
          <w:color w:val="auto"/>
        </w:rPr>
      </w:pPr>
    </w:p>
    <w:p>
      <w:pPr>
        <w:ind w:left="500" w:hanging="103"/>
        <w:spacing w:after="0"/>
        <w:tabs>
          <w:tab w:leader="none" w:pos="50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Robert J. Terry, Senior Vice President, General Counsel and Secretary.</w:t>
      </w:r>
    </w:p>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Engagement with Stockholders Regarding Executive Compensation</w:t>
      </w:r>
    </w:p>
    <w:p>
      <w:pPr>
        <w:spacing w:after="0" w:line="270" w:lineRule="exact"/>
        <w:rPr>
          <w:sz w:val="20"/>
          <w:szCs w:val="20"/>
          <w:color w:val="auto"/>
        </w:rPr>
      </w:pPr>
    </w:p>
    <w:p>
      <w:pPr>
        <w:jc w:val="both"/>
        <w:ind w:firstLine="389"/>
        <w:spacing w:after="0" w:line="297" w:lineRule="auto"/>
        <w:rPr>
          <w:sz w:val="20"/>
          <w:szCs w:val="20"/>
          <w:color w:val="auto"/>
        </w:rPr>
      </w:pPr>
      <w:r>
        <w:rPr>
          <w:rFonts w:ascii="Times New Roman" w:cs="Times New Roman" w:eastAsia="Times New Roman" w:hAnsi="Times New Roman"/>
          <w:sz w:val="18"/>
          <w:szCs w:val="18"/>
          <w:color w:val="auto"/>
        </w:rPr>
        <w:t>In evaluating and establishing our executive compensation policies and programs, our Compensation Committee values and actively considers the opinions expressed by our stockholders through the “say-on-pay” advisory vote at each annual stockholder meeting, as well as through our ongoing stockholder engagement efforts. At our 2024 Annual Meeting of Stockholders (the “2024 Annual Meeting”), approximately 88% of the votes cast approved our “say-on-pay” proposal, reflecting continued support for our compensation policies and determinations for our fiscal year ended September 29, 2023 (“fiscal year 2023”).</w:t>
      </w:r>
    </w:p>
    <w:p>
      <w:pPr>
        <w:spacing w:after="0" w:line="204" w:lineRule="exact"/>
        <w:rPr>
          <w:sz w:val="20"/>
          <w:szCs w:val="20"/>
          <w:color w:val="auto"/>
        </w:rPr>
      </w:pPr>
    </w:p>
    <w:p>
      <w:pPr>
        <w:jc w:val="both"/>
        <w:ind w:firstLine="389"/>
        <w:spacing w:after="0" w:line="297" w:lineRule="auto"/>
        <w:rPr>
          <w:sz w:val="20"/>
          <w:szCs w:val="20"/>
          <w:color w:val="auto"/>
        </w:rPr>
      </w:pPr>
      <w:r>
        <w:rPr>
          <w:rFonts w:ascii="Times New Roman" w:cs="Times New Roman" w:eastAsia="Times New Roman" w:hAnsi="Times New Roman"/>
          <w:sz w:val="18"/>
          <w:szCs w:val="18"/>
          <w:color w:val="auto"/>
        </w:rPr>
        <w:t>Following the 2024 Annual Meeting, we engaged in formal stockholder outreach with 20 institutional stockholders representing approximately 54% of the Company’s shares outstanding. Stockholders representing approximately 44% of the Company’s shares outstanding responded to the outreach, either with written feedback, a request to speak, or by declining the invitation. Generally, investors who declined a meeting noted that they did so because they did not have any concerns to discuss. We held engagement meetings with each of those stockholders who requested to meet, representing approximately 36% of the Company’s shares outstanding. The Lead Independent Director and Chairman of our Compensation Committee, Ms. King, was actively involved in stockholder engagement.</w:t>
      </w:r>
    </w:p>
    <w:p>
      <w:pPr>
        <w:spacing w:after="0" w:line="218" w:lineRule="exact"/>
        <w:rPr>
          <w:sz w:val="20"/>
          <w:szCs w:val="20"/>
          <w:color w:val="auto"/>
        </w:rPr>
      </w:pPr>
    </w:p>
    <w:p>
      <w:pPr>
        <w:jc w:val="both"/>
        <w:ind w:firstLine="389"/>
        <w:spacing w:after="0" w:line="306" w:lineRule="auto"/>
        <w:rPr>
          <w:sz w:val="20"/>
          <w:szCs w:val="20"/>
          <w:color w:val="auto"/>
        </w:rPr>
      </w:pPr>
      <w:r>
        <w:rPr>
          <w:rFonts w:ascii="Times New Roman" w:cs="Times New Roman" w:eastAsia="Times New Roman" w:hAnsi="Times New Roman"/>
          <w:sz w:val="18"/>
          <w:szCs w:val="18"/>
          <w:color w:val="auto"/>
        </w:rPr>
        <w:t>During these conversations, institutional stockholders were interested in discussing a range of topics beyond executive compensation, including corporate governance, business strategy, our efforts to eliminate the supermajority vote provisions from our Restated Certificate of Incorporation, and our sustainability program. In addition, these stockholders generally did not express concerns with the overall structure of our compensation program, with many expressing support for our program and some expressing a preference for longer performance periods in our long-term incentive program. Many of our stockholders also communicated their appreciation for the Company’s track record of disclosure and stockholder responsiveness over the past several years.</w:t>
      </w:r>
    </w:p>
    <w:p>
      <w:pPr>
        <w:spacing w:after="0" w:line="212" w:lineRule="exact"/>
        <w:rPr>
          <w:sz w:val="20"/>
          <w:szCs w:val="20"/>
          <w:color w:val="auto"/>
        </w:rPr>
      </w:pPr>
    </w:p>
    <w:p>
      <w:pPr>
        <w:jc w:val="both"/>
        <w:ind w:firstLine="389"/>
        <w:spacing w:after="0" w:line="313" w:lineRule="auto"/>
        <w:rPr>
          <w:sz w:val="20"/>
          <w:szCs w:val="20"/>
          <w:color w:val="auto"/>
        </w:rPr>
      </w:pPr>
      <w:r>
        <w:rPr>
          <w:rFonts w:ascii="Times New Roman" w:cs="Times New Roman" w:eastAsia="Times New Roman" w:hAnsi="Times New Roman"/>
          <w:sz w:val="18"/>
          <w:szCs w:val="18"/>
          <w:color w:val="auto"/>
        </w:rPr>
        <w:t>Input and feedback from our stockholders during the most recent outreach, as well as the ongoing dialogue we have shared with stockholders for many years, continues to directly inform the evolution of compensation practices, which are detailed in the section below.</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9" w:name="page10"/>
    <w:bookmarkEnd w:id="9"/>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Evolution of Compensation Program in Response to Stockholder Input</w:t>
      </w:r>
    </w:p>
    <w:p>
      <w:pPr>
        <w:spacing w:after="0" w:line="256" w:lineRule="exact"/>
        <w:rPr>
          <w:sz w:val="20"/>
          <w:szCs w:val="20"/>
          <w:color w:val="auto"/>
        </w:rPr>
      </w:pPr>
    </w:p>
    <w:p>
      <w:pPr>
        <w:jc w:val="both"/>
        <w:ind w:firstLine="389"/>
        <w:spacing w:after="0" w:line="329" w:lineRule="auto"/>
        <w:rPr>
          <w:sz w:val="20"/>
          <w:szCs w:val="20"/>
          <w:color w:val="auto"/>
        </w:rPr>
      </w:pPr>
      <w:r>
        <w:rPr>
          <w:rFonts w:ascii="Times New Roman" w:cs="Times New Roman" w:eastAsia="Times New Roman" w:hAnsi="Times New Roman"/>
          <w:sz w:val="18"/>
          <w:szCs w:val="18"/>
          <w:color w:val="auto"/>
        </w:rPr>
        <w:t>Over the past several years, the Compensation Committee has made several changes to our executive compensation program to further align it with stockholder interests and the evolution of our business.</w:t>
      </w:r>
    </w:p>
    <w:p>
      <w:pPr>
        <w:spacing w:after="0" w:line="175" w:lineRule="exact"/>
        <w:rPr>
          <w:sz w:val="20"/>
          <w:szCs w:val="20"/>
          <w:color w:val="auto"/>
        </w:rPr>
      </w:pPr>
    </w:p>
    <w:p>
      <w:pPr>
        <w:jc w:val="both"/>
        <w:ind w:firstLine="389"/>
        <w:spacing w:after="0" w:line="297" w:lineRule="auto"/>
        <w:rPr>
          <w:sz w:val="20"/>
          <w:szCs w:val="20"/>
          <w:color w:val="auto"/>
        </w:rPr>
      </w:pPr>
      <w:r>
        <w:rPr>
          <w:rFonts w:ascii="Times New Roman" w:cs="Times New Roman" w:eastAsia="Times New Roman" w:hAnsi="Times New Roman"/>
          <w:sz w:val="18"/>
          <w:szCs w:val="18"/>
          <w:color w:val="auto"/>
        </w:rPr>
        <w:t>For fiscal year 2024, the Compensation Committee made two changes. First, it modified our peer group, adding two technology companies whose revenues and market capitalizations were below the median for the peer group. Second, the Compensation Committee returned the short-term incentive program for fiscal year 2024 from two semi-annual performance periods to one annual performance period because the Compensation Committee believed that it could set appropriately rigorous performance goals for a one-year period. Many of our stockholders indicated they were pleased with the change we made to the short-term incentive program.</w:t>
      </w:r>
    </w:p>
    <w:p>
      <w:pPr>
        <w:spacing w:after="0" w:line="218" w:lineRule="exact"/>
        <w:rPr>
          <w:sz w:val="20"/>
          <w:szCs w:val="20"/>
          <w:color w:val="auto"/>
        </w:rPr>
      </w:pPr>
    </w:p>
    <w:p>
      <w:pPr>
        <w:jc w:val="both"/>
        <w:ind w:firstLine="389"/>
        <w:spacing w:after="0" w:line="318" w:lineRule="auto"/>
        <w:rPr>
          <w:sz w:val="20"/>
          <w:szCs w:val="20"/>
          <w:color w:val="auto"/>
        </w:rPr>
      </w:pPr>
      <w:r>
        <w:rPr>
          <w:rFonts w:ascii="Times New Roman" w:cs="Times New Roman" w:eastAsia="Times New Roman" w:hAnsi="Times New Roman"/>
          <w:sz w:val="18"/>
          <w:szCs w:val="18"/>
          <w:color w:val="auto"/>
        </w:rPr>
        <w:t>For our fiscal year ending October 3, 2025 (“fiscal year 2025”), the Compensation Committee made additional changes to our long-term stock-based incentives for executives that were directly responsive to stockholder feedback. Effective with the fiscal year 2025 performance share awards to Named Executive Officers, both the performance period and vesting period for the EBITDA margin percentile ranking metric were increased from two years to three years.</w:t>
      </w:r>
    </w:p>
    <w:p>
      <w:pPr>
        <w:spacing w:after="0" w:line="199" w:lineRule="exact"/>
        <w:rPr>
          <w:sz w:val="20"/>
          <w:szCs w:val="20"/>
          <w:color w:val="auto"/>
        </w:rPr>
      </w:pPr>
    </w:p>
    <w:p>
      <w:pPr>
        <w:jc w:val="both"/>
        <w:ind w:firstLine="389"/>
        <w:spacing w:after="0" w:line="297" w:lineRule="auto"/>
        <w:rPr>
          <w:sz w:val="20"/>
          <w:szCs w:val="20"/>
          <w:color w:val="auto"/>
        </w:rPr>
      </w:pPr>
      <w:r>
        <w:rPr>
          <w:rFonts w:ascii="Times New Roman" w:cs="Times New Roman" w:eastAsia="Times New Roman" w:hAnsi="Times New Roman"/>
          <w:sz w:val="18"/>
          <w:szCs w:val="18"/>
          <w:color w:val="auto"/>
        </w:rPr>
        <w:t>These most recent changes follow several changes to our executive compensation program in fiscal years 2022 and 2023, further demonstrating the Compensation Committee’s commitment to responding to stockholder feedback and evolving our programs to align with our business and strategic goals. For the Company’s fiscal year 2022 executive compensation program, the Compensation Committee implemented several changes to the performance share award design, including extending vesting for two key metrics to two years (from one year), incorporating a relative EBITDA margin metric (from an</w:t>
      </w:r>
    </w:p>
    <w:p>
      <w:pPr>
        <w:spacing w:after="0" w:line="1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absolute metric), and setting target performance of relative metrics at the 55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In both the Company’s fiscal year ended September 30, 2022 (“fiscal year 2022”) and fiscal year 2023, the Compensation Committee modified our peer group to improve comparability, replacing larger market cap companies with companies that were more comparable in size with the Company.</w:t>
      </w:r>
    </w:p>
    <w:p>
      <w:pPr>
        <w:spacing w:after="0" w:line="1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Approach for Determining Form and Amounts of Compensation</w:t>
      </w:r>
    </w:p>
    <w:p>
      <w:pPr>
        <w:spacing w:after="0" w:line="270" w:lineRule="exact"/>
        <w:rPr>
          <w:sz w:val="20"/>
          <w:szCs w:val="20"/>
          <w:color w:val="auto"/>
        </w:rPr>
      </w:pPr>
    </w:p>
    <w:p>
      <w:pPr>
        <w:jc w:val="both"/>
        <w:ind w:firstLine="389"/>
        <w:spacing w:after="0" w:line="294" w:lineRule="auto"/>
        <w:rPr>
          <w:sz w:val="20"/>
          <w:szCs w:val="20"/>
          <w:color w:val="auto"/>
        </w:rPr>
      </w:pPr>
      <w:r>
        <w:rPr>
          <w:rFonts w:ascii="Times New Roman" w:cs="Times New Roman" w:eastAsia="Times New Roman" w:hAnsi="Times New Roman"/>
          <w:sz w:val="18"/>
          <w:szCs w:val="18"/>
          <w:color w:val="auto"/>
        </w:rPr>
        <w:t>The Compensation Committee, which is composed solely of independent directors within the meaning of applicable Nasdaq Rules and non-employee directors within the meaning of Rule 16b-3 under the Exchange Act, is responsible for determining all components and amounts of compensation to be paid to our Named Executive Officers, as well as any other executive officers or employees who report directly to the Chief Executive Officer. The Compensation Committee sets compensation for the Named Executive Officers, including base salary, short-term incentives, and long-term stock-based incentives, at levels generally intended to be competitive with the compensation of comparable executives in semiconductor companies with which we compete for executive talent and to link the compensation of our Named Executive Officers to improvements in the Company’s financial performance and increases in stockholder value.</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Compensation Program Objectives</w:t>
      </w:r>
    </w:p>
    <w:p>
      <w:pPr>
        <w:spacing w:after="0" w:line="227" w:lineRule="exact"/>
        <w:rPr>
          <w:sz w:val="20"/>
          <w:szCs w:val="20"/>
          <w:color w:val="auto"/>
        </w:rPr>
      </w:pPr>
    </w:p>
    <w:p>
      <w:pPr>
        <w:jc w:val="both"/>
        <w:ind w:firstLine="389"/>
        <w:spacing w:after="0" w:line="305" w:lineRule="auto"/>
        <w:rPr>
          <w:sz w:val="20"/>
          <w:szCs w:val="20"/>
          <w:color w:val="auto"/>
        </w:rPr>
      </w:pPr>
      <w:r>
        <w:rPr>
          <w:rFonts w:ascii="Times New Roman" w:cs="Times New Roman" w:eastAsia="Times New Roman" w:hAnsi="Times New Roman"/>
          <w:sz w:val="18"/>
          <w:szCs w:val="18"/>
          <w:color w:val="auto"/>
        </w:rPr>
        <w:t>The objectives of our executive compensation program are to attract, retain, and motivate highly qualified executives to operate our business, and to link the compensation of those executives to improvements in the Company’s financial performance and increases in stockholder value. Accordingly, the Compensation Committee’s goals in establishing our executive compensation program include:</w:t>
      </w:r>
    </w:p>
    <w:p>
      <w:pPr>
        <w:spacing w:after="0" w:line="75" w:lineRule="exact"/>
        <w:rPr>
          <w:sz w:val="20"/>
          <w:szCs w:val="20"/>
          <w:color w:val="auto"/>
        </w:rPr>
      </w:pPr>
    </w:p>
    <w:p>
      <w:pPr>
        <w:ind w:left="660" w:right="20" w:hanging="328"/>
        <w:spacing w:after="0" w:line="313"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that our executive compensation program is competitive with a group of companies in the semiconductor industry with which we compete for executive talent;</w:t>
      </w:r>
    </w:p>
    <w:p>
      <w:pPr>
        <w:spacing w:after="0" w:line="108" w:lineRule="exact"/>
        <w:rPr>
          <w:rFonts w:ascii="Times New Roman" w:cs="Times New Roman" w:eastAsia="Times New Roman" w:hAnsi="Times New Roman"/>
          <w:sz w:val="18"/>
          <w:szCs w:val="18"/>
          <w:color w:val="auto"/>
        </w:rPr>
      </w:pPr>
    </w:p>
    <w:p>
      <w:pPr>
        <w:ind w:left="660" w:hanging="328"/>
        <w:spacing w:after="0" w:line="313"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 base salary that serves as the foundation of a compensation package that attracts and retains the executive talent needed to achieve our business objectives;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0" w:name="page11"/>
    <w:bookmarkEnd w:id="10"/>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short-term variable compensation that motivates executives and rewards them for achieving Company financial performance targets;</w:t>
      </w:r>
    </w:p>
    <w:p>
      <w:pPr>
        <w:spacing w:after="0" w:line="184" w:lineRule="exact"/>
        <w:rPr>
          <w:rFonts w:ascii="Times New Roman" w:cs="Times New Roman" w:eastAsia="Times New Roman" w:hAnsi="Times New Roman"/>
          <w:sz w:val="18"/>
          <w:szCs w:val="18"/>
          <w:color w:val="auto"/>
        </w:rPr>
      </w:pPr>
    </w:p>
    <w:p>
      <w:pPr>
        <w:ind w:left="660" w:hanging="328"/>
        <w:spacing w:after="0" w:line="313"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long-term stock-based compensation that aligns the interest of our executives with stockholders by rewarding them for long-term increases in stockholder value; and</w:t>
      </w:r>
    </w:p>
    <w:p>
      <w:pPr>
        <w:spacing w:after="0" w:line="10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that our executive compensation program is perceived as fundamentally fair to our employees.</w:t>
      </w:r>
    </w:p>
    <w:p>
      <w:pPr>
        <w:spacing w:after="0" w:line="2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Retention of Compensation Consultant</w:t>
      </w:r>
    </w:p>
    <w:p>
      <w:pPr>
        <w:spacing w:after="0" w:line="227" w:lineRule="exact"/>
        <w:rPr>
          <w:sz w:val="20"/>
          <w:szCs w:val="20"/>
          <w:color w:val="auto"/>
        </w:rPr>
      </w:pPr>
    </w:p>
    <w:p>
      <w:pPr>
        <w:jc w:val="both"/>
        <w:ind w:firstLine="389"/>
        <w:spacing w:after="0" w:line="295" w:lineRule="auto"/>
        <w:rPr>
          <w:sz w:val="20"/>
          <w:szCs w:val="20"/>
          <w:color w:val="auto"/>
        </w:rPr>
      </w:pPr>
      <w:r>
        <w:rPr>
          <w:rFonts w:ascii="Times New Roman" w:cs="Times New Roman" w:eastAsia="Times New Roman" w:hAnsi="Times New Roman"/>
          <w:sz w:val="18"/>
          <w:szCs w:val="18"/>
          <w:color w:val="auto"/>
        </w:rPr>
        <w:t>The Compensation Committee has engaged Aon Consulting (“Aon”) to assist in determining the components and amount of executive compensation. Aon reports directly to the Compensation Committee, through its chairman, and the Compensation Committee retains the right to terminate or replace the consultant at any time. The Compensation Committee has considered the relationships that Aon has with the Company, the members of the Compensation Committee and our executive officers, as well as the policies that Aon has in place to maintain its independence and objectivity, and has determined that Aon’s work for the Compensation Committee has not raised any conflicts of interest. Company management also purchases published compensation and benefits surveys from Aon, and on occasion engages certain affiliates of Aon in various jurisdictions for services unrelated to executive compensation and benefits, engagements for which the Company’s management has not sought the Compensation Committee’s approval. The fees paid to Aon and its affiliates in fiscal year 2024 for these surveys and additional services did not exceed $120,000.</w:t>
      </w:r>
    </w:p>
    <w:p>
      <w:pPr>
        <w:spacing w:after="0" w:line="2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Use of Comparator Group Data</w:t>
      </w:r>
    </w:p>
    <w:p>
      <w:pPr>
        <w:spacing w:after="0" w:line="227" w:lineRule="exact"/>
        <w:rPr>
          <w:sz w:val="20"/>
          <w:szCs w:val="20"/>
          <w:color w:val="auto"/>
        </w:rPr>
      </w:pPr>
    </w:p>
    <w:p>
      <w:pPr>
        <w:jc w:val="both"/>
        <w:ind w:firstLine="389"/>
        <w:spacing w:after="0" w:line="294" w:lineRule="auto"/>
        <w:rPr>
          <w:sz w:val="20"/>
          <w:szCs w:val="20"/>
          <w:color w:val="auto"/>
        </w:rPr>
      </w:pPr>
      <w:r>
        <w:rPr>
          <w:rFonts w:ascii="Times New Roman" w:cs="Times New Roman" w:eastAsia="Times New Roman" w:hAnsi="Times New Roman"/>
          <w:sz w:val="18"/>
          <w:szCs w:val="18"/>
          <w:color w:val="auto"/>
        </w:rPr>
        <w:t>The Compensation Committee annually compares the components and amounts of compensation that we provide to our Chief Executive Officer and each of the other Named Executive Officers with “Comparator Group” data for each position and uses this comparison data to help inform its review and determination of base salaries, short-term incentives, and long-term stock-based compensation awards, as discussed in further detail below under “</w:t>
      </w:r>
      <w:r>
        <w:rPr>
          <w:rFonts w:ascii="Times New Roman" w:cs="Times New Roman" w:eastAsia="Times New Roman" w:hAnsi="Times New Roman"/>
          <w:sz w:val="18"/>
          <w:szCs w:val="18"/>
          <w:i w:val="1"/>
          <w:iCs w:val="1"/>
          <w:color w:val="auto"/>
        </w:rPr>
        <w:t>Components of Compensation</w:t>
      </w:r>
      <w:r>
        <w:rPr>
          <w:rFonts w:ascii="Times New Roman" w:cs="Times New Roman" w:eastAsia="Times New Roman" w:hAnsi="Times New Roman"/>
          <w:sz w:val="18"/>
          <w:szCs w:val="18"/>
          <w:color w:val="auto"/>
        </w:rPr>
        <w:t>.” For fiscal year 2024, the Compensation Committee approved Comparator Group data consisting of a 50/50 blend of (i) Aon survey data of semiconductor companies (where sufficient data was not available in the Aon semiconductor survey data for a given executive position, the Comparator Group data also included survey data regarding high-technology companies), and (ii) data from the group of 17 publicly traded semiconductor companies listed below.</w:t>
      </w:r>
    </w:p>
    <w:p>
      <w:pPr>
        <w:spacing w:after="0" w:line="223" w:lineRule="exact"/>
        <w:rPr>
          <w:sz w:val="20"/>
          <w:szCs w:val="20"/>
          <w:color w:val="auto"/>
        </w:rPr>
      </w:pPr>
    </w:p>
    <w:p>
      <w:pPr>
        <w:jc w:val="both"/>
        <w:ind w:firstLine="389"/>
        <w:spacing w:after="0" w:line="294" w:lineRule="auto"/>
        <w:rPr>
          <w:sz w:val="20"/>
          <w:szCs w:val="20"/>
          <w:color w:val="auto"/>
        </w:rPr>
      </w:pPr>
      <w:r>
        <w:rPr>
          <w:rFonts w:ascii="Times New Roman" w:cs="Times New Roman" w:eastAsia="Times New Roman" w:hAnsi="Times New Roman"/>
          <w:sz w:val="18"/>
          <w:szCs w:val="18"/>
          <w:color w:val="auto"/>
        </w:rPr>
        <w:t>Each year the Compensation Committee engages Aon to assess the peer group. Using this information, the Compensation Committee seeks to create a peer group comprised of semiconductor companies. Consolidation within the semiconductor industry over time has resulted in fewer semiconductor companies that are of similar market capitalization and revenue as Skyworks. As a result, when considering companies to potentially include in the peer group, the Compensation Committee also considers companies in adjacent industries, such as the semiconductor manufacturing equipment industry, as well as companies with smaller or greater revenue or market capitalization than the Company, many of which are business competitors and companies with which we compete for executive talent.</w:t>
      </w:r>
    </w:p>
    <w:p>
      <w:pPr>
        <w:spacing w:after="0" w:line="220" w:lineRule="exact"/>
        <w:rPr>
          <w:sz w:val="20"/>
          <w:szCs w:val="20"/>
          <w:color w:val="auto"/>
        </w:rPr>
      </w:pPr>
    </w:p>
    <w:p>
      <w:pPr>
        <w:jc w:val="both"/>
        <w:ind w:firstLine="389"/>
        <w:spacing w:after="0" w:line="305" w:lineRule="auto"/>
        <w:rPr>
          <w:sz w:val="20"/>
          <w:szCs w:val="20"/>
          <w:color w:val="auto"/>
        </w:rPr>
      </w:pPr>
      <w:r>
        <w:rPr>
          <w:rFonts w:ascii="Times New Roman" w:cs="Times New Roman" w:eastAsia="Times New Roman" w:hAnsi="Times New Roman"/>
          <w:sz w:val="18"/>
          <w:szCs w:val="18"/>
          <w:color w:val="auto"/>
        </w:rPr>
        <w:t>For the Company’s fiscal year 2024 compensation program, we made adjustments to our peer group from the prior fiscal year based on several factors to improve comparability, in part in response to stockholder feedback. Specifically, we added Seagate Technology and Teradyne. At the time that changes to the peer group were</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considered, both new additions had lower market capitalizations measured on a 30-day average as of March 17, 2023, as compared to the Company.</w:t>
      </w:r>
    </w:p>
    <w:p>
      <w:pPr>
        <w:spacing w:after="0" w:line="302" w:lineRule="exact"/>
        <w:rPr>
          <w:sz w:val="20"/>
          <w:szCs w:val="20"/>
          <w:color w:val="auto"/>
        </w:rPr>
      </w:pPr>
    </w:p>
    <w:tbl>
      <w:tblPr>
        <w:tblLayout w:type="fixed"/>
        <w:tblInd w:w="200" w:type="dxa"/>
        <w:tblCellMar>
          <w:top w:w="0" w:type="dxa"/>
          <w:left w:w="0" w:type="dxa"/>
          <w:bottom w:w="0" w:type="dxa"/>
          <w:right w:w="0" w:type="dxa"/>
        </w:tblCellMar>
      </w:tblPr>
      <w:tr>
        <w:trPr>
          <w:trHeight w:val="238"/>
        </w:trPr>
        <w:tc>
          <w:tcPr>
            <w:tcW w:w="2300" w:type="dxa"/>
            <w:vAlign w:val="bottom"/>
          </w:tcPr>
          <w:p>
            <w:pPr>
              <w:spacing w:after="0"/>
              <w:rPr>
                <w:sz w:val="20"/>
                <w:szCs w:val="20"/>
                <w:color w:val="auto"/>
              </w:rPr>
            </w:pPr>
          </w:p>
        </w:tc>
        <w:tc>
          <w:tcPr>
            <w:tcW w:w="600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Peer Group for Fiscal Year 2024 Compensation (“FY24 Peer Group”)</w:t>
            </w:r>
          </w:p>
        </w:tc>
        <w:tc>
          <w:tcPr>
            <w:tcW w:w="2560" w:type="dxa"/>
            <w:vAlign w:val="bottom"/>
          </w:tcPr>
          <w:p>
            <w:pPr>
              <w:spacing w:after="0"/>
              <w:rPr>
                <w:sz w:val="20"/>
                <w:szCs w:val="20"/>
                <w:color w:val="auto"/>
              </w:rPr>
            </w:pPr>
          </w:p>
        </w:tc>
      </w:tr>
      <w:tr>
        <w:trPr>
          <w:trHeight w:val="229"/>
        </w:trPr>
        <w:tc>
          <w:tcPr>
            <w:tcW w:w="2300" w:type="dxa"/>
            <w:vAlign w:val="bottom"/>
            <w:shd w:val="clear" w:color="auto" w:fill="D9D9D9"/>
          </w:tcPr>
          <w:p>
            <w:pPr>
              <w:spacing w:after="0"/>
              <w:rPr>
                <w:sz w:val="20"/>
                <w:szCs w:val="20"/>
                <w:color w:val="auto"/>
              </w:rPr>
            </w:pPr>
            <w:r>
              <w:rPr>
                <w:rFonts w:ascii="Times New Roman" w:cs="Times New Roman" w:eastAsia="Times New Roman" w:hAnsi="Times New Roman"/>
                <w:sz w:val="18"/>
                <w:szCs w:val="18"/>
                <w:color w:val="auto"/>
              </w:rPr>
              <w:t>Advanced Micro Devices</w:t>
            </w:r>
          </w:p>
        </w:tc>
        <w:tc>
          <w:tcPr>
            <w:tcW w:w="3120" w:type="dxa"/>
            <w:vAlign w:val="bottom"/>
            <w:shd w:val="clear" w:color="auto" w:fill="D9D9D9"/>
          </w:tcPr>
          <w:p>
            <w:pPr>
              <w:ind w:left="680"/>
              <w:spacing w:after="0"/>
              <w:rPr>
                <w:sz w:val="20"/>
                <w:szCs w:val="20"/>
                <w:color w:val="auto"/>
              </w:rPr>
            </w:pPr>
            <w:r>
              <w:rPr>
                <w:rFonts w:ascii="Times New Roman" w:cs="Times New Roman" w:eastAsia="Times New Roman" w:hAnsi="Times New Roman"/>
                <w:sz w:val="18"/>
                <w:szCs w:val="18"/>
                <w:color w:val="auto"/>
              </w:rPr>
              <w:t>Marvell Technology</w:t>
            </w:r>
          </w:p>
        </w:tc>
        <w:tc>
          <w:tcPr>
            <w:tcW w:w="2880" w:type="dxa"/>
            <w:vAlign w:val="bottom"/>
            <w:shd w:val="clear" w:color="auto" w:fill="D9D9D9"/>
          </w:tcPr>
          <w:p>
            <w:pPr>
              <w:ind w:left="480"/>
              <w:spacing w:after="0"/>
              <w:rPr>
                <w:sz w:val="20"/>
                <w:szCs w:val="20"/>
                <w:color w:val="auto"/>
              </w:rPr>
            </w:pPr>
            <w:r>
              <w:rPr>
                <w:rFonts w:ascii="Times New Roman" w:cs="Times New Roman" w:eastAsia="Times New Roman" w:hAnsi="Times New Roman"/>
                <w:sz w:val="18"/>
                <w:szCs w:val="18"/>
                <w:color w:val="auto"/>
              </w:rPr>
              <w:t>ON Semiconductor</w:t>
            </w:r>
          </w:p>
        </w:tc>
        <w:tc>
          <w:tcPr>
            <w:tcW w:w="2560" w:type="dxa"/>
            <w:vAlign w:val="bottom"/>
            <w:shd w:val="clear" w:color="auto" w:fill="D9D9D9"/>
          </w:tcPr>
          <w:p>
            <w:pPr>
              <w:ind w:left="220"/>
              <w:spacing w:after="0"/>
              <w:rPr>
                <w:sz w:val="20"/>
                <w:szCs w:val="20"/>
                <w:color w:val="auto"/>
              </w:rPr>
            </w:pPr>
            <w:r>
              <w:rPr>
                <w:rFonts w:ascii="Times New Roman" w:cs="Times New Roman" w:eastAsia="Times New Roman" w:hAnsi="Times New Roman"/>
                <w:sz w:val="18"/>
                <w:szCs w:val="18"/>
                <w:color w:val="auto"/>
              </w:rPr>
              <w:t>Texas Instruments</w:t>
            </w:r>
          </w:p>
        </w:tc>
      </w:tr>
      <w:tr>
        <w:trPr>
          <w:trHeight w:val="230"/>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Analog Devices</w:t>
            </w:r>
          </w:p>
        </w:tc>
        <w:tc>
          <w:tcPr>
            <w:tcW w:w="3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Microchip Technology</w:t>
            </w:r>
          </w:p>
        </w:tc>
        <w:tc>
          <w:tcPr>
            <w:tcW w:w="28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Qorvo</w:t>
            </w:r>
          </w:p>
        </w:tc>
        <w:tc>
          <w:tcPr>
            <w:tcW w:w="2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Western Digital</w:t>
            </w:r>
          </w:p>
        </w:tc>
      </w:tr>
      <w:tr>
        <w:trPr>
          <w:trHeight w:val="229"/>
        </w:trPr>
        <w:tc>
          <w:tcPr>
            <w:tcW w:w="2300" w:type="dxa"/>
            <w:vAlign w:val="bottom"/>
            <w:shd w:val="clear" w:color="auto" w:fill="D9D9D9"/>
          </w:tcPr>
          <w:p>
            <w:pPr>
              <w:spacing w:after="0"/>
              <w:rPr>
                <w:sz w:val="20"/>
                <w:szCs w:val="20"/>
                <w:color w:val="auto"/>
              </w:rPr>
            </w:pPr>
            <w:r>
              <w:rPr>
                <w:rFonts w:ascii="Times New Roman" w:cs="Times New Roman" w:eastAsia="Times New Roman" w:hAnsi="Times New Roman"/>
                <w:sz w:val="18"/>
                <w:szCs w:val="18"/>
                <w:color w:val="auto"/>
              </w:rPr>
              <w:t>Entegris</w:t>
            </w:r>
          </w:p>
        </w:tc>
        <w:tc>
          <w:tcPr>
            <w:tcW w:w="3120" w:type="dxa"/>
            <w:vAlign w:val="bottom"/>
            <w:shd w:val="clear" w:color="auto" w:fill="D9D9D9"/>
          </w:tcPr>
          <w:p>
            <w:pPr>
              <w:ind w:left="680"/>
              <w:spacing w:after="0"/>
              <w:rPr>
                <w:sz w:val="20"/>
                <w:szCs w:val="20"/>
                <w:color w:val="auto"/>
              </w:rPr>
            </w:pPr>
            <w:r>
              <w:rPr>
                <w:rFonts w:ascii="Times New Roman" w:cs="Times New Roman" w:eastAsia="Times New Roman" w:hAnsi="Times New Roman"/>
                <w:sz w:val="18"/>
                <w:szCs w:val="18"/>
                <w:color w:val="auto"/>
              </w:rPr>
              <w:t>Micron Technology</w:t>
            </w:r>
          </w:p>
        </w:tc>
        <w:tc>
          <w:tcPr>
            <w:tcW w:w="2880" w:type="dxa"/>
            <w:vAlign w:val="bottom"/>
            <w:shd w:val="clear" w:color="auto" w:fill="D9D9D9"/>
          </w:tcPr>
          <w:p>
            <w:pPr>
              <w:ind w:left="480"/>
              <w:spacing w:after="0"/>
              <w:rPr>
                <w:sz w:val="20"/>
                <w:szCs w:val="20"/>
                <w:color w:val="auto"/>
              </w:rPr>
            </w:pPr>
            <w:r>
              <w:rPr>
                <w:rFonts w:ascii="Times New Roman" w:cs="Times New Roman" w:eastAsia="Times New Roman" w:hAnsi="Times New Roman"/>
                <w:sz w:val="18"/>
                <w:szCs w:val="18"/>
                <w:color w:val="auto"/>
              </w:rPr>
              <w:t>QUALCOMM</w:t>
            </w:r>
          </w:p>
        </w:tc>
        <w:tc>
          <w:tcPr>
            <w:tcW w:w="2560" w:type="dxa"/>
            <w:vAlign w:val="bottom"/>
            <w:shd w:val="clear" w:color="auto" w:fill="D9D9D9"/>
          </w:tcPr>
          <w:p>
            <w:pPr>
              <w:spacing w:after="0"/>
              <w:rPr>
                <w:sz w:val="19"/>
                <w:szCs w:val="19"/>
                <w:color w:val="auto"/>
              </w:rPr>
            </w:pPr>
          </w:p>
        </w:tc>
      </w:tr>
      <w:tr>
        <w:trPr>
          <w:trHeight w:val="229"/>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KLA Corporation</w:t>
            </w:r>
          </w:p>
        </w:tc>
        <w:tc>
          <w:tcPr>
            <w:tcW w:w="3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Monolithic Power Systems</w:t>
            </w:r>
          </w:p>
        </w:tc>
        <w:tc>
          <w:tcPr>
            <w:tcW w:w="28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Seagate Technology</w:t>
            </w:r>
          </w:p>
        </w:tc>
        <w:tc>
          <w:tcPr>
            <w:tcW w:w="2560" w:type="dxa"/>
            <w:vAlign w:val="bottom"/>
          </w:tcPr>
          <w:p>
            <w:pPr>
              <w:spacing w:after="0"/>
              <w:rPr>
                <w:sz w:val="19"/>
                <w:szCs w:val="19"/>
                <w:color w:val="auto"/>
              </w:rPr>
            </w:pPr>
          </w:p>
        </w:tc>
      </w:tr>
      <w:tr>
        <w:trPr>
          <w:trHeight w:val="230"/>
        </w:trPr>
        <w:tc>
          <w:tcPr>
            <w:tcW w:w="2300" w:type="dxa"/>
            <w:vAlign w:val="bottom"/>
            <w:shd w:val="clear" w:color="auto" w:fill="D9D9D9"/>
          </w:tcPr>
          <w:p>
            <w:pPr>
              <w:spacing w:after="0"/>
              <w:rPr>
                <w:sz w:val="20"/>
                <w:szCs w:val="20"/>
                <w:color w:val="auto"/>
              </w:rPr>
            </w:pPr>
            <w:r>
              <w:rPr>
                <w:rFonts w:ascii="Times New Roman" w:cs="Times New Roman" w:eastAsia="Times New Roman" w:hAnsi="Times New Roman"/>
                <w:sz w:val="18"/>
                <w:szCs w:val="18"/>
                <w:color w:val="auto"/>
              </w:rPr>
              <w:t>Lam Research</w:t>
            </w:r>
          </w:p>
        </w:tc>
        <w:tc>
          <w:tcPr>
            <w:tcW w:w="3120" w:type="dxa"/>
            <w:vAlign w:val="bottom"/>
            <w:shd w:val="clear" w:color="auto" w:fill="D9D9D9"/>
          </w:tcPr>
          <w:p>
            <w:pPr>
              <w:ind w:left="680"/>
              <w:spacing w:after="0"/>
              <w:rPr>
                <w:sz w:val="20"/>
                <w:szCs w:val="20"/>
                <w:color w:val="auto"/>
              </w:rPr>
            </w:pPr>
            <w:r>
              <w:rPr>
                <w:rFonts w:ascii="Times New Roman" w:cs="Times New Roman" w:eastAsia="Times New Roman" w:hAnsi="Times New Roman"/>
                <w:sz w:val="18"/>
                <w:szCs w:val="18"/>
                <w:color w:val="auto"/>
              </w:rPr>
              <w:t>NXP Semiconductors</w:t>
            </w:r>
          </w:p>
        </w:tc>
        <w:tc>
          <w:tcPr>
            <w:tcW w:w="2880" w:type="dxa"/>
            <w:vAlign w:val="bottom"/>
            <w:shd w:val="clear" w:color="auto" w:fill="D9D9D9"/>
          </w:tcPr>
          <w:p>
            <w:pPr>
              <w:ind w:left="480"/>
              <w:spacing w:after="0"/>
              <w:rPr>
                <w:sz w:val="20"/>
                <w:szCs w:val="20"/>
                <w:color w:val="auto"/>
              </w:rPr>
            </w:pPr>
            <w:r>
              <w:rPr>
                <w:rFonts w:ascii="Times New Roman" w:cs="Times New Roman" w:eastAsia="Times New Roman" w:hAnsi="Times New Roman"/>
                <w:sz w:val="18"/>
                <w:szCs w:val="18"/>
                <w:color w:val="auto"/>
              </w:rPr>
              <w:t>Teradyne</w:t>
            </w:r>
          </w:p>
        </w:tc>
        <w:tc>
          <w:tcPr>
            <w:tcW w:w="2560" w:type="dxa"/>
            <w:vAlign w:val="bottom"/>
            <w:shd w:val="clear" w:color="auto" w:fill="D9D9D9"/>
          </w:tcPr>
          <w:p>
            <w:pPr>
              <w:spacing w:after="0"/>
              <w:rPr>
                <w:sz w:val="19"/>
                <w:szCs w:val="19"/>
                <w:color w:val="auto"/>
              </w:rPr>
            </w:pPr>
          </w:p>
        </w:tc>
      </w:tr>
    </w:tbl>
    <w:p>
      <w:pPr>
        <w:spacing w:after="0" w:line="333" w:lineRule="exact"/>
        <w:rPr>
          <w:sz w:val="20"/>
          <w:szCs w:val="20"/>
          <w:color w:val="auto"/>
        </w:rPr>
      </w:pPr>
    </w:p>
    <w:p>
      <w:pPr>
        <w:jc w:val="both"/>
        <w:ind w:firstLine="389"/>
        <w:spacing w:after="0" w:line="294" w:lineRule="auto"/>
        <w:rPr>
          <w:sz w:val="20"/>
          <w:szCs w:val="20"/>
          <w:color w:val="auto"/>
        </w:rPr>
      </w:pPr>
      <w:r>
        <w:rPr>
          <w:rFonts w:ascii="Times New Roman" w:cs="Times New Roman" w:eastAsia="Times New Roman" w:hAnsi="Times New Roman"/>
          <w:sz w:val="18"/>
          <w:szCs w:val="18"/>
          <w:color w:val="auto"/>
        </w:rPr>
        <w:t>The Compensation Committee generally seeks to make decisions regarding each Named Executive Officer’s compensation that are competitive within the Comparator Group, with consideration given to the executive’s role, responsibility, performance, and length of service. After reviewing the Comparator Group data and considering the input of Aon, the Compensation Committee established (and the full Board was advised of) the base salary, short-term incentive target, and stock-based compensation for each Named Executive Officer for fiscal year 2024. Aon advised the Compensation Committee that such components of executive compensation for fiscal year 2024 were competitive for chief executive officers and other executive officers at companies of similar size and complexity in the semiconductor industry.</w:t>
      </w:r>
    </w:p>
    <w:p>
      <w:pPr>
        <w:spacing w:after="0" w:line="220" w:lineRule="exact"/>
        <w:rPr>
          <w:sz w:val="20"/>
          <w:szCs w:val="20"/>
          <w:color w:val="auto"/>
        </w:rPr>
      </w:pPr>
    </w:p>
    <w:p>
      <w:pPr>
        <w:jc w:val="both"/>
        <w:ind w:firstLine="389"/>
        <w:spacing w:after="0" w:line="297" w:lineRule="auto"/>
        <w:rPr>
          <w:sz w:val="20"/>
          <w:szCs w:val="20"/>
          <w:color w:val="auto"/>
        </w:rPr>
      </w:pPr>
      <w:r>
        <w:rPr>
          <w:rFonts w:ascii="Times New Roman" w:cs="Times New Roman" w:eastAsia="Times New Roman" w:hAnsi="Times New Roman"/>
          <w:sz w:val="18"/>
          <w:szCs w:val="18"/>
          <w:color w:val="auto"/>
        </w:rPr>
        <w:t>In determining the compensation of our Chief Executive Officer for fiscal year 2024, the Compensation Committee focused on (i) competitive levels of compensation for chief executive officers who are leading a company of similar size and complexity, (ii) the importance of retaining and incentivizing a chief executive officer with the strategic, financial, and leadership skills necessary to ensure our continued growth and success, (iii) our Chief Executive Officer’s role relative to the other Named Executive Officers, (iv) input from the full Board on our Chief Executive Officer’s performance, and (v) the length of our Chief Executive Officer’s service to the Company. Our Chief Executive Officer was not present during the voting or deliberations of the Compensation Committee concerning his compensation.</w:t>
      </w:r>
    </w:p>
    <w:p>
      <w:pPr>
        <w:spacing w:after="0" w:line="205" w:lineRule="exact"/>
        <w:rPr>
          <w:sz w:val="20"/>
          <w:szCs w:val="20"/>
          <w:color w:val="auto"/>
        </w:rPr>
      </w:pPr>
    </w:p>
    <w:p>
      <w:pPr>
        <w:jc w:val="both"/>
        <w:ind w:firstLine="389"/>
        <w:spacing w:after="0" w:line="302" w:lineRule="auto"/>
        <w:rPr>
          <w:sz w:val="20"/>
          <w:szCs w:val="20"/>
          <w:color w:val="auto"/>
        </w:rPr>
      </w:pPr>
      <w:r>
        <w:rPr>
          <w:rFonts w:ascii="Times New Roman" w:cs="Times New Roman" w:eastAsia="Times New Roman" w:hAnsi="Times New Roman"/>
          <w:sz w:val="18"/>
          <w:szCs w:val="18"/>
          <w:color w:val="auto"/>
        </w:rPr>
        <w:t>The Compensation Committee considered the recommendations of the Chief Executive Officer regarding the compensation of the other Named Executive Officers and each of his other direct reports. These recommendations were based on an assessment of each individual’s responsibilities, experience, performance, and contribution to the Company’s performance, and also took into account internal factors such as scope of role and level in the organization, in addition to external factors such as the current environment for attracting and retaining executives.</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Components of Compensation</w:t>
      </w:r>
    </w:p>
    <w:p>
      <w:pPr>
        <w:spacing w:after="0" w:line="270" w:lineRule="exact"/>
        <w:rPr>
          <w:sz w:val="20"/>
          <w:szCs w:val="20"/>
          <w:color w:val="auto"/>
        </w:rPr>
      </w:pPr>
    </w:p>
    <w:p>
      <w:pPr>
        <w:jc w:val="both"/>
        <w:ind w:firstLine="389"/>
        <w:spacing w:after="0" w:line="297" w:lineRule="auto"/>
        <w:rPr>
          <w:sz w:val="20"/>
          <w:szCs w:val="20"/>
          <w:color w:val="auto"/>
        </w:rPr>
      </w:pPr>
      <w:r>
        <w:rPr>
          <w:rFonts w:ascii="Times New Roman" w:cs="Times New Roman" w:eastAsia="Times New Roman" w:hAnsi="Times New Roman"/>
          <w:sz w:val="18"/>
          <w:szCs w:val="18"/>
          <w:color w:val="191919"/>
        </w:rPr>
        <w:t>The key elements of compensation for our Named Executive Officers are base salary, short-term incentives, long-term stock-based incentives, and health and welfare benefits. For fiscal year 2024, the Compensation Committee sought to make decisions that would result in each Named Executive Officer’s target total direct compensation being competitive within the Comparator Group, with consideration given to the executive’s role, responsibility, performance, and length of service.</w:t>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Base Salary</w:t>
      </w:r>
    </w:p>
    <w:p>
      <w:pPr>
        <w:spacing w:after="0" w:line="227" w:lineRule="exact"/>
        <w:rPr>
          <w:sz w:val="20"/>
          <w:szCs w:val="20"/>
          <w:color w:val="auto"/>
        </w:rPr>
      </w:pPr>
    </w:p>
    <w:p>
      <w:pPr>
        <w:jc w:val="both"/>
        <w:ind w:firstLine="389"/>
        <w:spacing w:after="0" w:line="297" w:lineRule="auto"/>
        <w:rPr>
          <w:sz w:val="20"/>
          <w:szCs w:val="20"/>
          <w:color w:val="auto"/>
        </w:rPr>
      </w:pPr>
      <w:r>
        <w:rPr>
          <w:rFonts w:ascii="Times New Roman" w:cs="Times New Roman" w:eastAsia="Times New Roman" w:hAnsi="Times New Roman"/>
          <w:sz w:val="18"/>
          <w:szCs w:val="18"/>
          <w:color w:val="auto"/>
        </w:rPr>
        <w:t>The Compensation Committee annually determines a competitive base salary for each executive officer using the Comparator Group data and input provided by Aon. Base salaries are intended to attract and retain talented executives, recognize individual roles and responsibilities and provide stable income to executives. In order to provide flexibility in consideration of differences in an individual executive’s scope of responsibilities, length of service, and performance, the Compensation Committee did not target a specific percentile of the Comparator Group for executive officer salaries; however, the salaries of the executive officers were generally near the median of the Comparator Group.</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2" w:name="page13"/>
    <w:bookmarkEnd w:id="12"/>
    <w:p>
      <w:pPr>
        <w:ind w:left="400"/>
        <w:spacing w:after="0"/>
        <w:rPr>
          <w:sz w:val="20"/>
          <w:szCs w:val="20"/>
          <w:color w:val="auto"/>
        </w:rPr>
      </w:pPr>
      <w:r>
        <w:rPr>
          <w:rFonts w:ascii="Times New Roman" w:cs="Times New Roman" w:eastAsia="Times New Roman" w:hAnsi="Times New Roman"/>
          <w:sz w:val="18"/>
          <w:szCs w:val="18"/>
          <w:color w:val="auto"/>
        </w:rPr>
        <w:t>The base salary for the Chief Executive Officer for fiscal year 2024 was unchanged from fiscal year 2023. The base salary increase for fiscal year</w:t>
      </w:r>
    </w:p>
    <w:p>
      <w:pPr>
        <w:spacing w:after="0" w:line="36"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2024 for each other Named Executive Officer, as reflected in the table below, was based on the market-based salary adjustments recommended by Aon, as well as recommendations by the Chief Executive Officer and consideration of the scope of duties for such Named Executive Officer.</w:t>
      </w:r>
    </w:p>
    <w:p>
      <w:pPr>
        <w:spacing w:after="0" w:line="266"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400" w:type="dxa"/>
            <w:vAlign w:val="bottom"/>
          </w:tcPr>
          <w:p>
            <w:pPr>
              <w:spacing w:after="0"/>
              <w:rPr>
                <w:sz w:val="18"/>
                <w:szCs w:val="18"/>
                <w:color w:val="auto"/>
              </w:rPr>
            </w:pPr>
          </w:p>
        </w:tc>
        <w:tc>
          <w:tcPr>
            <w:tcW w:w="264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FY2024</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FY2023</w:t>
            </w:r>
          </w:p>
        </w:tc>
      </w:tr>
      <w:tr>
        <w:trPr>
          <w:trHeight w:val="238"/>
        </w:trPr>
        <w:tc>
          <w:tcPr>
            <w:tcW w:w="2400" w:type="dxa"/>
            <w:vAlign w:val="bottom"/>
          </w:tcPr>
          <w:p>
            <w:pPr>
              <w:spacing w:after="0"/>
              <w:rPr>
                <w:sz w:val="20"/>
                <w:szCs w:val="20"/>
                <w:color w:val="auto"/>
              </w:rPr>
            </w:pPr>
          </w:p>
        </w:tc>
        <w:tc>
          <w:tcPr>
            <w:tcW w:w="2640" w:type="dxa"/>
            <w:vAlign w:val="bottom"/>
          </w:tcPr>
          <w:p>
            <w:pPr>
              <w:ind w:left="1240"/>
              <w:spacing w:after="0"/>
              <w:rPr>
                <w:sz w:val="20"/>
                <w:szCs w:val="20"/>
                <w:color w:val="auto"/>
              </w:rPr>
            </w:pPr>
            <w:r>
              <w:rPr>
                <w:rFonts w:ascii="Times New Roman" w:cs="Times New Roman" w:eastAsia="Times New Roman" w:hAnsi="Times New Roman"/>
                <w:sz w:val="18"/>
                <w:szCs w:val="18"/>
                <w:b w:val="1"/>
                <w:bCs w:val="1"/>
                <w:color w:val="auto"/>
              </w:rPr>
              <w:t>Base Salary ($)</w:t>
            </w:r>
          </w:p>
        </w:tc>
        <w:tc>
          <w:tcPr>
            <w:tcW w:w="16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Base Salary ($)</w:t>
            </w:r>
          </w:p>
        </w:tc>
      </w:tr>
      <w:tr>
        <w:trPr>
          <w:trHeight w:val="54"/>
        </w:trPr>
        <w:tc>
          <w:tcPr>
            <w:tcW w:w="2400" w:type="dxa"/>
            <w:vAlign w:val="bottom"/>
          </w:tcPr>
          <w:p>
            <w:pPr>
              <w:spacing w:after="0"/>
              <w:rPr>
                <w:sz w:val="4"/>
                <w:szCs w:val="4"/>
                <w:color w:val="auto"/>
              </w:rPr>
            </w:pPr>
          </w:p>
        </w:tc>
        <w:tc>
          <w:tcPr>
            <w:tcW w:w="2640" w:type="dxa"/>
            <w:vAlign w:val="bottom"/>
          </w:tcPr>
          <w:p>
            <w:pPr>
              <w:spacing w:after="0"/>
              <w:rPr>
                <w:sz w:val="4"/>
                <w:szCs w:val="4"/>
                <w:color w:val="auto"/>
              </w:rPr>
            </w:pPr>
          </w:p>
        </w:tc>
        <w:tc>
          <w:tcPr>
            <w:tcW w:w="1620" w:type="dxa"/>
            <w:vAlign w:val="bottom"/>
          </w:tcPr>
          <w:p>
            <w:pPr>
              <w:spacing w:after="0"/>
              <w:rPr>
                <w:sz w:val="4"/>
                <w:szCs w:val="4"/>
                <w:color w:val="auto"/>
              </w:rPr>
            </w:pPr>
          </w:p>
        </w:tc>
      </w:tr>
      <w:tr>
        <w:trPr>
          <w:trHeight w:val="229"/>
        </w:trPr>
        <w:tc>
          <w:tcPr>
            <w:tcW w:w="2400" w:type="dxa"/>
            <w:vAlign w:val="bottom"/>
            <w:shd w:val="clear" w:color="auto" w:fill="D9D9D9"/>
          </w:tcPr>
          <w:p>
            <w:pPr>
              <w:ind w:left="20"/>
              <w:spacing w:after="0"/>
              <w:rPr>
                <w:sz w:val="20"/>
                <w:szCs w:val="20"/>
                <w:color w:val="auto"/>
              </w:rPr>
            </w:pPr>
            <w:r>
              <w:rPr>
                <w:rFonts w:ascii="Times New Roman" w:cs="Times New Roman" w:eastAsia="Times New Roman" w:hAnsi="Times New Roman"/>
                <w:sz w:val="18"/>
                <w:szCs w:val="18"/>
                <w:color w:val="auto"/>
              </w:rPr>
              <w:t>Liam K. Griffin</w:t>
            </w:r>
          </w:p>
        </w:tc>
        <w:tc>
          <w:tcPr>
            <w:tcW w:w="2640" w:type="dxa"/>
            <w:vAlign w:val="bottom"/>
            <w:shd w:val="clear" w:color="auto" w:fill="D9D9D9"/>
          </w:tcPr>
          <w:p>
            <w:pPr>
              <w:jc w:val="center"/>
              <w:ind w:left="910"/>
              <w:spacing w:after="0"/>
              <w:rPr>
                <w:sz w:val="20"/>
                <w:szCs w:val="20"/>
                <w:color w:val="auto"/>
              </w:rPr>
            </w:pPr>
            <w:r>
              <w:rPr>
                <w:rFonts w:ascii="Times New Roman" w:cs="Times New Roman" w:eastAsia="Times New Roman" w:hAnsi="Times New Roman"/>
                <w:sz w:val="18"/>
                <w:szCs w:val="18"/>
                <w:color w:val="auto"/>
                <w:w w:val="99"/>
              </w:rPr>
              <w:t>1,175,000</w:t>
            </w:r>
          </w:p>
        </w:tc>
        <w:tc>
          <w:tcPr>
            <w:tcW w:w="162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1,175,000</w:t>
            </w:r>
          </w:p>
        </w:tc>
      </w:tr>
      <w:tr>
        <w:trPr>
          <w:trHeight w:val="230"/>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Kris Sennesael</w:t>
            </w:r>
          </w:p>
        </w:tc>
        <w:tc>
          <w:tcPr>
            <w:tcW w:w="264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630,000</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606,000</w:t>
            </w:r>
          </w:p>
        </w:tc>
      </w:tr>
      <w:tr>
        <w:trPr>
          <w:trHeight w:val="229"/>
        </w:trPr>
        <w:tc>
          <w:tcPr>
            <w:tcW w:w="2400" w:type="dxa"/>
            <w:vAlign w:val="bottom"/>
            <w:shd w:val="clear" w:color="auto" w:fill="D9D9D9"/>
          </w:tcPr>
          <w:p>
            <w:pPr>
              <w:ind w:left="20"/>
              <w:spacing w:after="0"/>
              <w:rPr>
                <w:sz w:val="20"/>
                <w:szCs w:val="20"/>
                <w:color w:val="auto"/>
              </w:rPr>
            </w:pPr>
            <w:r>
              <w:rPr>
                <w:rFonts w:ascii="Times New Roman" w:cs="Times New Roman" w:eastAsia="Times New Roman" w:hAnsi="Times New Roman"/>
                <w:sz w:val="18"/>
                <w:szCs w:val="18"/>
                <w:color w:val="auto"/>
              </w:rPr>
              <w:t>Reza Kasnavi</w:t>
            </w:r>
          </w:p>
        </w:tc>
        <w:tc>
          <w:tcPr>
            <w:tcW w:w="2640" w:type="dxa"/>
            <w:vAlign w:val="bottom"/>
            <w:shd w:val="clear" w:color="auto" w:fill="D9D9D9"/>
          </w:tcPr>
          <w:p>
            <w:pPr>
              <w:jc w:val="center"/>
              <w:ind w:left="930"/>
              <w:spacing w:after="0"/>
              <w:rPr>
                <w:sz w:val="20"/>
                <w:szCs w:val="20"/>
                <w:color w:val="auto"/>
              </w:rPr>
            </w:pPr>
            <w:r>
              <w:rPr>
                <w:rFonts w:ascii="Times New Roman" w:cs="Times New Roman" w:eastAsia="Times New Roman" w:hAnsi="Times New Roman"/>
                <w:sz w:val="18"/>
                <w:szCs w:val="18"/>
                <w:color w:val="auto"/>
                <w:w w:val="99"/>
              </w:rPr>
              <w:t>600,000</w:t>
            </w:r>
          </w:p>
        </w:tc>
        <w:tc>
          <w:tcPr>
            <w:tcW w:w="162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576,000</w:t>
            </w:r>
          </w:p>
        </w:tc>
      </w:tr>
      <w:tr>
        <w:trPr>
          <w:trHeight w:val="229"/>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Carlos S. Bori</w:t>
            </w:r>
          </w:p>
        </w:tc>
        <w:tc>
          <w:tcPr>
            <w:tcW w:w="264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600,000</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541,000</w:t>
            </w:r>
          </w:p>
        </w:tc>
      </w:tr>
      <w:tr>
        <w:trPr>
          <w:trHeight w:val="230"/>
        </w:trPr>
        <w:tc>
          <w:tcPr>
            <w:tcW w:w="2400" w:type="dxa"/>
            <w:vAlign w:val="bottom"/>
            <w:shd w:val="clear" w:color="auto" w:fill="D9D9D9"/>
          </w:tcPr>
          <w:p>
            <w:pPr>
              <w:ind w:left="20"/>
              <w:spacing w:after="0"/>
              <w:rPr>
                <w:sz w:val="20"/>
                <w:szCs w:val="20"/>
                <w:color w:val="auto"/>
              </w:rPr>
            </w:pPr>
            <w:r>
              <w:rPr>
                <w:rFonts w:ascii="Times New Roman" w:cs="Times New Roman" w:eastAsia="Times New Roman" w:hAnsi="Times New Roman"/>
                <w:sz w:val="18"/>
                <w:szCs w:val="18"/>
                <w:color w:val="auto"/>
              </w:rPr>
              <w:t>Robert J. Terry</w:t>
            </w:r>
          </w:p>
        </w:tc>
        <w:tc>
          <w:tcPr>
            <w:tcW w:w="2640" w:type="dxa"/>
            <w:vAlign w:val="bottom"/>
            <w:shd w:val="clear" w:color="auto" w:fill="D9D9D9"/>
          </w:tcPr>
          <w:p>
            <w:pPr>
              <w:jc w:val="center"/>
              <w:ind w:left="930"/>
              <w:spacing w:after="0"/>
              <w:rPr>
                <w:sz w:val="20"/>
                <w:szCs w:val="20"/>
                <w:color w:val="auto"/>
              </w:rPr>
            </w:pPr>
            <w:r>
              <w:rPr>
                <w:rFonts w:ascii="Times New Roman" w:cs="Times New Roman" w:eastAsia="Times New Roman" w:hAnsi="Times New Roman"/>
                <w:sz w:val="18"/>
                <w:szCs w:val="18"/>
                <w:color w:val="auto"/>
                <w:w w:val="99"/>
              </w:rPr>
              <w:t>562,000</w:t>
            </w:r>
          </w:p>
        </w:tc>
        <w:tc>
          <w:tcPr>
            <w:tcW w:w="162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540,000</w:t>
            </w:r>
          </w:p>
        </w:tc>
      </w:tr>
    </w:tbl>
    <w:p>
      <w:pPr>
        <w:spacing w:after="0" w:line="3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Short-Term Incentives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27" w:lineRule="exact"/>
        <w:rPr>
          <w:sz w:val="20"/>
          <w:szCs w:val="20"/>
          <w:color w:val="auto"/>
        </w:rPr>
      </w:pPr>
    </w:p>
    <w:p>
      <w:pPr>
        <w:jc w:val="both"/>
        <w:ind w:firstLine="389"/>
        <w:spacing w:after="0" w:line="294" w:lineRule="auto"/>
        <w:rPr>
          <w:sz w:val="20"/>
          <w:szCs w:val="20"/>
          <w:color w:val="auto"/>
        </w:rPr>
      </w:pPr>
      <w:r>
        <w:rPr>
          <w:rFonts w:ascii="Times New Roman" w:cs="Times New Roman" w:eastAsia="Times New Roman" w:hAnsi="Times New Roman"/>
          <w:sz w:val="18"/>
          <w:szCs w:val="18"/>
          <w:color w:val="auto"/>
        </w:rPr>
        <w:t>Our short-term incentive compensation plan for executive officers is established annually by the Compensation Committee and is intended to motivate and reward executives by tying a significant portion of their total cash compensation to the Company’s achievement of pre-established performance goals that are generally one year or less in duration. The Compensation Committee believes that pre-established performance goals under the Company’s short-term incentive compensation plan for executive officers should generally be measured over a one-year performance period. Beginning with the Company’s fiscal year ended October 2, 2020 (“fiscal year 2020”) and continuing through fiscal year 2023, the Compensation Committee established annual short-term compensation incentive plans with two six-month performance periods as a result of significant market uncertainties resulting from geopolitical concerns and global supply chain challenges affecting the Company and its customers, which made forecasting difficult.</w:t>
      </w:r>
    </w:p>
    <w:p>
      <w:pPr>
        <w:spacing w:after="0" w:line="210" w:lineRule="exact"/>
        <w:rPr>
          <w:sz w:val="20"/>
          <w:szCs w:val="20"/>
          <w:color w:val="auto"/>
        </w:rPr>
      </w:pPr>
    </w:p>
    <w:p>
      <w:pPr>
        <w:jc w:val="both"/>
        <w:ind w:firstLine="389"/>
        <w:spacing w:after="0" w:line="302" w:lineRule="auto"/>
        <w:rPr>
          <w:sz w:val="20"/>
          <w:szCs w:val="20"/>
          <w:color w:val="auto"/>
        </w:rPr>
      </w:pPr>
      <w:r>
        <w:rPr>
          <w:rFonts w:ascii="Times New Roman" w:cs="Times New Roman" w:eastAsia="Times New Roman" w:hAnsi="Times New Roman"/>
          <w:sz w:val="18"/>
          <w:szCs w:val="18"/>
          <w:color w:val="auto"/>
        </w:rPr>
        <w:t>With respect to the fiscal year 2024 Executive Incentive Plan (the “Incentive Plan”) adopted by the Compensation Committee on December 14, 2023, in large part due to feedback from the Company’s stockholders, the Compensation Committee returned to an annual performance period for the short-term compensation incentive plan despite some continuing uncertain market conditions. Although significant macroeconomic challenges persisted, the Compensation Committee believed that it could set appropriately rigorous performance goals for a one-year period for fiscal year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Incentive Opportunities</w:t>
      </w:r>
    </w:p>
    <w:p>
      <w:pPr>
        <w:spacing w:after="0" w:line="227" w:lineRule="exact"/>
        <w:rPr>
          <w:sz w:val="20"/>
          <w:szCs w:val="20"/>
          <w:color w:val="auto"/>
        </w:rPr>
      </w:pPr>
    </w:p>
    <w:p>
      <w:pPr>
        <w:jc w:val="both"/>
        <w:ind w:firstLine="389"/>
        <w:spacing w:after="0" w:line="302" w:lineRule="auto"/>
        <w:rPr>
          <w:sz w:val="20"/>
          <w:szCs w:val="20"/>
          <w:color w:val="auto"/>
        </w:rPr>
      </w:pPr>
      <w:r>
        <w:rPr>
          <w:rFonts w:ascii="Times New Roman" w:cs="Times New Roman" w:eastAsia="Times New Roman" w:hAnsi="Times New Roman"/>
          <w:sz w:val="18"/>
          <w:szCs w:val="18"/>
          <w:color w:val="auto"/>
        </w:rPr>
        <w:t>For each executive officer, short-term incentive compensation at the “target” level is designed to be near the median short-term incentive compensation of the Comparator Group. After reviewing Comparator Group data, the Compensation Committee determined that the target incentive under the Incentive Plan, as a percentage of base salary, for each of the Named Executive Officers should not be changed, as compared to the target incentives under the prior year’s short-term incentive plan.</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3" w:name="page14"/>
    <w:bookmarkEnd w:id="13"/>
    <w:p>
      <w:pPr>
        <w:jc w:val="both"/>
        <w:ind w:right="20" w:firstLine="389"/>
        <w:spacing w:after="0" w:line="313" w:lineRule="auto"/>
        <w:rPr>
          <w:sz w:val="20"/>
          <w:szCs w:val="20"/>
          <w:color w:val="auto"/>
        </w:rPr>
      </w:pPr>
      <w:r>
        <w:rPr>
          <w:rFonts w:ascii="Times New Roman" w:cs="Times New Roman" w:eastAsia="Times New Roman" w:hAnsi="Times New Roman"/>
          <w:sz w:val="18"/>
          <w:szCs w:val="18"/>
          <w:color w:val="auto"/>
        </w:rPr>
        <w:t>The following table shows the range of short-term incentive compensation that each Named Executive Officer could earn in fiscal year 2024 as a percentage of such executive officer’s annual base salary.</w:t>
      </w:r>
    </w:p>
    <w:p>
      <w:pPr>
        <w:spacing w:after="0" w:line="226" w:lineRule="exact"/>
        <w:rPr>
          <w:sz w:val="20"/>
          <w:szCs w:val="20"/>
          <w:color w:val="auto"/>
        </w:rPr>
      </w:pPr>
    </w:p>
    <w:tbl>
      <w:tblPr>
        <w:tblLayout w:type="fixed"/>
        <w:tblInd w:w="2200" w:type="dxa"/>
        <w:tblCellMar>
          <w:top w:w="0" w:type="dxa"/>
          <w:left w:w="0" w:type="dxa"/>
          <w:bottom w:w="0" w:type="dxa"/>
          <w:right w:w="0" w:type="dxa"/>
        </w:tblCellMar>
      </w:tblPr>
      <w:tr>
        <w:trPr>
          <w:trHeight w:val="238"/>
        </w:trPr>
        <w:tc>
          <w:tcPr>
            <w:tcW w:w="288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Threshold</w:t>
            </w:r>
          </w:p>
        </w:tc>
        <w:tc>
          <w:tcPr>
            <w:tcW w:w="11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r>
      <w:tr>
        <w:trPr>
          <w:trHeight w:val="229"/>
        </w:trPr>
        <w:tc>
          <w:tcPr>
            <w:tcW w:w="2880" w:type="dxa"/>
            <w:vAlign w:val="bottom"/>
            <w:shd w:val="clear" w:color="auto" w:fill="D9D9D9"/>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140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80%</w:t>
            </w:r>
          </w:p>
        </w:tc>
        <w:tc>
          <w:tcPr>
            <w:tcW w:w="114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160%</w:t>
            </w:r>
          </w:p>
        </w:tc>
        <w:tc>
          <w:tcPr>
            <w:tcW w:w="144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320%</w:t>
            </w:r>
          </w:p>
        </w:tc>
      </w:tr>
      <w:tr>
        <w:trPr>
          <w:trHeight w:val="229"/>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r>
      <w:tr>
        <w:trPr>
          <w:trHeight w:val="230"/>
        </w:trPr>
        <w:tc>
          <w:tcPr>
            <w:tcW w:w="2880" w:type="dxa"/>
            <w:vAlign w:val="bottom"/>
            <w:shd w:val="clear" w:color="auto" w:fill="DBDBDB"/>
          </w:tcPr>
          <w:p>
            <w:pPr>
              <w:spacing w:after="0"/>
              <w:rPr>
                <w:sz w:val="20"/>
                <w:szCs w:val="20"/>
                <w:color w:val="auto"/>
              </w:rPr>
            </w:pPr>
            <w:r>
              <w:rPr>
                <w:rFonts w:ascii="Times New Roman" w:cs="Times New Roman" w:eastAsia="Times New Roman" w:hAnsi="Times New Roman"/>
                <w:sz w:val="18"/>
                <w:szCs w:val="18"/>
                <w:color w:val="auto"/>
              </w:rPr>
              <w:t>Other Named Executive Officers</w:t>
            </w:r>
          </w:p>
        </w:tc>
        <w:tc>
          <w:tcPr>
            <w:tcW w:w="140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114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6"/>
              </w:rPr>
              <w:t>80%</w:t>
            </w:r>
          </w:p>
        </w:tc>
        <w:tc>
          <w:tcPr>
            <w:tcW w:w="144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160%</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Goals</w:t>
      </w:r>
    </w:p>
    <w:p>
      <w:pPr>
        <w:spacing w:after="0" w:line="227" w:lineRule="exact"/>
        <w:rPr>
          <w:sz w:val="20"/>
          <w:szCs w:val="20"/>
          <w:color w:val="auto"/>
        </w:rPr>
      </w:pPr>
    </w:p>
    <w:p>
      <w:pPr>
        <w:jc w:val="both"/>
        <w:ind w:firstLine="389"/>
        <w:spacing w:after="0" w:line="280" w:lineRule="auto"/>
        <w:rPr>
          <w:sz w:val="20"/>
          <w:szCs w:val="20"/>
          <w:color w:val="auto"/>
        </w:rPr>
      </w:pPr>
      <w:r>
        <w:rPr>
          <w:rFonts w:ascii="Times New Roman" w:cs="Times New Roman" w:eastAsia="Times New Roman" w:hAnsi="Times New Roman"/>
          <w:sz w:val="18"/>
          <w:szCs w:val="18"/>
          <w:color w:val="auto"/>
        </w:rPr>
        <w:t>In December 2023, the Compensation Committee established performance goals for the Incentive Plan that were based on achieving revenue and non-GAAP operating income performance goals, each of which was weighted at 50%. The non-GAAP operating income performance goal is measured based on the Company’s publicly disclosed non-GAAP operating income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after accounting for any incentive award payments, including those to be made under the Incentive Plan.</w:t>
      </w:r>
    </w:p>
    <w:p>
      <w:pPr>
        <w:spacing w:after="0" w:line="209" w:lineRule="exact"/>
        <w:rPr>
          <w:sz w:val="20"/>
          <w:szCs w:val="20"/>
          <w:color w:val="auto"/>
        </w:rPr>
      </w:pPr>
    </w:p>
    <w:p>
      <w:pPr>
        <w:jc w:val="both"/>
        <w:ind w:firstLine="389"/>
        <w:spacing w:after="0" w:line="297" w:lineRule="auto"/>
        <w:rPr>
          <w:sz w:val="20"/>
          <w:szCs w:val="20"/>
          <w:color w:val="auto"/>
        </w:rPr>
      </w:pPr>
      <w:r>
        <w:rPr>
          <w:rFonts w:ascii="Times New Roman" w:cs="Times New Roman" w:eastAsia="Times New Roman" w:hAnsi="Times New Roman"/>
          <w:sz w:val="18"/>
          <w:szCs w:val="18"/>
          <w:color w:val="auto"/>
        </w:rPr>
        <w:t>The target level performance goals were established by the Compensation Committee under the Incentive Plan after reviewing the Company’s historical operating results, as well as the Company’s business outlook and expected future results relative to peers and were designed to require significant effort and operational success on the part of our executives and the Company. The maximum level performance goals established by the Compensation Committee have historically been difficult to achieve and are designed to represent outstanding performance that the Compensation Committee believes should be rewarded.</w:t>
      </w:r>
    </w:p>
    <w:p>
      <w:pPr>
        <w:spacing w:after="0" w:line="2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performance goals established under the Incentive Plan for fiscal year 2024 were as follows:</w:t>
      </w:r>
    </w:p>
    <w:p>
      <w:pPr>
        <w:spacing w:after="0" w:line="284" w:lineRule="exact"/>
        <w:rPr>
          <w:sz w:val="20"/>
          <w:szCs w:val="20"/>
          <w:color w:val="auto"/>
        </w:rPr>
      </w:pPr>
    </w:p>
    <w:tbl>
      <w:tblPr>
        <w:tblLayout w:type="fixed"/>
        <w:tblInd w:w="1240" w:type="dxa"/>
        <w:tblCellMar>
          <w:top w:w="0" w:type="dxa"/>
          <w:left w:w="0" w:type="dxa"/>
          <w:bottom w:w="0" w:type="dxa"/>
          <w:right w:w="0" w:type="dxa"/>
        </w:tblCellMar>
      </w:tblPr>
      <w:tr>
        <w:trPr>
          <w:trHeight w:val="207"/>
        </w:trPr>
        <w:tc>
          <w:tcPr>
            <w:tcW w:w="3240" w:type="dxa"/>
            <w:vAlign w:val="bottom"/>
            <w:vMerge w:val="restart"/>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2500" w:type="dxa"/>
            <w:vAlign w:val="bottom"/>
            <w:vMerge w:val="restart"/>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6"/>
              </w:rPr>
              <w:t>Revenue</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Non-GAAP</w:t>
            </w:r>
          </w:p>
        </w:tc>
        <w:tc>
          <w:tcPr>
            <w:tcW w:w="0" w:type="dxa"/>
            <w:vAlign w:val="bottom"/>
          </w:tcPr>
          <w:p>
            <w:pPr>
              <w:spacing w:after="0"/>
              <w:rPr>
                <w:sz w:val="1"/>
                <w:szCs w:val="1"/>
                <w:color w:val="auto"/>
              </w:rPr>
            </w:pPr>
          </w:p>
        </w:tc>
      </w:tr>
      <w:tr>
        <w:trPr>
          <w:trHeight w:val="144"/>
        </w:trPr>
        <w:tc>
          <w:tcPr>
            <w:tcW w:w="3240" w:type="dxa"/>
            <w:vAlign w:val="bottom"/>
            <w:vMerge w:val="continue"/>
          </w:tcPr>
          <w:p>
            <w:pPr>
              <w:spacing w:after="0"/>
              <w:rPr>
                <w:sz w:val="12"/>
                <w:szCs w:val="12"/>
                <w:color w:val="auto"/>
              </w:rPr>
            </w:pPr>
          </w:p>
        </w:tc>
        <w:tc>
          <w:tcPr>
            <w:tcW w:w="2500" w:type="dxa"/>
            <w:vAlign w:val="bottom"/>
            <w:vMerge w:val="continue"/>
          </w:tcPr>
          <w:p>
            <w:pPr>
              <w:spacing w:after="0"/>
              <w:rPr>
                <w:sz w:val="12"/>
                <w:szCs w:val="12"/>
                <w:color w:val="auto"/>
              </w:rPr>
            </w:pPr>
          </w:p>
        </w:tc>
        <w:tc>
          <w:tcPr>
            <w:tcW w:w="3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Operating Income</w:t>
            </w:r>
          </w:p>
        </w:tc>
        <w:tc>
          <w:tcPr>
            <w:tcW w:w="0" w:type="dxa"/>
            <w:vAlign w:val="bottom"/>
          </w:tcPr>
          <w:p>
            <w:pPr>
              <w:spacing w:after="0"/>
              <w:rPr>
                <w:sz w:val="1"/>
                <w:szCs w:val="1"/>
                <w:color w:val="auto"/>
              </w:rPr>
            </w:pPr>
          </w:p>
        </w:tc>
      </w:tr>
      <w:tr>
        <w:trPr>
          <w:trHeight w:val="94"/>
        </w:trPr>
        <w:tc>
          <w:tcPr>
            <w:tcW w:w="3240" w:type="dxa"/>
            <w:vAlign w:val="bottom"/>
          </w:tcPr>
          <w:p>
            <w:pPr>
              <w:spacing w:after="0"/>
              <w:rPr>
                <w:sz w:val="8"/>
                <w:szCs w:val="8"/>
                <w:color w:val="auto"/>
              </w:rPr>
            </w:pPr>
          </w:p>
        </w:tc>
        <w:tc>
          <w:tcPr>
            <w:tcW w:w="2500" w:type="dxa"/>
            <w:vAlign w:val="bottom"/>
          </w:tcPr>
          <w:p>
            <w:pPr>
              <w:spacing w:after="0"/>
              <w:rPr>
                <w:sz w:val="8"/>
                <w:szCs w:val="8"/>
                <w:color w:val="auto"/>
              </w:rPr>
            </w:pPr>
          </w:p>
        </w:tc>
        <w:tc>
          <w:tcPr>
            <w:tcW w:w="3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DBDBDB"/>
          </w:tcPr>
          <w:p>
            <w:pPr>
              <w:jc w:val="center"/>
              <w:ind w:left="170"/>
              <w:spacing w:after="0"/>
              <w:rPr>
                <w:sz w:val="20"/>
                <w:szCs w:val="20"/>
                <w:color w:val="auto"/>
              </w:rPr>
            </w:pPr>
            <w:r>
              <w:rPr>
                <w:rFonts w:ascii="Times New Roman" w:cs="Times New Roman" w:eastAsia="Times New Roman" w:hAnsi="Times New Roman"/>
                <w:sz w:val="18"/>
                <w:szCs w:val="18"/>
                <w:color w:val="auto"/>
              </w:rPr>
              <w:t>Threshold</w:t>
            </w:r>
          </w:p>
        </w:tc>
        <w:tc>
          <w:tcPr>
            <w:tcW w:w="2500" w:type="dxa"/>
            <w:vAlign w:val="bottom"/>
            <w:shd w:val="clear" w:color="auto" w:fill="DBDBDB"/>
          </w:tcPr>
          <w:p>
            <w:pPr>
              <w:jc w:val="center"/>
              <w:ind w:left="130"/>
              <w:spacing w:after="0"/>
              <w:rPr>
                <w:sz w:val="20"/>
                <w:szCs w:val="20"/>
                <w:color w:val="auto"/>
              </w:rPr>
            </w:pPr>
            <w:r>
              <w:rPr>
                <w:rFonts w:ascii="Times New Roman" w:cs="Times New Roman" w:eastAsia="Times New Roman" w:hAnsi="Times New Roman"/>
                <w:sz w:val="18"/>
                <w:szCs w:val="18"/>
                <w:color w:val="auto"/>
                <w:w w:val="96"/>
              </w:rPr>
              <w:t>$4,000</w:t>
            </w:r>
          </w:p>
        </w:tc>
        <w:tc>
          <w:tcPr>
            <w:tcW w:w="30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324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7"/>
              </w:rPr>
              <w:t>Target</w:t>
            </w:r>
          </w:p>
        </w:tc>
        <w:tc>
          <w:tcPr>
            <w:tcW w:w="25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6"/>
              </w:rPr>
              <w:t>$4,375</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$1,311</w:t>
            </w:r>
          </w:p>
        </w:tc>
        <w:tc>
          <w:tcPr>
            <w:tcW w:w="0" w:type="dxa"/>
            <w:vAlign w:val="bottom"/>
          </w:tcPr>
          <w:p>
            <w:pPr>
              <w:spacing w:after="0"/>
              <w:rPr>
                <w:sz w:val="1"/>
                <w:szCs w:val="1"/>
                <w:color w:val="auto"/>
              </w:rPr>
            </w:pPr>
          </w:p>
        </w:tc>
      </w:tr>
      <w:tr>
        <w:trPr>
          <w:trHeight w:val="229"/>
        </w:trPr>
        <w:tc>
          <w:tcPr>
            <w:tcW w:w="3240" w:type="dxa"/>
            <w:vAlign w:val="bottom"/>
            <w:shd w:val="clear" w:color="auto" w:fill="DBDBDB"/>
          </w:tcPr>
          <w:p>
            <w:pPr>
              <w:jc w:val="center"/>
              <w:ind w:left="170"/>
              <w:spacing w:after="0"/>
              <w:rPr>
                <w:sz w:val="20"/>
                <w:szCs w:val="20"/>
                <w:color w:val="auto"/>
              </w:rPr>
            </w:pPr>
            <w:r>
              <w:rPr>
                <w:rFonts w:ascii="Times New Roman" w:cs="Times New Roman" w:eastAsia="Times New Roman" w:hAnsi="Times New Roman"/>
                <w:sz w:val="18"/>
                <w:szCs w:val="18"/>
                <w:color w:val="auto"/>
                <w:w w:val="98"/>
              </w:rPr>
              <w:t>Maximum</w:t>
            </w:r>
          </w:p>
        </w:tc>
        <w:tc>
          <w:tcPr>
            <w:tcW w:w="2500" w:type="dxa"/>
            <w:vAlign w:val="bottom"/>
            <w:shd w:val="clear" w:color="auto" w:fill="DBDBDB"/>
          </w:tcPr>
          <w:p>
            <w:pPr>
              <w:jc w:val="center"/>
              <w:ind w:left="130"/>
              <w:spacing w:after="0"/>
              <w:rPr>
                <w:sz w:val="20"/>
                <w:szCs w:val="20"/>
                <w:color w:val="auto"/>
              </w:rPr>
            </w:pPr>
            <w:r>
              <w:rPr>
                <w:rFonts w:ascii="Times New Roman" w:cs="Times New Roman" w:eastAsia="Times New Roman" w:hAnsi="Times New Roman"/>
                <w:sz w:val="18"/>
                <w:szCs w:val="18"/>
                <w:color w:val="auto"/>
                <w:w w:val="96"/>
              </w:rPr>
              <w:t>$4,775</w:t>
            </w:r>
          </w:p>
        </w:tc>
        <w:tc>
          <w:tcPr>
            <w:tcW w:w="30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$1,605</w:t>
            </w:r>
          </w:p>
        </w:tc>
        <w:tc>
          <w:tcPr>
            <w:tcW w:w="0" w:type="dxa"/>
            <w:vAlign w:val="bottom"/>
          </w:tcPr>
          <w:p>
            <w:pPr>
              <w:spacing w:after="0"/>
              <w:rPr>
                <w:sz w:val="1"/>
                <w:szCs w:val="1"/>
                <w:color w:val="auto"/>
              </w:rPr>
            </w:pPr>
          </w:p>
        </w:tc>
      </w:tr>
    </w:tbl>
    <w:p>
      <w:pPr>
        <w:spacing w:after="0" w:line="333" w:lineRule="exact"/>
        <w:rPr>
          <w:sz w:val="20"/>
          <w:szCs w:val="20"/>
          <w:color w:val="auto"/>
        </w:rPr>
      </w:pPr>
    </w:p>
    <w:p>
      <w:pPr>
        <w:jc w:val="both"/>
        <w:ind w:firstLine="389"/>
        <w:spacing w:after="0" w:line="304" w:lineRule="auto"/>
        <w:rPr>
          <w:sz w:val="20"/>
          <w:szCs w:val="20"/>
          <w:color w:val="auto"/>
        </w:rPr>
      </w:pPr>
      <w:r>
        <w:rPr>
          <w:rFonts w:ascii="Times New Roman" w:cs="Times New Roman" w:eastAsia="Times New Roman" w:hAnsi="Times New Roman"/>
          <w:sz w:val="18"/>
          <w:szCs w:val="18"/>
          <w:color w:val="auto"/>
        </w:rPr>
        <w:t>The Compensation Committee seeks to set challenging yet attainable performance goals for incentive compensation to motivate our executives. For fiscal year 2024, the Compensation Committee, after substantial evaluation and discussion, set target performance goals that were below fiscal year 2023 performance. Nonetheless, the Compensation Committee believed that these goals reflected an appropriate level of rigor given several factors. The goals were established in alignment with the Company’s annual operating plan for fiscal year 2024, which took into account the broader macroeconomic environment, elevated levels of semiconductor inventory globally, and the performance expectations of our stockholders. The rigor of these target goals is underscored by the below-target achievement amounts as described in the section below. The Incentive Plan also stipulated that payouts to executives following the end of the fiscal year, under either of the revenue and non-GAAP operating income metrics, were conditioned upon the Company achieving full-year non-GAAP operating income of at least $1.0 billion.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Calculation of Incentive Plan Payments</w:t>
      </w:r>
    </w:p>
    <w:p>
      <w:pPr>
        <w:spacing w:after="0" w:line="227" w:lineRule="exact"/>
        <w:rPr>
          <w:sz w:val="20"/>
          <w:szCs w:val="20"/>
          <w:color w:val="auto"/>
        </w:rPr>
      </w:pPr>
    </w:p>
    <w:p>
      <w:pPr>
        <w:jc w:val="both"/>
        <w:ind w:right="20" w:firstLine="389"/>
        <w:spacing w:after="0" w:line="305" w:lineRule="auto"/>
        <w:rPr>
          <w:sz w:val="20"/>
          <w:szCs w:val="20"/>
          <w:color w:val="auto"/>
        </w:rPr>
      </w:pPr>
      <w:r>
        <w:rPr>
          <w:rFonts w:ascii="Times New Roman" w:cs="Times New Roman" w:eastAsia="Times New Roman" w:hAnsi="Times New Roman"/>
          <w:sz w:val="18"/>
          <w:szCs w:val="18"/>
          <w:color w:val="212529"/>
        </w:rPr>
        <w:t>Under the Incentive Plan, upon completion of the fiscal year, the Compensation Committee determined the extent to which the Company’s performance goals were attained, reviewed the Chief Executive Officer’s recommended payouts under the Incentive Plan, and approved the awards to be made under the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17145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30" w:lineRule="exact"/>
        <w:rPr>
          <w:sz w:val="20"/>
          <w:szCs w:val="20"/>
          <w:color w:val="auto"/>
        </w:rPr>
      </w:pPr>
    </w:p>
    <w:p>
      <w:pPr>
        <w:ind w:right="340" w:firstLine="8"/>
        <w:spacing w:after="0" w:line="246" w:lineRule="auto"/>
        <w:tabs>
          <w:tab w:leader="none" w:pos="103"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Non-GAAP operating income typically excludes from GAAP operating income the following: share-based compensation expense, acquisition-related expenses, amortization of acquisition-related intangibles, settlements, gains, losses, and impairments and restructuring-related charges.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4" w:name="page15"/>
    <w:bookmarkEnd w:id="14"/>
    <w:p>
      <w:pPr>
        <w:jc w:val="both"/>
        <w:ind w:firstLine="389"/>
        <w:spacing w:after="0" w:line="297" w:lineRule="auto"/>
        <w:rPr>
          <w:sz w:val="20"/>
          <w:szCs w:val="20"/>
          <w:color w:val="auto"/>
        </w:rPr>
      </w:pPr>
      <w:r>
        <w:rPr>
          <w:rFonts w:ascii="Times New Roman" w:cs="Times New Roman" w:eastAsia="Times New Roman" w:hAnsi="Times New Roman"/>
          <w:sz w:val="18"/>
          <w:szCs w:val="18"/>
          <w:color w:val="auto"/>
        </w:rPr>
        <w:t>Achievement under the performance goals at the “threshold,” “target,” or “maximum” level corresponds to payment under the Incentive Plan at the “threshold,” “target,” or “maximum” percentage, as applicable, with such percentage multiplied by the executive’s base salary for fiscal year 2024 and then multiplied by the weighting assigned to that performance goal. The payout for achievement under the performance goals between either the “threshold” and “target” levels or the “target” and “maximum” levels would be based on linear interpolation between the two relevant amounts.</w:t>
      </w:r>
    </w:p>
    <w:p>
      <w:pPr>
        <w:spacing w:after="0" w:line="217" w:lineRule="exact"/>
        <w:rPr>
          <w:sz w:val="20"/>
          <w:szCs w:val="20"/>
          <w:color w:val="auto"/>
        </w:rPr>
      </w:pPr>
    </w:p>
    <w:p>
      <w:pPr>
        <w:jc w:val="both"/>
        <w:ind w:firstLine="389"/>
        <w:spacing w:after="0" w:line="294" w:lineRule="auto"/>
        <w:rPr>
          <w:sz w:val="20"/>
          <w:szCs w:val="20"/>
          <w:color w:val="auto"/>
        </w:rPr>
      </w:pPr>
      <w:r>
        <w:rPr>
          <w:rFonts w:ascii="Times New Roman" w:cs="Times New Roman" w:eastAsia="Times New Roman" w:hAnsi="Times New Roman"/>
          <w:sz w:val="18"/>
          <w:szCs w:val="18"/>
          <w:color w:val="auto"/>
        </w:rPr>
        <w:t>Each executive’s payment under the Incentive Plan is calculated by evaluating achievement of each performance goal individually, determining the portion of the total eligible incentive payment earned with respect to each such performance goal, and totaling the resulting amounts. The Compensation Committee retained the discretion to make payments, upon consideration of recommendations by the Chief Executive Officer, even if the threshold performance goals were not met or if the nominal level of non-GAAP operating income was not met, or to make payments in excess of the maximum level if the Company’s performance exceeded the maximum performance goals. While the Compensation Committee believed it was appropriate to retain this discretion in order to make short-term incentive compensation awards in appropriate extraordinary circumstances, no such adjustments were actually made.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 Results</w:t>
      </w:r>
    </w:p>
    <w:p>
      <w:pPr>
        <w:spacing w:after="0" w:line="227" w:lineRule="exact"/>
        <w:rPr>
          <w:sz w:val="20"/>
          <w:szCs w:val="20"/>
          <w:color w:val="auto"/>
        </w:rPr>
      </w:pPr>
    </w:p>
    <w:p>
      <w:pPr>
        <w:jc w:val="both"/>
        <w:ind w:firstLine="389"/>
        <w:spacing w:after="0" w:line="313" w:lineRule="auto"/>
        <w:rPr>
          <w:sz w:val="20"/>
          <w:szCs w:val="20"/>
          <w:color w:val="auto"/>
        </w:rPr>
      </w:pPr>
      <w:r>
        <w:rPr>
          <w:rFonts w:ascii="Times New Roman" w:cs="Times New Roman" w:eastAsia="Times New Roman" w:hAnsi="Times New Roman"/>
          <w:sz w:val="18"/>
          <w:szCs w:val="18"/>
          <w:color w:val="auto"/>
        </w:rPr>
        <w:t>For fiscal year 2024, the Company’s revenue and non-GAAP operating income achieved were $4,178 million and $1,137 million, respectively, resulting in a short-term compensation award for each Named Executive Officer equal to 73% of his or her target payment level.</w:t>
      </w:r>
    </w:p>
    <w:p>
      <w:pPr>
        <w:spacing w:after="0" w:line="203"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In November 2024, upon certifying that the nominal level of non-GAAP operating income had been achieved for the fiscal year, the Compensation Committee approved payment of the short-term incentive to the Company’s executives for fiscal year 2024. The Compensation Committee did not exercise discretion, either upward or downward, to executives’ payments under the Incentive Plan.</w:t>
      </w:r>
    </w:p>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shows the Company’s achievement under the Incentive Plan:</w:t>
      </w:r>
    </w:p>
    <w:p>
      <w:pPr>
        <w:spacing w:after="0" w:line="293" w:lineRule="exact"/>
        <w:rPr>
          <w:sz w:val="20"/>
          <w:szCs w:val="20"/>
          <w:color w:val="auto"/>
        </w:rPr>
      </w:pPr>
    </w:p>
    <w:tbl>
      <w:tblPr>
        <w:tblLayout w:type="fixed"/>
        <w:tblInd w:w="1120" w:type="dxa"/>
        <w:tblCellMar>
          <w:top w:w="0" w:type="dxa"/>
          <w:left w:w="0" w:type="dxa"/>
          <w:bottom w:w="0" w:type="dxa"/>
          <w:right w:w="0" w:type="dxa"/>
        </w:tblCellMar>
      </w:tblPr>
      <w:tr>
        <w:trPr>
          <w:trHeight w:val="207"/>
        </w:trPr>
        <w:tc>
          <w:tcPr>
            <w:tcW w:w="3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2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Non-GAAP</w:t>
            </w:r>
          </w:p>
        </w:tc>
        <w:tc>
          <w:tcPr>
            <w:tcW w:w="0" w:type="dxa"/>
            <w:vAlign w:val="bottom"/>
          </w:tcPr>
          <w:p>
            <w:pPr>
              <w:spacing w:after="0"/>
              <w:rPr>
                <w:sz w:val="1"/>
                <w:szCs w:val="1"/>
                <w:color w:val="auto"/>
              </w:rPr>
            </w:pPr>
          </w:p>
        </w:tc>
      </w:tr>
      <w:tr>
        <w:trPr>
          <w:trHeight w:val="149"/>
        </w:trPr>
        <w:tc>
          <w:tcPr>
            <w:tcW w:w="3600" w:type="dxa"/>
            <w:vAlign w:val="bottom"/>
            <w:vMerge w:val="continue"/>
          </w:tcPr>
          <w:p>
            <w:pPr>
              <w:spacing w:after="0"/>
              <w:rPr>
                <w:sz w:val="12"/>
                <w:szCs w:val="12"/>
                <w:color w:val="auto"/>
              </w:rPr>
            </w:pPr>
          </w:p>
        </w:tc>
        <w:tc>
          <w:tcPr>
            <w:tcW w:w="2300" w:type="dxa"/>
            <w:vAlign w:val="bottom"/>
            <w:vMerge w:val="continue"/>
          </w:tcPr>
          <w:p>
            <w:pPr>
              <w:spacing w:after="0"/>
              <w:rPr>
                <w:sz w:val="12"/>
                <w:szCs w:val="12"/>
                <w:color w:val="auto"/>
              </w:rPr>
            </w:pPr>
          </w:p>
        </w:tc>
        <w:tc>
          <w:tcPr>
            <w:tcW w:w="3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Operating Income</w:t>
            </w:r>
          </w:p>
        </w:tc>
        <w:tc>
          <w:tcPr>
            <w:tcW w:w="0" w:type="dxa"/>
            <w:vAlign w:val="bottom"/>
          </w:tcPr>
          <w:p>
            <w:pPr>
              <w:spacing w:after="0"/>
              <w:rPr>
                <w:sz w:val="1"/>
                <w:szCs w:val="1"/>
                <w:color w:val="auto"/>
              </w:rPr>
            </w:pPr>
          </w:p>
        </w:tc>
      </w:tr>
      <w:tr>
        <w:trPr>
          <w:trHeight w:val="92"/>
        </w:trPr>
        <w:tc>
          <w:tcPr>
            <w:tcW w:w="3600" w:type="dxa"/>
            <w:vAlign w:val="bottom"/>
          </w:tcPr>
          <w:p>
            <w:pPr>
              <w:spacing w:after="0"/>
              <w:rPr>
                <w:sz w:val="8"/>
                <w:szCs w:val="8"/>
                <w:color w:val="auto"/>
              </w:rPr>
            </w:pPr>
          </w:p>
        </w:tc>
        <w:tc>
          <w:tcPr>
            <w:tcW w:w="2300" w:type="dxa"/>
            <w:vAlign w:val="bottom"/>
          </w:tcPr>
          <w:p>
            <w:pPr>
              <w:spacing w:after="0"/>
              <w:rPr>
                <w:sz w:val="8"/>
                <w:szCs w:val="8"/>
                <w:color w:val="auto"/>
              </w:rPr>
            </w:pPr>
          </w:p>
        </w:tc>
        <w:tc>
          <w:tcPr>
            <w:tcW w:w="3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36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Threshold</w:t>
            </w:r>
          </w:p>
        </w:tc>
        <w:tc>
          <w:tcPr>
            <w:tcW w:w="230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$4,000</w:t>
            </w:r>
          </w:p>
        </w:tc>
        <w:tc>
          <w:tcPr>
            <w:tcW w:w="312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Target</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$4,375</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$1,311</w:t>
            </w:r>
          </w:p>
        </w:tc>
        <w:tc>
          <w:tcPr>
            <w:tcW w:w="0" w:type="dxa"/>
            <w:vAlign w:val="bottom"/>
          </w:tcPr>
          <w:p>
            <w:pPr>
              <w:spacing w:after="0"/>
              <w:rPr>
                <w:sz w:val="1"/>
                <w:szCs w:val="1"/>
                <w:color w:val="auto"/>
              </w:rPr>
            </w:pPr>
          </w:p>
        </w:tc>
      </w:tr>
      <w:tr>
        <w:trPr>
          <w:trHeight w:val="230"/>
        </w:trPr>
        <w:tc>
          <w:tcPr>
            <w:tcW w:w="360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8"/>
              </w:rPr>
              <w:t>Maximum</w:t>
            </w:r>
          </w:p>
        </w:tc>
        <w:tc>
          <w:tcPr>
            <w:tcW w:w="230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$4,775</w:t>
            </w:r>
          </w:p>
        </w:tc>
        <w:tc>
          <w:tcPr>
            <w:tcW w:w="312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$1,605</w:t>
            </w:r>
          </w:p>
        </w:tc>
        <w:tc>
          <w:tcPr>
            <w:tcW w:w="0" w:type="dxa"/>
            <w:vAlign w:val="bottom"/>
          </w:tcPr>
          <w:p>
            <w:pPr>
              <w:spacing w:after="0"/>
              <w:rPr>
                <w:sz w:val="1"/>
                <w:szCs w:val="1"/>
                <w:color w:val="auto"/>
              </w:rPr>
            </w:pPr>
          </w:p>
        </w:tc>
      </w:tr>
      <w:tr>
        <w:trPr>
          <w:trHeight w:val="238"/>
        </w:trPr>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Achieved</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$4,178</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$1,137</w:t>
            </w:r>
          </w:p>
        </w:tc>
        <w:tc>
          <w:tcPr>
            <w:tcW w:w="0" w:type="dxa"/>
            <w:vAlign w:val="bottom"/>
          </w:tcPr>
          <w:p>
            <w:pPr>
              <w:spacing w:after="0"/>
              <w:rPr>
                <w:sz w:val="1"/>
                <w:szCs w:val="1"/>
                <w:color w:val="auto"/>
              </w:rPr>
            </w:pPr>
          </w:p>
        </w:tc>
      </w:tr>
    </w:tbl>
    <w:p>
      <w:pPr>
        <w:spacing w:after="0" w:line="3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Long-Term Stock-Based Compensation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27" w:lineRule="exact"/>
        <w:rPr>
          <w:sz w:val="20"/>
          <w:szCs w:val="20"/>
          <w:color w:val="auto"/>
        </w:rPr>
      </w:pPr>
    </w:p>
    <w:p>
      <w:pPr>
        <w:jc w:val="both"/>
        <w:ind w:firstLine="389"/>
        <w:spacing w:after="0" w:line="297" w:lineRule="auto"/>
        <w:rPr>
          <w:sz w:val="20"/>
          <w:szCs w:val="20"/>
          <w:color w:val="auto"/>
        </w:rPr>
      </w:pPr>
      <w:r>
        <w:rPr>
          <w:rFonts w:ascii="Times New Roman" w:cs="Times New Roman" w:eastAsia="Times New Roman" w:hAnsi="Times New Roman"/>
          <w:sz w:val="18"/>
          <w:szCs w:val="18"/>
          <w:color w:val="auto"/>
        </w:rPr>
        <w:t>The Compensation Committee generally makes long-term stock-based compensation awards to executive officers on an annual basis. Long-term stock-based compensation awards are intended to align the interests of our executive officers with those of our stockholders and to reward our executive officers for increases in stockholder value over periods of time greater than one year. For fiscal year 2024, the Compensation Committee made an annual stock-based compensation award to each of the Named Executive Officers on November 7, 2023, at a regularly scheduled Compensation Committee meeting.</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color w:val="auto"/>
        </w:rPr>
        <w:t>Fiscal Year 2024 Stock-Based Compensation Awards</w:t>
      </w:r>
    </w:p>
    <w:p>
      <w:pPr>
        <w:spacing w:after="0" w:line="214" w:lineRule="exact"/>
        <w:rPr>
          <w:sz w:val="20"/>
          <w:szCs w:val="20"/>
          <w:color w:val="auto"/>
        </w:rPr>
      </w:pPr>
    </w:p>
    <w:p>
      <w:pPr>
        <w:jc w:val="both"/>
        <w:ind w:firstLine="389"/>
        <w:spacing w:after="0" w:line="293" w:lineRule="auto"/>
        <w:rPr>
          <w:sz w:val="20"/>
          <w:szCs w:val="20"/>
          <w:color w:val="auto"/>
        </w:rPr>
      </w:pPr>
      <w:r>
        <w:rPr>
          <w:rFonts w:ascii="Times New Roman" w:cs="Times New Roman" w:eastAsia="Times New Roman" w:hAnsi="Times New Roman"/>
          <w:sz w:val="18"/>
          <w:szCs w:val="18"/>
          <w:color w:val="auto"/>
        </w:rPr>
        <w:t>In making annual stock-based compensation awards to executive officers for fiscal year 2024, the Compensation Committee first reviewed the Comparator Group grant data by executive position. The Compensation Committee used that data to inform its determination of a target dollar value for the long-term stock-based award for each executive officer, as set forth in the table below, targeting awards for fiscal year 2024 that were competitive within the Comparator Group. Each executive officer was granted a performance share award (“PSA”) and a restricted stock unit (“RSU”) award equivalent to 60% and 40%, respectively, of the dollar value of the executive’s fiscal year 2024 stock-based award, calculating the number of shares subject to each award using the fair market value of the Company’s common stock on the date of such award and an assumption that the Company would achieve the “target” level of performance required to earn the PSA. The Compensation Committee’s rationale for awarding PSAs is to further align the executive’s interests with those of our stockholders by using equity awards that will vest only if the Company achieves pre-established performance goals, and we believe the Compensation Committee’s decision to award a portion of the PSAs subject to metrics measured over a multi-year performance period more closely aligns the executive’s interests with those of our stockholders. Each RSU award granted to executive officers in fiscal year 2024 vests over four years at a rate of twenty-five percent (25%) per year commencing one year from the grant date and thereafter on each subsequent anniversary of the grant date for the following three years, provided the executive officer remains employed by the Company through each such vesting date.</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60" w:type="dxa"/>
            <w:vAlign w:val="bottom"/>
          </w:tcPr>
          <w:p>
            <w:pPr>
              <w:spacing w:after="0"/>
              <w:rPr>
                <w:sz w:val="17"/>
                <w:szCs w:val="17"/>
                <w:color w:val="auto"/>
              </w:rPr>
            </w:pPr>
          </w:p>
        </w:tc>
        <w:tc>
          <w:tcPr>
            <w:tcW w:w="334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7"/>
              </w:rPr>
              <w:t>Value of FY24</w:t>
            </w:r>
          </w:p>
        </w:tc>
        <w:tc>
          <w:tcPr>
            <w:tcW w:w="328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Number of Shares Subject</w:t>
            </w:r>
          </w:p>
        </w:tc>
        <w:tc>
          <w:tcPr>
            <w:tcW w:w="25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Number of Shares</w:t>
            </w:r>
          </w:p>
        </w:tc>
      </w:tr>
      <w:tr>
        <w:trPr>
          <w:trHeight w:val="265"/>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34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Stock-Based Award (1)</w:t>
            </w:r>
          </w:p>
        </w:tc>
        <w:tc>
          <w:tcPr>
            <w:tcW w:w="328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to PSAs, at Target (2)</w:t>
            </w:r>
          </w:p>
        </w:tc>
        <w:tc>
          <w:tcPr>
            <w:tcW w:w="25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Subject to RSUs (2)</w:t>
            </w:r>
          </w:p>
        </w:tc>
      </w:tr>
      <w:tr>
        <w:trPr>
          <w:trHeight w:val="229"/>
        </w:trPr>
        <w:tc>
          <w:tcPr>
            <w:tcW w:w="2060" w:type="dxa"/>
            <w:vAlign w:val="bottom"/>
            <w:shd w:val="clear" w:color="auto" w:fill="D9D9D9"/>
          </w:tcPr>
          <w:p>
            <w:pPr>
              <w:ind w:left="20"/>
              <w:spacing w:after="0"/>
              <w:rPr>
                <w:sz w:val="20"/>
                <w:szCs w:val="20"/>
                <w:color w:val="auto"/>
              </w:rPr>
            </w:pPr>
            <w:r>
              <w:rPr>
                <w:rFonts w:ascii="Times New Roman" w:cs="Times New Roman" w:eastAsia="Times New Roman" w:hAnsi="Times New Roman"/>
                <w:sz w:val="18"/>
                <w:szCs w:val="18"/>
                <w:color w:val="auto"/>
              </w:rPr>
              <w:t>Liam K. Griffin</w:t>
            </w:r>
          </w:p>
        </w:tc>
        <w:tc>
          <w:tcPr>
            <w:tcW w:w="3340" w:type="dxa"/>
            <w:vAlign w:val="bottom"/>
            <w:shd w:val="clear" w:color="auto" w:fill="D9D9D9"/>
          </w:tcPr>
          <w:p>
            <w:pPr>
              <w:jc w:val="center"/>
              <w:ind w:left="110"/>
              <w:spacing w:after="0"/>
              <w:rPr>
                <w:sz w:val="20"/>
                <w:szCs w:val="20"/>
                <w:color w:val="auto"/>
              </w:rPr>
            </w:pPr>
            <w:r>
              <w:rPr>
                <w:rFonts w:ascii="Times New Roman" w:cs="Times New Roman" w:eastAsia="Times New Roman" w:hAnsi="Times New Roman"/>
                <w:sz w:val="18"/>
                <w:szCs w:val="18"/>
                <w:color w:val="auto"/>
                <w:w w:val="99"/>
              </w:rPr>
              <w:t>$14,000,000</w:t>
            </w:r>
          </w:p>
        </w:tc>
        <w:tc>
          <w:tcPr>
            <w:tcW w:w="3280" w:type="dxa"/>
            <w:vAlign w:val="bottom"/>
            <w:shd w:val="clear" w:color="auto" w:fill="D9D9D9"/>
          </w:tcPr>
          <w:p>
            <w:pPr>
              <w:jc w:val="center"/>
              <w:ind w:left="10"/>
              <w:spacing w:after="0"/>
              <w:rPr>
                <w:sz w:val="20"/>
                <w:szCs w:val="20"/>
                <w:color w:val="auto"/>
              </w:rPr>
            </w:pPr>
            <w:r>
              <w:rPr>
                <w:rFonts w:ascii="Times New Roman" w:cs="Times New Roman" w:eastAsia="Times New Roman" w:hAnsi="Times New Roman"/>
                <w:sz w:val="18"/>
                <w:szCs w:val="18"/>
                <w:color w:val="auto"/>
              </w:rPr>
              <w:t>94,002</w:t>
            </w:r>
          </w:p>
        </w:tc>
        <w:tc>
          <w:tcPr>
            <w:tcW w:w="2560" w:type="dxa"/>
            <w:vAlign w:val="bottom"/>
            <w:shd w:val="clear" w:color="auto" w:fill="D9D9D9"/>
          </w:tcPr>
          <w:p>
            <w:pPr>
              <w:jc w:val="center"/>
              <w:ind w:left="10"/>
              <w:spacing w:after="0"/>
              <w:rPr>
                <w:sz w:val="20"/>
                <w:szCs w:val="20"/>
                <w:color w:val="auto"/>
              </w:rPr>
            </w:pPr>
            <w:r>
              <w:rPr>
                <w:rFonts w:ascii="Times New Roman" w:cs="Times New Roman" w:eastAsia="Times New Roman" w:hAnsi="Times New Roman"/>
                <w:sz w:val="18"/>
                <w:szCs w:val="18"/>
                <w:color w:val="auto"/>
              </w:rPr>
              <w:t>62,667</w:t>
            </w:r>
          </w:p>
        </w:tc>
      </w:tr>
      <w:tr>
        <w:trPr>
          <w:trHeight w:val="230"/>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Kris Sennesael</w:t>
            </w:r>
          </w:p>
        </w:tc>
        <w:tc>
          <w:tcPr>
            <w:tcW w:w="33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$3,800,000</w:t>
            </w:r>
          </w:p>
        </w:tc>
        <w:tc>
          <w:tcPr>
            <w:tcW w:w="32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25,515</w:t>
            </w:r>
          </w:p>
        </w:tc>
        <w:tc>
          <w:tcPr>
            <w:tcW w:w="25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17,009</w:t>
            </w:r>
          </w:p>
        </w:tc>
      </w:tr>
      <w:tr>
        <w:trPr>
          <w:trHeight w:val="229"/>
        </w:trPr>
        <w:tc>
          <w:tcPr>
            <w:tcW w:w="2060" w:type="dxa"/>
            <w:vAlign w:val="bottom"/>
            <w:shd w:val="clear" w:color="auto" w:fill="D9D9D9"/>
          </w:tcPr>
          <w:p>
            <w:pPr>
              <w:ind w:left="20"/>
              <w:spacing w:after="0"/>
              <w:rPr>
                <w:sz w:val="20"/>
                <w:szCs w:val="20"/>
                <w:color w:val="auto"/>
              </w:rPr>
            </w:pPr>
            <w:r>
              <w:rPr>
                <w:rFonts w:ascii="Times New Roman" w:cs="Times New Roman" w:eastAsia="Times New Roman" w:hAnsi="Times New Roman"/>
                <w:sz w:val="18"/>
                <w:szCs w:val="18"/>
                <w:color w:val="auto"/>
              </w:rPr>
              <w:t>Reza Kasnavi</w:t>
            </w:r>
          </w:p>
        </w:tc>
        <w:tc>
          <w:tcPr>
            <w:tcW w:w="3340" w:type="dxa"/>
            <w:vAlign w:val="bottom"/>
            <w:shd w:val="clear" w:color="auto" w:fill="D9D9D9"/>
          </w:tcPr>
          <w:p>
            <w:pPr>
              <w:jc w:val="center"/>
              <w:ind w:left="90"/>
              <w:spacing w:after="0"/>
              <w:rPr>
                <w:sz w:val="20"/>
                <w:szCs w:val="20"/>
                <w:color w:val="auto"/>
              </w:rPr>
            </w:pPr>
            <w:r>
              <w:rPr>
                <w:rFonts w:ascii="Times New Roman" w:cs="Times New Roman" w:eastAsia="Times New Roman" w:hAnsi="Times New Roman"/>
                <w:sz w:val="18"/>
                <w:szCs w:val="18"/>
                <w:color w:val="auto"/>
                <w:w w:val="98"/>
              </w:rPr>
              <w:t>$4,000,000</w:t>
            </w:r>
          </w:p>
        </w:tc>
        <w:tc>
          <w:tcPr>
            <w:tcW w:w="3280" w:type="dxa"/>
            <w:vAlign w:val="bottom"/>
            <w:shd w:val="clear" w:color="auto" w:fill="D9D9D9"/>
          </w:tcPr>
          <w:p>
            <w:pPr>
              <w:jc w:val="center"/>
              <w:ind w:left="10"/>
              <w:spacing w:after="0"/>
              <w:rPr>
                <w:sz w:val="20"/>
                <w:szCs w:val="20"/>
                <w:color w:val="auto"/>
              </w:rPr>
            </w:pPr>
            <w:r>
              <w:rPr>
                <w:rFonts w:ascii="Times New Roman" w:cs="Times New Roman" w:eastAsia="Times New Roman" w:hAnsi="Times New Roman"/>
                <w:sz w:val="18"/>
                <w:szCs w:val="18"/>
                <w:color w:val="auto"/>
              </w:rPr>
              <w:t>26,857</w:t>
            </w:r>
          </w:p>
        </w:tc>
        <w:tc>
          <w:tcPr>
            <w:tcW w:w="2560" w:type="dxa"/>
            <w:vAlign w:val="bottom"/>
            <w:shd w:val="clear" w:color="auto" w:fill="D9D9D9"/>
          </w:tcPr>
          <w:p>
            <w:pPr>
              <w:jc w:val="center"/>
              <w:ind w:left="10"/>
              <w:spacing w:after="0"/>
              <w:rPr>
                <w:sz w:val="20"/>
                <w:szCs w:val="20"/>
                <w:color w:val="auto"/>
              </w:rPr>
            </w:pPr>
            <w:r>
              <w:rPr>
                <w:rFonts w:ascii="Times New Roman" w:cs="Times New Roman" w:eastAsia="Times New Roman" w:hAnsi="Times New Roman"/>
                <w:sz w:val="18"/>
                <w:szCs w:val="18"/>
                <w:color w:val="auto"/>
              </w:rPr>
              <w:t>17,905</w:t>
            </w:r>
          </w:p>
        </w:tc>
      </w:tr>
      <w:tr>
        <w:trPr>
          <w:trHeight w:val="229"/>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Carlos S. Bori</w:t>
            </w:r>
          </w:p>
        </w:tc>
        <w:tc>
          <w:tcPr>
            <w:tcW w:w="33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$4,000,000</w:t>
            </w:r>
          </w:p>
        </w:tc>
        <w:tc>
          <w:tcPr>
            <w:tcW w:w="32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26,857</w:t>
            </w:r>
          </w:p>
        </w:tc>
        <w:tc>
          <w:tcPr>
            <w:tcW w:w="25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17,905</w:t>
            </w:r>
          </w:p>
        </w:tc>
      </w:tr>
      <w:tr>
        <w:trPr>
          <w:trHeight w:val="230"/>
        </w:trPr>
        <w:tc>
          <w:tcPr>
            <w:tcW w:w="2060" w:type="dxa"/>
            <w:vAlign w:val="bottom"/>
            <w:shd w:val="clear" w:color="auto" w:fill="D9D9D9"/>
          </w:tcPr>
          <w:p>
            <w:pPr>
              <w:ind w:left="20"/>
              <w:spacing w:after="0"/>
              <w:rPr>
                <w:sz w:val="20"/>
                <w:szCs w:val="20"/>
                <w:color w:val="auto"/>
              </w:rPr>
            </w:pPr>
            <w:r>
              <w:rPr>
                <w:rFonts w:ascii="Times New Roman" w:cs="Times New Roman" w:eastAsia="Times New Roman" w:hAnsi="Times New Roman"/>
                <w:sz w:val="18"/>
                <w:szCs w:val="18"/>
                <w:color w:val="auto"/>
              </w:rPr>
              <w:t>Robert J. Terry</w:t>
            </w:r>
          </w:p>
        </w:tc>
        <w:tc>
          <w:tcPr>
            <w:tcW w:w="3340" w:type="dxa"/>
            <w:vAlign w:val="bottom"/>
            <w:shd w:val="clear" w:color="auto" w:fill="D9D9D9"/>
          </w:tcPr>
          <w:p>
            <w:pPr>
              <w:jc w:val="center"/>
              <w:ind w:left="90"/>
              <w:spacing w:after="0"/>
              <w:rPr>
                <w:sz w:val="20"/>
                <w:szCs w:val="20"/>
                <w:color w:val="auto"/>
              </w:rPr>
            </w:pPr>
            <w:r>
              <w:rPr>
                <w:rFonts w:ascii="Times New Roman" w:cs="Times New Roman" w:eastAsia="Times New Roman" w:hAnsi="Times New Roman"/>
                <w:sz w:val="18"/>
                <w:szCs w:val="18"/>
                <w:color w:val="auto"/>
                <w:w w:val="98"/>
              </w:rPr>
              <w:t>$3,300,000</w:t>
            </w:r>
          </w:p>
        </w:tc>
        <w:tc>
          <w:tcPr>
            <w:tcW w:w="3280" w:type="dxa"/>
            <w:vAlign w:val="bottom"/>
            <w:shd w:val="clear" w:color="auto" w:fill="D9D9D9"/>
          </w:tcPr>
          <w:p>
            <w:pPr>
              <w:jc w:val="center"/>
              <w:ind w:left="10"/>
              <w:spacing w:after="0"/>
              <w:rPr>
                <w:sz w:val="20"/>
                <w:szCs w:val="20"/>
                <w:color w:val="auto"/>
              </w:rPr>
            </w:pPr>
            <w:r>
              <w:rPr>
                <w:rFonts w:ascii="Times New Roman" w:cs="Times New Roman" w:eastAsia="Times New Roman" w:hAnsi="Times New Roman"/>
                <w:sz w:val="18"/>
                <w:szCs w:val="18"/>
                <w:color w:val="auto"/>
              </w:rPr>
              <w:t>22,158</w:t>
            </w:r>
          </w:p>
        </w:tc>
        <w:tc>
          <w:tcPr>
            <w:tcW w:w="2560" w:type="dxa"/>
            <w:vAlign w:val="bottom"/>
            <w:shd w:val="clear" w:color="auto" w:fill="D9D9D9"/>
          </w:tcPr>
          <w:p>
            <w:pPr>
              <w:jc w:val="center"/>
              <w:ind w:left="10"/>
              <w:spacing w:after="0"/>
              <w:rPr>
                <w:sz w:val="20"/>
                <w:szCs w:val="20"/>
                <w:color w:val="auto"/>
              </w:rPr>
            </w:pPr>
            <w:r>
              <w:rPr>
                <w:rFonts w:ascii="Times New Roman" w:cs="Times New Roman" w:eastAsia="Times New Roman" w:hAnsi="Times New Roman"/>
                <w:sz w:val="18"/>
                <w:szCs w:val="18"/>
                <w:color w:val="auto"/>
              </w:rPr>
              <w:t>14,771</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50" w:lineRule="exact"/>
        <w:rPr>
          <w:sz w:val="20"/>
          <w:szCs w:val="20"/>
          <w:color w:val="auto"/>
        </w:rPr>
      </w:pPr>
    </w:p>
    <w:p>
      <w:pPr>
        <w:ind w:left="260" w:hanging="252"/>
        <w:spacing w:after="0"/>
        <w:tabs>
          <w:tab w:leader="none" w:pos="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date fair values of these stock-based awards as disclosed further below in the “Summary Compensation Table” and the “Grants of Plan-Based</w:t>
      </w:r>
    </w:p>
    <w:p>
      <w:pPr>
        <w:spacing w:after="0" w:line="49" w:lineRule="exact"/>
        <w:rPr>
          <w:rFonts w:ascii="Times New Roman" w:cs="Times New Roman" w:eastAsia="Times New Roman" w:hAnsi="Times New Roman"/>
          <w:sz w:val="18"/>
          <w:szCs w:val="18"/>
          <w:color w:val="auto"/>
        </w:rPr>
      </w:pPr>
    </w:p>
    <w:p>
      <w:pPr>
        <w:jc w:val="both"/>
        <w:ind w:left="26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Table” differ from the values stated above due to the grant date fair value of the PSAs being computed using a Monte Carlo simulation to value the portion of the award related to total shareholder return (“TSR”) percentile ranking, in accordance with the provisions of FASB ASC Topic 718— Compensation—Stock Compensation (“ASC 718”).</w:t>
      </w:r>
    </w:p>
    <w:p>
      <w:pPr>
        <w:spacing w:after="0" w:line="2" w:lineRule="exact"/>
        <w:rPr>
          <w:rFonts w:ascii="Times New Roman" w:cs="Times New Roman" w:eastAsia="Times New Roman" w:hAnsi="Times New Roman"/>
          <w:sz w:val="18"/>
          <w:szCs w:val="18"/>
          <w:color w:val="auto"/>
        </w:rPr>
      </w:pPr>
    </w:p>
    <w:p>
      <w:pPr>
        <w:ind w:left="260" w:right="20" w:hanging="252"/>
        <w:spacing w:after="0" w:line="329" w:lineRule="auto"/>
        <w:tabs>
          <w:tab w:leader="none" w:pos="27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dollar value of the award, divided by $89.36 per share, which was the closing price of the Company’s common stock on the Nasdaq Global Select Market on November 7, 2023.</w:t>
      </w:r>
    </w:p>
    <w:p>
      <w:pPr>
        <w:spacing w:after="0" w:line="175" w:lineRule="exact"/>
        <w:rPr>
          <w:sz w:val="20"/>
          <w:szCs w:val="20"/>
          <w:color w:val="auto"/>
        </w:rPr>
      </w:pPr>
    </w:p>
    <w:p>
      <w:pPr>
        <w:jc w:val="both"/>
        <w:ind w:firstLine="389"/>
        <w:spacing w:after="0" w:line="302" w:lineRule="auto"/>
        <w:rPr>
          <w:sz w:val="20"/>
          <w:szCs w:val="20"/>
          <w:color w:val="auto"/>
        </w:rPr>
      </w:pPr>
      <w:r>
        <w:rPr>
          <w:rFonts w:ascii="Times New Roman" w:cs="Times New Roman" w:eastAsia="Times New Roman" w:hAnsi="Times New Roman"/>
          <w:sz w:val="18"/>
          <w:szCs w:val="18"/>
          <w:color w:val="auto"/>
        </w:rPr>
        <w:t>After setting award levels by position and evaluating our business needs for the attraction and retention of executives and employees as well as internal and external circumstances impacting the Company and its employees, the Compensation Committee also reviewed the Comparator Group data to set the aggregate number of shares of the Company’s common stock that would be made available for annual equity awards to eligible non-executive employees of the Company, as a percentage of the total number of the outstanding shares of the Company’s common stock.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FY24 PSAs</w:t>
      </w:r>
    </w:p>
    <w:p>
      <w:pPr>
        <w:spacing w:after="0" w:line="227" w:lineRule="exact"/>
        <w:rPr>
          <w:sz w:val="20"/>
          <w:szCs w:val="20"/>
          <w:color w:val="auto"/>
        </w:rPr>
      </w:pPr>
    </w:p>
    <w:p>
      <w:pPr>
        <w:jc w:val="both"/>
        <w:ind w:firstLine="389"/>
        <w:spacing w:after="0" w:line="329" w:lineRule="auto"/>
        <w:rPr>
          <w:sz w:val="20"/>
          <w:szCs w:val="20"/>
          <w:color w:val="auto"/>
        </w:rPr>
      </w:pPr>
      <w:r>
        <w:rPr>
          <w:rFonts w:ascii="Times New Roman" w:cs="Times New Roman" w:eastAsia="Times New Roman" w:hAnsi="Times New Roman"/>
          <w:sz w:val="18"/>
          <w:szCs w:val="18"/>
          <w:color w:val="auto"/>
        </w:rPr>
        <w:t>The PSAs granted on November 7, 2023 (the “FY24 PSAs”), have both “performance” and “continued employment” conditions that must be met in order for the executive to receive shares underlying the award.</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16" w:name="page17"/>
    <w:bookmarkEnd w:id="16"/>
    <w:p>
      <w:pPr>
        <w:ind w:firstLine="389"/>
        <w:spacing w:after="0" w:line="313" w:lineRule="auto"/>
        <w:rPr>
          <w:sz w:val="20"/>
          <w:szCs w:val="20"/>
          <w:color w:val="auto"/>
        </w:rPr>
      </w:pPr>
      <w:r>
        <w:rPr>
          <w:rFonts w:ascii="Times New Roman" w:cs="Times New Roman" w:eastAsia="Times New Roman" w:hAnsi="Times New Roman"/>
          <w:sz w:val="18"/>
          <w:szCs w:val="18"/>
          <w:color w:val="auto"/>
        </w:rPr>
        <w:t>The “performance” condition of the FY24 PSAs compares the Company’s performance under three distinct metrics during the applicable performance period against a range of pre-established targets, as follows:</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4040" w:type="dxa"/>
            <w:vAlign w:val="bottom"/>
          </w:tcPr>
          <w:p>
            <w:pPr>
              <w:spacing w:after="0"/>
              <w:rPr>
                <w:sz w:val="17"/>
                <w:szCs w:val="17"/>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 of Aggregate Target</w:t>
            </w: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Performance Period</w:t>
            </w: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Vesting</w:t>
            </w:r>
          </w:p>
        </w:tc>
        <w:tc>
          <w:tcPr>
            <w:tcW w:w="0" w:type="dxa"/>
            <w:vAlign w:val="bottom"/>
          </w:tcPr>
          <w:p>
            <w:pPr>
              <w:spacing w:after="0"/>
              <w:rPr>
                <w:sz w:val="1"/>
                <w:szCs w:val="1"/>
                <w:color w:val="auto"/>
              </w:rPr>
            </w:pPr>
          </w:p>
        </w:tc>
      </w:tr>
      <w:tr>
        <w:trPr>
          <w:trHeight w:val="243"/>
        </w:trPr>
        <w:tc>
          <w:tcPr>
            <w:tcW w:w="4040" w:type="dxa"/>
            <w:vAlign w:val="bottom"/>
          </w:tcPr>
          <w:p>
            <w:pPr>
              <w:spacing w:after="0"/>
              <w:rPr>
                <w:sz w:val="21"/>
                <w:szCs w:val="21"/>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 Shares</w:t>
            </w:r>
          </w:p>
        </w:tc>
        <w:tc>
          <w:tcPr>
            <w:tcW w:w="1860" w:type="dxa"/>
            <w:vAlign w:val="bottom"/>
            <w:vMerge w:val="continue"/>
          </w:tcPr>
          <w:p>
            <w:pPr>
              <w:spacing w:after="0"/>
              <w:rPr>
                <w:sz w:val="21"/>
                <w:szCs w:val="21"/>
                <w:color w:val="auto"/>
              </w:rPr>
            </w:pPr>
          </w:p>
        </w:tc>
        <w:tc>
          <w:tcPr>
            <w:tcW w:w="1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040" w:type="dxa"/>
            <w:vAlign w:val="bottom"/>
            <w:shd w:val="clear" w:color="auto" w:fill="DBDBDB"/>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Target Level Shares with Respect to Emerging</w:t>
            </w:r>
          </w:p>
        </w:tc>
        <w:tc>
          <w:tcPr>
            <w:tcW w:w="2680" w:type="dxa"/>
            <w:vAlign w:val="bottom"/>
            <w:vMerge w:val="restart"/>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1860" w:type="dxa"/>
            <w:vAlign w:val="bottom"/>
            <w:shd w:val="clear" w:color="auto" w:fill="DBDBDB"/>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Fiscal Year</w:t>
            </w:r>
          </w:p>
        </w:tc>
        <w:tc>
          <w:tcPr>
            <w:tcW w:w="1760" w:type="dxa"/>
            <w:vAlign w:val="bottom"/>
            <w:shd w:val="clear" w:color="auto" w:fill="DBDBDB"/>
          </w:tcPr>
          <w:p>
            <w:pPr>
              <w:jc w:val="center"/>
              <w:spacing w:after="0" w:line="202" w:lineRule="exact"/>
              <w:rPr>
                <w:sz w:val="20"/>
                <w:szCs w:val="20"/>
                <w:color w:val="auto"/>
              </w:rPr>
            </w:pPr>
            <w:r>
              <w:rPr>
                <w:rFonts w:ascii="Times New Roman" w:cs="Times New Roman" w:eastAsia="Times New Roman" w:hAnsi="Times New Roman"/>
                <w:sz w:val="18"/>
                <w:szCs w:val="18"/>
                <w:color w:val="auto"/>
              </w:rPr>
              <w:t>100% at the End of</w:t>
            </w:r>
          </w:p>
        </w:tc>
        <w:tc>
          <w:tcPr>
            <w:tcW w:w="0" w:type="dxa"/>
            <w:vAlign w:val="bottom"/>
          </w:tcPr>
          <w:p>
            <w:pPr>
              <w:spacing w:after="0"/>
              <w:rPr>
                <w:sz w:val="1"/>
                <w:szCs w:val="1"/>
                <w:color w:val="auto"/>
              </w:rPr>
            </w:pPr>
          </w:p>
        </w:tc>
      </w:tr>
      <w:tr>
        <w:trPr>
          <w:trHeight w:val="148"/>
        </w:trPr>
        <w:tc>
          <w:tcPr>
            <w:tcW w:w="4040" w:type="dxa"/>
            <w:vAlign w:val="bottom"/>
            <w:vMerge w:val="restart"/>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Revenue Growth Metric (1)</w:t>
            </w:r>
          </w:p>
        </w:tc>
        <w:tc>
          <w:tcPr>
            <w:tcW w:w="2680" w:type="dxa"/>
            <w:vAlign w:val="bottom"/>
            <w:vMerge w:val="continue"/>
            <w:shd w:val="clear" w:color="auto" w:fill="DBDBDB"/>
          </w:tcPr>
          <w:p>
            <w:pPr>
              <w:spacing w:after="0"/>
              <w:rPr>
                <w:sz w:val="12"/>
                <w:szCs w:val="12"/>
                <w:color w:val="auto"/>
              </w:rPr>
            </w:pPr>
          </w:p>
        </w:tc>
        <w:tc>
          <w:tcPr>
            <w:tcW w:w="1860" w:type="dxa"/>
            <w:vAlign w:val="bottom"/>
            <w:vMerge w:val="restart"/>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760" w:type="dxa"/>
            <w:vAlign w:val="bottom"/>
            <w:vMerge w:val="restart"/>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6"/>
              </w:rPr>
              <w:t>Year Two</w:t>
            </w:r>
          </w:p>
        </w:tc>
        <w:tc>
          <w:tcPr>
            <w:tcW w:w="0" w:type="dxa"/>
            <w:vAlign w:val="bottom"/>
          </w:tcPr>
          <w:p>
            <w:pPr>
              <w:spacing w:after="0"/>
              <w:rPr>
                <w:sz w:val="1"/>
                <w:szCs w:val="1"/>
                <w:color w:val="auto"/>
              </w:rPr>
            </w:pPr>
          </w:p>
        </w:tc>
      </w:tr>
      <w:tr>
        <w:trPr>
          <w:trHeight w:val="115"/>
        </w:trPr>
        <w:tc>
          <w:tcPr>
            <w:tcW w:w="4040" w:type="dxa"/>
            <w:vAlign w:val="bottom"/>
            <w:tcBorders>
              <w:bottom w:val="single" w:sz="8" w:color="DBDBDB"/>
            </w:tcBorders>
            <w:vMerge w:val="continue"/>
            <w:shd w:val="clear" w:color="auto" w:fill="DBDBDB"/>
          </w:tcPr>
          <w:p>
            <w:pPr>
              <w:spacing w:after="0"/>
              <w:rPr>
                <w:sz w:val="10"/>
                <w:szCs w:val="10"/>
                <w:color w:val="auto"/>
              </w:rPr>
            </w:pPr>
          </w:p>
        </w:tc>
        <w:tc>
          <w:tcPr>
            <w:tcW w:w="2680" w:type="dxa"/>
            <w:vAlign w:val="bottom"/>
            <w:tcBorders>
              <w:bottom w:val="single" w:sz="8" w:color="DBDBDB"/>
            </w:tcBorders>
            <w:shd w:val="clear" w:color="auto" w:fill="DBDBDB"/>
          </w:tcPr>
          <w:p>
            <w:pPr>
              <w:spacing w:after="0"/>
              <w:rPr>
                <w:sz w:val="10"/>
                <w:szCs w:val="10"/>
                <w:color w:val="auto"/>
              </w:rPr>
            </w:pPr>
          </w:p>
        </w:tc>
        <w:tc>
          <w:tcPr>
            <w:tcW w:w="1860" w:type="dxa"/>
            <w:vAlign w:val="bottom"/>
            <w:tcBorders>
              <w:bottom w:val="single" w:sz="8" w:color="DBDBDB"/>
            </w:tcBorders>
            <w:vMerge w:val="continue"/>
            <w:shd w:val="clear" w:color="auto" w:fill="DBDBDB"/>
          </w:tcPr>
          <w:p>
            <w:pPr>
              <w:spacing w:after="0"/>
              <w:rPr>
                <w:sz w:val="10"/>
                <w:szCs w:val="10"/>
                <w:color w:val="auto"/>
              </w:rPr>
            </w:pPr>
          </w:p>
        </w:tc>
        <w:tc>
          <w:tcPr>
            <w:tcW w:w="1760" w:type="dxa"/>
            <w:vAlign w:val="bottom"/>
            <w:tcBorders>
              <w:bottom w:val="single" w:sz="8" w:color="DBDBDB"/>
            </w:tcBorders>
            <w:vMerge w:val="continue"/>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40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Target Level Shares with Respect to EBITDA Margin</w:t>
            </w:r>
          </w:p>
        </w:tc>
        <w:tc>
          <w:tcPr>
            <w:tcW w:w="2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186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Fiscal Years</w:t>
            </w:r>
          </w:p>
        </w:tc>
        <w:tc>
          <w:tcPr>
            <w:tcW w:w="176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100% at the End of</w:t>
            </w:r>
          </w:p>
        </w:tc>
        <w:tc>
          <w:tcPr>
            <w:tcW w:w="0" w:type="dxa"/>
            <w:vAlign w:val="bottom"/>
          </w:tcPr>
          <w:p>
            <w:pPr>
              <w:spacing w:after="0"/>
              <w:rPr>
                <w:sz w:val="1"/>
                <w:szCs w:val="1"/>
                <w:color w:val="auto"/>
              </w:rPr>
            </w:pPr>
          </w:p>
        </w:tc>
      </w:tr>
      <w:tr>
        <w:trPr>
          <w:trHeight w:val="148"/>
        </w:trPr>
        <w:tc>
          <w:tcPr>
            <w:tcW w:w="4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Percentile Ranking Metric (2)</w:t>
            </w:r>
          </w:p>
        </w:tc>
        <w:tc>
          <w:tcPr>
            <w:tcW w:w="2680" w:type="dxa"/>
            <w:vAlign w:val="bottom"/>
            <w:vMerge w:val="continue"/>
          </w:tcPr>
          <w:p>
            <w:pPr>
              <w:spacing w:after="0"/>
              <w:rPr>
                <w:sz w:val="12"/>
                <w:szCs w:val="12"/>
                <w:color w:val="auto"/>
              </w:rPr>
            </w:pP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2024–2025</w:t>
            </w: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Year Two</w:t>
            </w:r>
          </w:p>
        </w:tc>
        <w:tc>
          <w:tcPr>
            <w:tcW w:w="0" w:type="dxa"/>
            <w:vAlign w:val="bottom"/>
          </w:tcPr>
          <w:p>
            <w:pPr>
              <w:spacing w:after="0"/>
              <w:rPr>
                <w:sz w:val="1"/>
                <w:szCs w:val="1"/>
                <w:color w:val="auto"/>
              </w:rPr>
            </w:pPr>
          </w:p>
        </w:tc>
      </w:tr>
      <w:tr>
        <w:trPr>
          <w:trHeight w:val="108"/>
        </w:trPr>
        <w:tc>
          <w:tcPr>
            <w:tcW w:w="4040" w:type="dxa"/>
            <w:vAlign w:val="bottom"/>
            <w:vMerge w:val="continue"/>
          </w:tcPr>
          <w:p>
            <w:pPr>
              <w:spacing w:after="0"/>
              <w:rPr>
                <w:sz w:val="9"/>
                <w:szCs w:val="9"/>
                <w:color w:val="auto"/>
              </w:rPr>
            </w:pPr>
          </w:p>
        </w:tc>
        <w:tc>
          <w:tcPr>
            <w:tcW w:w="2680" w:type="dxa"/>
            <w:vAlign w:val="bottom"/>
          </w:tcPr>
          <w:p>
            <w:pPr>
              <w:spacing w:after="0"/>
              <w:rPr>
                <w:sz w:val="9"/>
                <w:szCs w:val="9"/>
                <w:color w:val="auto"/>
              </w:rPr>
            </w:pPr>
          </w:p>
        </w:tc>
        <w:tc>
          <w:tcPr>
            <w:tcW w:w="1860" w:type="dxa"/>
            <w:vAlign w:val="bottom"/>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4040" w:type="dxa"/>
            <w:vAlign w:val="bottom"/>
            <w:shd w:val="clear" w:color="auto" w:fill="DBDBDB"/>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Target Level Shares with Respect to TSR Percentile</w:t>
            </w:r>
          </w:p>
        </w:tc>
        <w:tc>
          <w:tcPr>
            <w:tcW w:w="2680" w:type="dxa"/>
            <w:vAlign w:val="bottom"/>
            <w:vMerge w:val="restart"/>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860" w:type="dxa"/>
            <w:vAlign w:val="bottom"/>
            <w:shd w:val="clear" w:color="auto" w:fill="DBDBDB"/>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Fiscal Years</w:t>
            </w:r>
          </w:p>
        </w:tc>
        <w:tc>
          <w:tcPr>
            <w:tcW w:w="1760" w:type="dxa"/>
            <w:vAlign w:val="bottom"/>
            <w:shd w:val="clear" w:color="auto" w:fill="DBDBDB"/>
          </w:tcPr>
          <w:p>
            <w:pPr>
              <w:jc w:val="center"/>
              <w:spacing w:after="0" w:line="176" w:lineRule="exact"/>
              <w:rPr>
                <w:sz w:val="20"/>
                <w:szCs w:val="20"/>
                <w:color w:val="auto"/>
              </w:rPr>
            </w:pPr>
            <w:r>
              <w:rPr>
                <w:rFonts w:ascii="Times New Roman" w:cs="Times New Roman" w:eastAsia="Times New Roman" w:hAnsi="Times New Roman"/>
                <w:sz w:val="18"/>
                <w:szCs w:val="18"/>
                <w:color w:val="auto"/>
              </w:rPr>
              <w:t>100% at the End of</w:t>
            </w:r>
          </w:p>
        </w:tc>
        <w:tc>
          <w:tcPr>
            <w:tcW w:w="0" w:type="dxa"/>
            <w:vAlign w:val="bottom"/>
          </w:tcPr>
          <w:p>
            <w:pPr>
              <w:spacing w:after="0"/>
              <w:rPr>
                <w:sz w:val="1"/>
                <w:szCs w:val="1"/>
                <w:color w:val="auto"/>
              </w:rPr>
            </w:pPr>
          </w:p>
        </w:tc>
      </w:tr>
      <w:tr>
        <w:trPr>
          <w:trHeight w:val="149"/>
        </w:trPr>
        <w:tc>
          <w:tcPr>
            <w:tcW w:w="4040" w:type="dxa"/>
            <w:vAlign w:val="bottom"/>
            <w:vMerge w:val="restart"/>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Ranking Metric (3)</w:t>
            </w:r>
          </w:p>
        </w:tc>
        <w:tc>
          <w:tcPr>
            <w:tcW w:w="2680" w:type="dxa"/>
            <w:vAlign w:val="bottom"/>
            <w:vMerge w:val="continue"/>
            <w:shd w:val="clear" w:color="auto" w:fill="DBDBDB"/>
          </w:tcPr>
          <w:p>
            <w:pPr>
              <w:spacing w:after="0"/>
              <w:rPr>
                <w:sz w:val="12"/>
                <w:szCs w:val="12"/>
                <w:color w:val="auto"/>
              </w:rPr>
            </w:pPr>
          </w:p>
        </w:tc>
        <w:tc>
          <w:tcPr>
            <w:tcW w:w="1860" w:type="dxa"/>
            <w:vAlign w:val="bottom"/>
            <w:vMerge w:val="restart"/>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2024–2026</w:t>
            </w:r>
          </w:p>
        </w:tc>
        <w:tc>
          <w:tcPr>
            <w:tcW w:w="1760" w:type="dxa"/>
            <w:vAlign w:val="bottom"/>
            <w:vMerge w:val="restart"/>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8"/>
              </w:rPr>
              <w:t>Year Three</w:t>
            </w:r>
          </w:p>
        </w:tc>
        <w:tc>
          <w:tcPr>
            <w:tcW w:w="0" w:type="dxa"/>
            <w:vAlign w:val="bottom"/>
          </w:tcPr>
          <w:p>
            <w:pPr>
              <w:spacing w:after="0"/>
              <w:rPr>
                <w:sz w:val="1"/>
                <w:szCs w:val="1"/>
                <w:color w:val="auto"/>
              </w:rPr>
            </w:pPr>
          </w:p>
        </w:tc>
      </w:tr>
      <w:tr>
        <w:trPr>
          <w:trHeight w:val="94"/>
        </w:trPr>
        <w:tc>
          <w:tcPr>
            <w:tcW w:w="4040" w:type="dxa"/>
            <w:vAlign w:val="bottom"/>
            <w:vMerge w:val="continue"/>
            <w:shd w:val="clear" w:color="auto" w:fill="DBDBDB"/>
          </w:tcPr>
          <w:p>
            <w:pPr>
              <w:spacing w:after="0"/>
              <w:rPr>
                <w:sz w:val="8"/>
                <w:szCs w:val="8"/>
                <w:color w:val="auto"/>
              </w:rPr>
            </w:pPr>
          </w:p>
        </w:tc>
        <w:tc>
          <w:tcPr>
            <w:tcW w:w="2680" w:type="dxa"/>
            <w:vAlign w:val="bottom"/>
            <w:shd w:val="clear" w:color="auto" w:fill="DBDBDB"/>
          </w:tcPr>
          <w:p>
            <w:pPr>
              <w:spacing w:after="0"/>
              <w:rPr>
                <w:sz w:val="8"/>
                <w:szCs w:val="8"/>
                <w:color w:val="auto"/>
              </w:rPr>
            </w:pPr>
          </w:p>
        </w:tc>
        <w:tc>
          <w:tcPr>
            <w:tcW w:w="1860" w:type="dxa"/>
            <w:vAlign w:val="bottom"/>
            <w:vMerge w:val="continue"/>
            <w:shd w:val="clear" w:color="auto" w:fill="DBDBDB"/>
          </w:tcPr>
          <w:p>
            <w:pPr>
              <w:spacing w:after="0"/>
              <w:rPr>
                <w:sz w:val="8"/>
                <w:szCs w:val="8"/>
                <w:color w:val="auto"/>
              </w:rPr>
            </w:pPr>
          </w:p>
        </w:tc>
        <w:tc>
          <w:tcPr>
            <w:tcW w:w="1760" w:type="dxa"/>
            <w:vAlign w:val="bottom"/>
            <w:vMerge w:val="continue"/>
            <w:shd w:val="clear" w:color="auto" w:fill="DBDBDB"/>
          </w:tcPr>
          <w:p>
            <w:pPr>
              <w:spacing w:after="0"/>
              <w:rPr>
                <w:sz w:val="8"/>
                <w:szCs w:val="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50" w:lineRule="exact"/>
        <w:rPr>
          <w:sz w:val="20"/>
          <w:szCs w:val="20"/>
          <w:color w:val="auto"/>
        </w:rPr>
      </w:pPr>
    </w:p>
    <w:p>
      <w:pPr>
        <w:ind w:left="260" w:right="20" w:hanging="252"/>
        <w:spacing w:after="0" w:line="289" w:lineRule="auto"/>
        <w:tabs>
          <w:tab w:leader="none" w:pos="30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emerging revenue growth metric measures the Company’s year-over-year revenue growth in certain key product categories, each of which represents an identified longer-term growth market for the Company.</w:t>
      </w:r>
    </w:p>
    <w:p>
      <w:pPr>
        <w:spacing w:after="0" w:line="1" w:lineRule="exact"/>
        <w:rPr>
          <w:rFonts w:ascii="Times New Roman" w:cs="Times New Roman" w:eastAsia="Times New Roman" w:hAnsi="Times New Roman"/>
          <w:sz w:val="18"/>
          <w:szCs w:val="18"/>
          <w:color w:val="auto"/>
        </w:rPr>
      </w:pPr>
    </w:p>
    <w:p>
      <w:pPr>
        <w:jc w:val="both"/>
        <w:ind w:left="260" w:hanging="252"/>
        <w:spacing w:after="0" w:line="292" w:lineRule="auto"/>
        <w:tabs>
          <w:tab w:leader="none" w:pos="27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EBITDA margin percentile ranking metric measures the Company’s EBITDA margin achieved relative to the companies in our FY24 Peer Group during a two-year performance period comprising the Company’s fiscal years 2024 and 2025. For purposes of the EBITDA margin percentile ranking metric, EBITDA margin is calculated by dividing EBITDA by revenue for the applicable period, where EBITDA is defined as non-GAAP operating</w:t>
      </w:r>
    </w:p>
    <w:p>
      <w:pPr>
        <w:jc w:val="both"/>
        <w:ind w:left="260"/>
        <w:spacing w:after="0" w:line="27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plus depreciation and amortization, for the applicable period. With respect to the Company and each FY24 Peer Group company, EBITDA and revenue are calculated based on publicly reported financial information for the applicable period (which for the FY24 Peer Group companies consists of the eight-quarter period that ends closest to, but not later than, October 3, 2025).</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When calculating the Company’s EBITDA margin, the impact of any acquisition or disposition occurring within the performance period is excluded if the revenue attributable to such acquisition or disposition exceeds $50 million during such period.</w:t>
      </w:r>
    </w:p>
    <w:p>
      <w:pPr>
        <w:spacing w:after="0" w:line="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TSR percentile ranking metric measures the Company’s percentile ranking achieved with respect to its peer group. The peer group for purposes of</w:t>
      </w:r>
    </w:p>
    <w:p>
      <w:pPr>
        <w:spacing w:after="0" w:line="49" w:lineRule="exact"/>
        <w:rPr>
          <w:rFonts w:ascii="Times New Roman" w:cs="Times New Roman" w:eastAsia="Times New Roman" w:hAnsi="Times New Roman"/>
          <w:sz w:val="18"/>
          <w:szCs w:val="18"/>
          <w:color w:val="auto"/>
        </w:rPr>
      </w:pPr>
    </w:p>
    <w:p>
      <w:pPr>
        <w:jc w:val="both"/>
        <w:ind w:left="26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TSR percentile ranking metric includes each of the companies in the S&amp;P 500 Index during the performance period but excludes any such company that during the three-year performance period is acquired by or merged with (or enters into an agreement to be acquired by or merged with) another</w:t>
      </w:r>
    </w:p>
    <w:p>
      <w:pPr>
        <w:spacing w:after="0" w:line="1" w:lineRule="exact"/>
        <w:rPr>
          <w:rFonts w:ascii="Times New Roman" w:cs="Times New Roman" w:eastAsia="Times New Roman" w:hAnsi="Times New Roman"/>
          <w:sz w:val="18"/>
          <w:szCs w:val="18"/>
          <w:color w:val="auto"/>
        </w:rPr>
      </w:pPr>
    </w:p>
    <w:p>
      <w:pPr>
        <w:jc w:val="both"/>
        <w:ind w:left="26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entity. For purposes of the PSA award, TSR for the Company and for each company in the peer group is calculated using a starting price and ending price, which consist of the average of the closing prices for each trading day during the sixty (60) consecutive calendar days ending on, and including,</w:t>
      </w:r>
    </w:p>
    <w:p>
      <w:pPr>
        <w:spacing w:after="0" w:line="1" w:lineRule="exact"/>
        <w:rPr>
          <w:rFonts w:ascii="Times New Roman" w:cs="Times New Roman" w:eastAsia="Times New Roman" w:hAnsi="Times New Roman"/>
          <w:sz w:val="18"/>
          <w:szCs w:val="18"/>
          <w:color w:val="auto"/>
        </w:rPr>
      </w:pPr>
    </w:p>
    <w:p>
      <w:pPr>
        <w:ind w:left="2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trading day before the measurement period begins and the last trading day of the measurement period, respectively, assuming dividend reinvestment and adjusting for stock splits, as applicable.</w:t>
      </w:r>
    </w:p>
    <w:p>
      <w:pPr>
        <w:spacing w:after="0" w:line="203" w:lineRule="exact"/>
        <w:rPr>
          <w:sz w:val="20"/>
          <w:szCs w:val="20"/>
          <w:color w:val="auto"/>
        </w:rPr>
      </w:pPr>
    </w:p>
    <w:p>
      <w:pPr>
        <w:jc w:val="both"/>
        <w:ind w:firstLine="389"/>
        <w:spacing w:after="0" w:line="293" w:lineRule="auto"/>
        <w:rPr>
          <w:sz w:val="20"/>
          <w:szCs w:val="20"/>
          <w:color w:val="auto"/>
        </w:rPr>
      </w:pPr>
      <w:r>
        <w:rPr>
          <w:rFonts w:ascii="Times New Roman" w:cs="Times New Roman" w:eastAsia="Times New Roman" w:hAnsi="Times New Roman"/>
          <w:sz w:val="18"/>
          <w:szCs w:val="18"/>
          <w:color w:val="auto"/>
        </w:rPr>
        <w:t>The semiconductor industry generally and, in particular, many of the markets into which the Company sells its connectivity products, are characterized by constant and rapid technological change, continuous product evolution, and short product life cycles, including annual product refreshes in some cases. Recognizing that a significant driver of long-term growth is our ability to identify and execute on emerging revenue growth opportunities, the Compensation Committee believes that retaining emerging revenue growth as a key metric with a one-year performance period is appropriate. Moreover, utilizing only performance periods longer than one year (e.g. multi-year periods) could limit the Committee’s ability to focus management on the most compelling growth opportunities each year. Accordingly, for the FY24 PSAs, the Compensation Committee retained emerging revenue growth as a one-year metric (representing 25% of the target value of the PSAs) to incentivize our management team on specific emerging product lines that have higher growth potential and are intended to drive long-term value creation. In light of stockholder feedback following the 2021 Annual Meeting of Stockholders, the Compensation Committee determined that shares earned pursuant to the emerging revenue growth metric would not vest until the two-year anniversary of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1714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48" w:lineRule="exact"/>
        <w:rPr>
          <w:sz w:val="20"/>
          <w:szCs w:val="20"/>
          <w:color w:val="auto"/>
        </w:rPr>
      </w:pPr>
    </w:p>
    <w:p>
      <w:pPr>
        <w:ind w:right="180" w:firstLine="8"/>
        <w:spacing w:after="0" w:line="268" w:lineRule="auto"/>
        <w:tabs>
          <w:tab w:leader="none" w:pos="103"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When calculating the EBITDA margin percentile ranking, the performance of a company in the FY24 Peer Group will be included if during the performance period such company in the FY24 Peer Group publicly reports quarterly financial results for at least six consecutive quarters out of the eight applicable quarters.</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7" w:name="page18"/>
    <w:bookmarkEnd w:id="17"/>
    <w:p>
      <w:pPr>
        <w:jc w:val="both"/>
        <w:ind w:firstLine="389"/>
        <w:spacing w:after="0" w:line="278" w:lineRule="auto"/>
        <w:rPr>
          <w:sz w:val="20"/>
          <w:szCs w:val="20"/>
          <w:color w:val="auto"/>
        </w:rPr>
      </w:pPr>
      <w:r>
        <w:rPr>
          <w:rFonts w:ascii="Times New Roman" w:cs="Times New Roman" w:eastAsia="Times New Roman" w:hAnsi="Times New Roman"/>
          <w:sz w:val="18"/>
          <w:szCs w:val="18"/>
          <w:color w:val="auto"/>
        </w:rPr>
        <w:t>For 25% of the target value under the FY24 PSAs, the Compensation Committee retained a two-year EBITDA margin percentile ranking metric that measures performance relative to the FY24 Peer Group. To incentivize above-median performance, the Compensation Committee set the target percentile for the EBITDA margin percentile ranking metric at the 55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of our FY24 Peer Group. Following stockholder feedback received after the 2024 Annual Meeting of Stockholders, the Compensation Committee determined that shares earned pursuant to the EBITDA margin percentile ranking metric for awards granted to Named Executive Officers for fiscal year 2025 would be subject to a three-year performance period and would not vest until the three-year anniversary of the grant date.</w:t>
      </w:r>
    </w:p>
    <w:p>
      <w:pPr>
        <w:spacing w:after="0" w:line="2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in prior years, the remaining half of the target value under the FY24 PSAs was based on a three-year TSR percentile ranking.</w:t>
      </w:r>
    </w:p>
    <w:p>
      <w:pPr>
        <w:spacing w:after="0" w:line="279" w:lineRule="exact"/>
        <w:rPr>
          <w:sz w:val="20"/>
          <w:szCs w:val="20"/>
          <w:color w:val="auto"/>
        </w:rPr>
      </w:pPr>
    </w:p>
    <w:p>
      <w:pPr>
        <w:jc w:val="both"/>
        <w:ind w:firstLine="389"/>
        <w:spacing w:after="0" w:line="329" w:lineRule="auto"/>
        <w:rPr>
          <w:sz w:val="20"/>
          <w:szCs w:val="20"/>
          <w:color w:val="auto"/>
        </w:rPr>
      </w:pPr>
      <w:r>
        <w:rPr>
          <w:rFonts w:ascii="Times New Roman" w:cs="Times New Roman" w:eastAsia="Times New Roman" w:hAnsi="Times New Roman"/>
          <w:sz w:val="18"/>
          <w:szCs w:val="18"/>
          <w:color w:val="auto"/>
        </w:rPr>
        <w:t>The specific pre-established performance goals for the FY24 PSAs under the emerging revenue growth, EBITDA margin percentile ranking and TSR percentile ranking metrics are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8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8"/>
              </w:rPr>
              <w:t>Company Metric</w:t>
            </w:r>
          </w:p>
        </w:tc>
        <w:tc>
          <w:tcPr>
            <w:tcW w:w="2280" w:type="dxa"/>
            <w:vAlign w:val="bottom"/>
          </w:tcPr>
          <w:p>
            <w:pPr>
              <w:ind w:left="1100"/>
              <w:spacing w:after="0"/>
              <w:rPr>
                <w:sz w:val="20"/>
                <w:szCs w:val="20"/>
                <w:color w:val="auto"/>
              </w:rPr>
            </w:pPr>
            <w:r>
              <w:rPr>
                <w:rFonts w:ascii="Times New Roman" w:cs="Times New Roman" w:eastAsia="Times New Roman" w:hAnsi="Times New Roman"/>
                <w:sz w:val="18"/>
                <w:szCs w:val="18"/>
                <w:b w:val="1"/>
                <w:bCs w:val="1"/>
                <w:color w:val="auto"/>
              </w:rPr>
              <w:t>Threshold</w:t>
            </w:r>
          </w:p>
        </w:tc>
        <w:tc>
          <w:tcPr>
            <w:tcW w:w="12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15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Maximum</w:t>
            </w:r>
          </w:p>
        </w:tc>
      </w:tr>
      <w:tr>
        <w:trPr>
          <w:trHeight w:val="230"/>
        </w:trPr>
        <w:tc>
          <w:tcPr>
            <w:tcW w:w="6180" w:type="dxa"/>
            <w:vAlign w:val="bottom"/>
            <w:shd w:val="clear" w:color="auto" w:fill="DBDBDB"/>
          </w:tcPr>
          <w:p>
            <w:pPr>
              <w:jc w:val="center"/>
              <w:ind w:left="710"/>
              <w:spacing w:after="0"/>
              <w:rPr>
                <w:sz w:val="20"/>
                <w:szCs w:val="20"/>
                <w:color w:val="auto"/>
              </w:rPr>
            </w:pPr>
            <w:r>
              <w:rPr>
                <w:rFonts w:ascii="Times New Roman" w:cs="Times New Roman" w:eastAsia="Times New Roman" w:hAnsi="Times New Roman"/>
                <w:sz w:val="18"/>
                <w:szCs w:val="18"/>
                <w:color w:val="auto"/>
                <w:w w:val="99"/>
              </w:rPr>
              <w:t>1-year Emerging Revenue Growth (%)</w:t>
            </w:r>
          </w:p>
        </w:tc>
        <w:tc>
          <w:tcPr>
            <w:tcW w:w="2280" w:type="dxa"/>
            <w:vAlign w:val="bottom"/>
            <w:shd w:val="clear" w:color="auto" w:fill="DBDBDB"/>
          </w:tcPr>
          <w:p>
            <w:pPr>
              <w:jc w:val="center"/>
              <w:ind w:left="610"/>
              <w:spacing w:after="0"/>
              <w:rPr>
                <w:sz w:val="20"/>
                <w:szCs w:val="20"/>
                <w:color w:val="auto"/>
              </w:rPr>
            </w:pPr>
            <w:r>
              <w:rPr>
                <w:rFonts w:ascii="Times New Roman" w:cs="Times New Roman" w:eastAsia="Times New Roman" w:hAnsi="Times New Roman"/>
                <w:sz w:val="18"/>
                <w:szCs w:val="18"/>
                <w:color w:val="auto"/>
              </w:rPr>
              <w:t>5.0%</w:t>
            </w:r>
          </w:p>
        </w:tc>
        <w:tc>
          <w:tcPr>
            <w:tcW w:w="128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8"/>
              </w:rPr>
              <w:t>10.0%</w:t>
            </w:r>
          </w:p>
        </w:tc>
        <w:tc>
          <w:tcPr>
            <w:tcW w:w="15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8"/>
              </w:rPr>
              <w:t>15.0%</w:t>
            </w:r>
          </w:p>
        </w:tc>
      </w:tr>
      <w:tr>
        <w:trPr>
          <w:trHeight w:val="229"/>
        </w:trPr>
        <w:tc>
          <w:tcPr>
            <w:tcW w:w="61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2-year EBITDA Margin Percentile Ranking</w:t>
            </w:r>
          </w:p>
        </w:tc>
        <w:tc>
          <w:tcPr>
            <w:tcW w:w="228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25th</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55th</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75th</w:t>
            </w:r>
          </w:p>
        </w:tc>
      </w:tr>
      <w:tr>
        <w:trPr>
          <w:trHeight w:val="229"/>
        </w:trPr>
        <w:tc>
          <w:tcPr>
            <w:tcW w:w="6180" w:type="dxa"/>
            <w:vAlign w:val="bottom"/>
            <w:shd w:val="clear" w:color="auto" w:fill="DBDBDB"/>
          </w:tcPr>
          <w:p>
            <w:pPr>
              <w:jc w:val="center"/>
              <w:ind w:left="710"/>
              <w:spacing w:after="0"/>
              <w:rPr>
                <w:sz w:val="20"/>
                <w:szCs w:val="20"/>
                <w:color w:val="auto"/>
              </w:rPr>
            </w:pPr>
            <w:r>
              <w:rPr>
                <w:rFonts w:ascii="Times New Roman" w:cs="Times New Roman" w:eastAsia="Times New Roman" w:hAnsi="Times New Roman"/>
                <w:sz w:val="18"/>
                <w:szCs w:val="18"/>
                <w:color w:val="auto"/>
              </w:rPr>
              <w:t>3-year TSR Percentile Ranking</w:t>
            </w:r>
          </w:p>
        </w:tc>
        <w:tc>
          <w:tcPr>
            <w:tcW w:w="2280" w:type="dxa"/>
            <w:vAlign w:val="bottom"/>
            <w:shd w:val="clear" w:color="auto" w:fill="DBDBDB"/>
          </w:tcPr>
          <w:p>
            <w:pPr>
              <w:jc w:val="center"/>
              <w:ind w:left="630"/>
              <w:spacing w:after="0"/>
              <w:rPr>
                <w:sz w:val="20"/>
                <w:szCs w:val="20"/>
                <w:color w:val="auto"/>
              </w:rPr>
            </w:pPr>
            <w:r>
              <w:rPr>
                <w:rFonts w:ascii="Times New Roman" w:cs="Times New Roman" w:eastAsia="Times New Roman" w:hAnsi="Times New Roman"/>
                <w:sz w:val="18"/>
                <w:szCs w:val="18"/>
                <w:color w:val="auto"/>
                <w:w w:val="99"/>
              </w:rPr>
              <w:t>25th</w:t>
            </w:r>
          </w:p>
        </w:tc>
        <w:tc>
          <w:tcPr>
            <w:tcW w:w="128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55th</w:t>
            </w:r>
          </w:p>
        </w:tc>
        <w:tc>
          <w:tcPr>
            <w:tcW w:w="15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90th</w:t>
            </w:r>
          </w:p>
        </w:tc>
      </w:tr>
    </w:tbl>
    <w:p>
      <w:pPr>
        <w:spacing w:after="0" w:line="333" w:lineRule="exact"/>
        <w:rPr>
          <w:sz w:val="20"/>
          <w:szCs w:val="20"/>
          <w:color w:val="auto"/>
        </w:rPr>
      </w:pPr>
    </w:p>
    <w:p>
      <w:pPr>
        <w:jc w:val="both"/>
        <w:ind w:firstLine="389"/>
        <w:spacing w:after="0" w:line="305" w:lineRule="auto"/>
        <w:rPr>
          <w:sz w:val="20"/>
          <w:szCs w:val="20"/>
          <w:color w:val="auto"/>
        </w:rPr>
      </w:pPr>
      <w:r>
        <w:rPr>
          <w:rFonts w:ascii="Times New Roman" w:cs="Times New Roman" w:eastAsia="Times New Roman" w:hAnsi="Times New Roman"/>
          <w:sz w:val="18"/>
          <w:szCs w:val="18"/>
          <w:color w:val="auto"/>
        </w:rPr>
        <w:t>As with the Incentive Plan, the pre-established targets under the FY24 PSAs were established by the Compensation Committee after reviewing the Company’s historical operating results and growth rates as well as the Company’s expected future results relative to peers and were designed to require significant effort and operational success on the part of our executives and the Company:</w:t>
      </w:r>
    </w:p>
    <w:p>
      <w:pPr>
        <w:spacing w:after="0" w:line="75" w:lineRule="exact"/>
        <w:rPr>
          <w:sz w:val="20"/>
          <w:szCs w:val="20"/>
          <w:color w:val="auto"/>
        </w:rPr>
      </w:pPr>
    </w:p>
    <w:p>
      <w:pPr>
        <w:ind w:left="660" w:right="20" w:hanging="328"/>
        <w:spacing w:after="0" w:line="306" w:lineRule="auto"/>
        <w:tabs>
          <w:tab w:leader="none" w:pos="65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Emerging Revenue Growth Metric: The target level was set at 10%, representing above-market annual growth, the maximum level was set at 15%, which the Compensation Committee believed represented outstanding performance that would be difficult to achieve, and the threshold level was</w:t>
      </w:r>
    </w:p>
    <w:p>
      <w:pPr>
        <w:spacing w:after="0" w:line="1" w:lineRule="exact"/>
        <w:rPr>
          <w:rFonts w:ascii="Times New Roman" w:cs="Times New Roman" w:eastAsia="Times New Roman" w:hAnsi="Times New Roman"/>
          <w:sz w:val="17"/>
          <w:szCs w:val="17"/>
          <w:color w:val="auto"/>
        </w:rPr>
      </w:pPr>
    </w:p>
    <w:p>
      <w:pPr>
        <w:ind w:left="660" w:right="160"/>
        <w:spacing w:after="0" w:line="30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set at 5% as a result of continued market uncertainties. The threshold, target and maximum levels vary year to year as a result of the composition of what, as part of the Company’s product portfolio, comprises emerging revenue. For fiscal year 2024, emerging revenue growth was based on</w:t>
      </w:r>
    </w:p>
    <w:p>
      <w:pPr>
        <w:spacing w:after="0" w:line="1" w:lineRule="exact"/>
        <w:rPr>
          <w:rFonts w:ascii="Times New Roman" w:cs="Times New Roman" w:eastAsia="Times New Roman" w:hAnsi="Times New Roman"/>
          <w:sz w:val="17"/>
          <w:szCs w:val="17"/>
          <w:color w:val="auto"/>
        </w:rPr>
      </w:pPr>
    </w:p>
    <w:p>
      <w:pPr>
        <w:ind w:left="660" w:right="100"/>
        <w:spacing w:after="0" w:line="33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driving growth in the following key product categories: next-generation connectivity products (i.e., WiFi 6/6E/7), strategic bulk acoustic wave (“BAW”) expansion (i.e., BAW-enabled products excluding products sold to our largest customer), Internet of Things (“IoT”) Cellular Engines (excluding products sold to our largest customer), and audio products, with BAW-enabled product revenue limited to the strategic BAW category.</w:t>
      </w:r>
    </w:p>
    <w:p>
      <w:pPr>
        <w:spacing w:after="0" w:line="81" w:lineRule="exact"/>
        <w:rPr>
          <w:rFonts w:ascii="Times New Roman" w:cs="Times New Roman" w:eastAsia="Times New Roman" w:hAnsi="Times New Roman"/>
          <w:sz w:val="17"/>
          <w:szCs w:val="17"/>
          <w:color w:val="auto"/>
        </w:rPr>
      </w:pPr>
    </w:p>
    <w:p>
      <w:pPr>
        <w:ind w:left="660" w:hanging="328"/>
        <w:spacing w:after="0" w:line="26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Margin Percentile Ranking Metric: The Compensation Committee set the target percentile at the 55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of the FY24 Peer Group in order to further incentivize above-median performance.</w:t>
      </w:r>
    </w:p>
    <w:p>
      <w:pPr>
        <w:spacing w:after="0" w:line="125"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TSR Percentile Ranking Metric: Consistent with the prior year’s award, the Compensation Committee set the target percentile at the 55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of the applicable peer group in order to further incentivize above-median performance.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8" w:name="page19"/>
    <w:bookmarkEnd w:id="18"/>
    <w:p>
      <w:pPr>
        <w:ind w:firstLine="389"/>
        <w:spacing w:after="0" w:line="313" w:lineRule="auto"/>
        <w:rPr>
          <w:sz w:val="20"/>
          <w:szCs w:val="20"/>
          <w:color w:val="auto"/>
        </w:rPr>
      </w:pPr>
      <w:r>
        <w:rPr>
          <w:rFonts w:ascii="Times New Roman" w:cs="Times New Roman" w:eastAsia="Times New Roman" w:hAnsi="Times New Roman"/>
          <w:sz w:val="18"/>
          <w:szCs w:val="18"/>
          <w:color w:val="auto"/>
        </w:rPr>
        <w:t>The number of shares issuable under the FY24 PSAs corresponds to the level of achievement of the performance goals, as follows (subject to linear interpolation for amounts between “threshold” and “target” or “target” and “maximum”):</w:t>
      </w:r>
    </w:p>
    <w:p>
      <w:pPr>
        <w:spacing w:after="0" w:line="226" w:lineRule="exact"/>
        <w:rPr>
          <w:sz w:val="20"/>
          <w:szCs w:val="20"/>
          <w:color w:val="auto"/>
        </w:rPr>
      </w:pPr>
    </w:p>
    <w:tbl>
      <w:tblPr>
        <w:tblLayout w:type="fixed"/>
        <w:tblInd w:w="700" w:type="dxa"/>
        <w:tblCellMar>
          <w:top w:w="0" w:type="dxa"/>
          <w:left w:w="0" w:type="dxa"/>
          <w:bottom w:w="0" w:type="dxa"/>
          <w:right w:w="0" w:type="dxa"/>
        </w:tblCellMar>
      </w:tblPr>
      <w:tr>
        <w:trPr>
          <w:trHeight w:val="229"/>
        </w:trPr>
        <w:tc>
          <w:tcPr>
            <w:tcW w:w="58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Performance Achieved</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880" w:type="dxa"/>
            <w:vAlign w:val="bottom"/>
          </w:tcPr>
          <w:p>
            <w:pPr>
              <w:spacing w:after="0"/>
              <w:rPr>
                <w:sz w:val="20"/>
                <w:szCs w:val="20"/>
                <w:color w:val="auto"/>
              </w:rPr>
            </w:pPr>
          </w:p>
        </w:tc>
        <w:tc>
          <w:tcPr>
            <w:tcW w:w="102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Threshold</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116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0" w:type="dxa"/>
            <w:vAlign w:val="bottom"/>
          </w:tcPr>
          <w:p>
            <w:pPr>
              <w:spacing w:after="0"/>
              <w:rPr>
                <w:sz w:val="1"/>
                <w:szCs w:val="1"/>
                <w:color w:val="auto"/>
              </w:rPr>
            </w:pPr>
          </w:p>
        </w:tc>
      </w:tr>
      <w:tr>
        <w:trPr>
          <w:trHeight w:val="176"/>
        </w:trPr>
        <w:tc>
          <w:tcPr>
            <w:tcW w:w="5880" w:type="dxa"/>
            <w:vAlign w:val="bottom"/>
            <w:shd w:val="clear" w:color="auto" w:fill="DBDBDB"/>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9"/>
              </w:rPr>
              <w:t>% of Target Level Shares Earned with Respect to Emerging Revenue Growth</w:t>
            </w:r>
          </w:p>
        </w:tc>
        <w:tc>
          <w:tcPr>
            <w:tcW w:w="1020" w:type="dxa"/>
            <w:vAlign w:val="bottom"/>
            <w:vMerge w:val="restart"/>
            <w:shd w:val="clear" w:color="auto" w:fill="DBDBDB"/>
          </w:tcPr>
          <w:p>
            <w:pPr>
              <w:jc w:val="center"/>
              <w:ind w:left="90"/>
              <w:spacing w:after="0"/>
              <w:rPr>
                <w:sz w:val="20"/>
                <w:szCs w:val="20"/>
                <w:color w:val="auto"/>
              </w:rPr>
            </w:pPr>
            <w:r>
              <w:rPr>
                <w:rFonts w:ascii="Times New Roman" w:cs="Times New Roman" w:eastAsia="Times New Roman" w:hAnsi="Times New Roman"/>
                <w:sz w:val="18"/>
                <w:szCs w:val="18"/>
                <w:color w:val="auto"/>
                <w:w w:val="96"/>
              </w:rPr>
              <w:t>50%</w:t>
            </w:r>
          </w:p>
        </w:tc>
        <w:tc>
          <w:tcPr>
            <w:tcW w:w="1780" w:type="dxa"/>
            <w:vAlign w:val="bottom"/>
            <w:vMerge w:val="restart"/>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160" w:type="dxa"/>
            <w:vAlign w:val="bottom"/>
            <w:vMerge w:val="restart"/>
            <w:shd w:val="clear" w:color="auto" w:fill="DBDBDB"/>
          </w:tcPr>
          <w:p>
            <w:pPr>
              <w:jc w:val="center"/>
              <w:ind w:right="250"/>
              <w:spacing w:after="0"/>
              <w:rPr>
                <w:sz w:val="20"/>
                <w:szCs w:val="20"/>
                <w:color w:val="auto"/>
              </w:rPr>
            </w:pPr>
            <w:r>
              <w:rPr>
                <w:rFonts w:ascii="Times New Roman" w:cs="Times New Roman" w:eastAsia="Times New Roman" w:hAnsi="Times New Roman"/>
                <w:sz w:val="18"/>
                <w:szCs w:val="18"/>
                <w:color w:val="auto"/>
                <w:w w:val="99"/>
              </w:rPr>
              <w:t>200%</w:t>
            </w:r>
          </w:p>
        </w:tc>
        <w:tc>
          <w:tcPr>
            <w:tcW w:w="0" w:type="dxa"/>
            <w:vAlign w:val="bottom"/>
          </w:tcPr>
          <w:p>
            <w:pPr>
              <w:spacing w:after="0"/>
              <w:rPr>
                <w:sz w:val="1"/>
                <w:szCs w:val="1"/>
                <w:color w:val="auto"/>
              </w:rPr>
            </w:pPr>
          </w:p>
        </w:tc>
      </w:tr>
      <w:tr>
        <w:trPr>
          <w:trHeight w:val="148"/>
        </w:trPr>
        <w:tc>
          <w:tcPr>
            <w:tcW w:w="5880" w:type="dxa"/>
            <w:vAlign w:val="bottom"/>
            <w:vMerge w:val="restart"/>
            <w:shd w:val="clear" w:color="auto" w:fill="DBDBDB"/>
          </w:tcPr>
          <w:p>
            <w:pPr>
              <w:jc w:val="center"/>
              <w:ind w:right="30"/>
              <w:spacing w:after="0"/>
              <w:rPr>
                <w:sz w:val="20"/>
                <w:szCs w:val="20"/>
                <w:color w:val="auto"/>
              </w:rPr>
            </w:pPr>
            <w:r>
              <w:rPr>
                <w:rFonts w:ascii="Times New Roman" w:cs="Times New Roman" w:eastAsia="Times New Roman" w:hAnsi="Times New Roman"/>
                <w:sz w:val="18"/>
                <w:szCs w:val="18"/>
                <w:color w:val="auto"/>
                <w:w w:val="99"/>
              </w:rPr>
              <w:t>Metric</w:t>
            </w:r>
          </w:p>
        </w:tc>
        <w:tc>
          <w:tcPr>
            <w:tcW w:w="1020" w:type="dxa"/>
            <w:vAlign w:val="bottom"/>
            <w:vMerge w:val="continue"/>
            <w:shd w:val="clear" w:color="auto" w:fill="DBDBDB"/>
          </w:tcPr>
          <w:p>
            <w:pPr>
              <w:spacing w:after="0"/>
              <w:rPr>
                <w:sz w:val="12"/>
                <w:szCs w:val="12"/>
                <w:color w:val="auto"/>
              </w:rPr>
            </w:pPr>
          </w:p>
        </w:tc>
        <w:tc>
          <w:tcPr>
            <w:tcW w:w="1780" w:type="dxa"/>
            <w:vAlign w:val="bottom"/>
            <w:vMerge w:val="continue"/>
            <w:shd w:val="clear" w:color="auto" w:fill="DBDBDB"/>
          </w:tcPr>
          <w:p>
            <w:pPr>
              <w:spacing w:after="0"/>
              <w:rPr>
                <w:sz w:val="12"/>
                <w:szCs w:val="12"/>
                <w:color w:val="auto"/>
              </w:rPr>
            </w:pPr>
          </w:p>
        </w:tc>
        <w:tc>
          <w:tcPr>
            <w:tcW w:w="1160" w:type="dxa"/>
            <w:vAlign w:val="bottom"/>
            <w:vMerge w:val="continue"/>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5880" w:type="dxa"/>
            <w:vAlign w:val="bottom"/>
            <w:vMerge w:val="continue"/>
            <w:shd w:val="clear" w:color="auto" w:fill="DBDBDB"/>
          </w:tcPr>
          <w:p>
            <w:pPr>
              <w:spacing w:after="0"/>
              <w:rPr>
                <w:sz w:val="8"/>
                <w:szCs w:val="8"/>
                <w:color w:val="auto"/>
              </w:rPr>
            </w:pPr>
          </w:p>
        </w:tc>
        <w:tc>
          <w:tcPr>
            <w:tcW w:w="1020" w:type="dxa"/>
            <w:vAlign w:val="bottom"/>
            <w:shd w:val="clear" w:color="auto" w:fill="DBDBDB"/>
          </w:tcPr>
          <w:p>
            <w:pPr>
              <w:spacing w:after="0"/>
              <w:rPr>
                <w:sz w:val="8"/>
                <w:szCs w:val="8"/>
                <w:color w:val="auto"/>
              </w:rPr>
            </w:pPr>
          </w:p>
        </w:tc>
        <w:tc>
          <w:tcPr>
            <w:tcW w:w="1780" w:type="dxa"/>
            <w:vAlign w:val="bottom"/>
            <w:shd w:val="clear" w:color="auto" w:fill="DBDBDB"/>
          </w:tcPr>
          <w:p>
            <w:pPr>
              <w:spacing w:after="0"/>
              <w:rPr>
                <w:sz w:val="8"/>
                <w:szCs w:val="8"/>
                <w:color w:val="auto"/>
              </w:rPr>
            </w:pPr>
          </w:p>
        </w:tc>
        <w:tc>
          <w:tcPr>
            <w:tcW w:w="1160" w:type="dxa"/>
            <w:vAlign w:val="bottom"/>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588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 of Target Level Shares Earned with Respect to EBITDA Margin Percentile</w:t>
            </w:r>
          </w:p>
        </w:tc>
        <w:tc>
          <w:tcPr>
            <w:tcW w:w="102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color w:val="auto"/>
                <w:w w:val="96"/>
              </w:rPr>
              <w:t>50%</w:t>
            </w: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16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9"/>
              </w:rPr>
              <w:t>200%</w:t>
            </w:r>
          </w:p>
        </w:tc>
        <w:tc>
          <w:tcPr>
            <w:tcW w:w="0" w:type="dxa"/>
            <w:vAlign w:val="bottom"/>
          </w:tcPr>
          <w:p>
            <w:pPr>
              <w:spacing w:after="0"/>
              <w:rPr>
                <w:sz w:val="1"/>
                <w:szCs w:val="1"/>
                <w:color w:val="auto"/>
              </w:rPr>
            </w:pPr>
          </w:p>
        </w:tc>
      </w:tr>
      <w:tr>
        <w:trPr>
          <w:trHeight w:val="148"/>
        </w:trPr>
        <w:tc>
          <w:tcPr>
            <w:tcW w:w="588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w w:val="98"/>
              </w:rPr>
              <w:t>Ranking Metric</w:t>
            </w:r>
          </w:p>
        </w:tc>
        <w:tc>
          <w:tcPr>
            <w:tcW w:w="1020" w:type="dxa"/>
            <w:vAlign w:val="bottom"/>
            <w:vMerge w:val="continue"/>
          </w:tcPr>
          <w:p>
            <w:pPr>
              <w:spacing w:after="0"/>
              <w:rPr>
                <w:sz w:val="12"/>
                <w:szCs w:val="12"/>
                <w:color w:val="auto"/>
              </w:rPr>
            </w:pPr>
          </w:p>
        </w:tc>
        <w:tc>
          <w:tcPr>
            <w:tcW w:w="178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5880" w:type="dxa"/>
            <w:vAlign w:val="bottom"/>
            <w:vMerge w:val="continue"/>
          </w:tcPr>
          <w:p>
            <w:pPr>
              <w:spacing w:after="0"/>
              <w:rPr>
                <w:sz w:val="7"/>
                <w:szCs w:val="7"/>
                <w:color w:val="auto"/>
              </w:rPr>
            </w:pPr>
          </w:p>
        </w:tc>
        <w:tc>
          <w:tcPr>
            <w:tcW w:w="102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5880" w:type="dxa"/>
            <w:vAlign w:val="bottom"/>
            <w:shd w:val="clear" w:color="auto" w:fill="DBDBDB"/>
          </w:tcPr>
          <w:p>
            <w:pPr>
              <w:jc w:val="center"/>
              <w:ind w:right="30"/>
              <w:spacing w:after="0" w:line="180" w:lineRule="exact"/>
              <w:rPr>
                <w:sz w:val="20"/>
                <w:szCs w:val="20"/>
                <w:color w:val="auto"/>
              </w:rPr>
            </w:pPr>
            <w:r>
              <w:rPr>
                <w:rFonts w:ascii="Times New Roman" w:cs="Times New Roman" w:eastAsia="Times New Roman" w:hAnsi="Times New Roman"/>
                <w:sz w:val="18"/>
                <w:szCs w:val="18"/>
                <w:color w:val="auto"/>
                <w:w w:val="99"/>
              </w:rPr>
              <w:t>% of Target Level Shares Earned with Respect to TSR Percentile Ranking</w:t>
            </w:r>
          </w:p>
        </w:tc>
        <w:tc>
          <w:tcPr>
            <w:tcW w:w="1020" w:type="dxa"/>
            <w:vAlign w:val="bottom"/>
            <w:vMerge w:val="restart"/>
            <w:shd w:val="clear" w:color="auto" w:fill="DBDBDB"/>
          </w:tcPr>
          <w:p>
            <w:pPr>
              <w:jc w:val="center"/>
              <w:ind w:left="90"/>
              <w:spacing w:after="0"/>
              <w:rPr>
                <w:sz w:val="20"/>
                <w:szCs w:val="20"/>
                <w:color w:val="auto"/>
              </w:rPr>
            </w:pPr>
            <w:r>
              <w:rPr>
                <w:rFonts w:ascii="Times New Roman" w:cs="Times New Roman" w:eastAsia="Times New Roman" w:hAnsi="Times New Roman"/>
                <w:sz w:val="18"/>
                <w:szCs w:val="18"/>
                <w:color w:val="auto"/>
                <w:w w:val="96"/>
              </w:rPr>
              <w:t>50%</w:t>
            </w:r>
          </w:p>
        </w:tc>
        <w:tc>
          <w:tcPr>
            <w:tcW w:w="1780" w:type="dxa"/>
            <w:vAlign w:val="bottom"/>
            <w:vMerge w:val="restart"/>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160" w:type="dxa"/>
            <w:vAlign w:val="bottom"/>
            <w:vMerge w:val="restart"/>
            <w:shd w:val="clear" w:color="auto" w:fill="DBDBDB"/>
          </w:tcPr>
          <w:p>
            <w:pPr>
              <w:jc w:val="center"/>
              <w:ind w:right="250"/>
              <w:spacing w:after="0"/>
              <w:rPr>
                <w:sz w:val="20"/>
                <w:szCs w:val="20"/>
                <w:color w:val="auto"/>
              </w:rPr>
            </w:pPr>
            <w:r>
              <w:rPr>
                <w:rFonts w:ascii="Times New Roman" w:cs="Times New Roman" w:eastAsia="Times New Roman" w:hAnsi="Times New Roman"/>
                <w:sz w:val="18"/>
                <w:szCs w:val="18"/>
                <w:color w:val="auto"/>
                <w:w w:val="99"/>
              </w:rPr>
              <w:t>300%</w:t>
            </w:r>
          </w:p>
        </w:tc>
        <w:tc>
          <w:tcPr>
            <w:tcW w:w="0" w:type="dxa"/>
            <w:vAlign w:val="bottom"/>
          </w:tcPr>
          <w:p>
            <w:pPr>
              <w:spacing w:after="0"/>
              <w:rPr>
                <w:sz w:val="1"/>
                <w:szCs w:val="1"/>
                <w:color w:val="auto"/>
              </w:rPr>
            </w:pPr>
          </w:p>
        </w:tc>
      </w:tr>
      <w:tr>
        <w:trPr>
          <w:trHeight w:val="149"/>
        </w:trPr>
        <w:tc>
          <w:tcPr>
            <w:tcW w:w="5880" w:type="dxa"/>
            <w:vAlign w:val="bottom"/>
            <w:vMerge w:val="restart"/>
            <w:shd w:val="clear" w:color="auto" w:fill="DBDBDB"/>
          </w:tcPr>
          <w:p>
            <w:pPr>
              <w:jc w:val="center"/>
              <w:ind w:right="30"/>
              <w:spacing w:after="0"/>
              <w:rPr>
                <w:sz w:val="20"/>
                <w:szCs w:val="20"/>
                <w:color w:val="auto"/>
              </w:rPr>
            </w:pPr>
            <w:r>
              <w:rPr>
                <w:rFonts w:ascii="Times New Roman" w:cs="Times New Roman" w:eastAsia="Times New Roman" w:hAnsi="Times New Roman"/>
                <w:sz w:val="18"/>
                <w:szCs w:val="18"/>
                <w:color w:val="auto"/>
                <w:w w:val="99"/>
              </w:rPr>
              <w:t>Metric</w:t>
            </w:r>
          </w:p>
        </w:tc>
        <w:tc>
          <w:tcPr>
            <w:tcW w:w="1020" w:type="dxa"/>
            <w:vAlign w:val="bottom"/>
            <w:vMerge w:val="continue"/>
            <w:shd w:val="clear" w:color="auto" w:fill="DBDBDB"/>
          </w:tcPr>
          <w:p>
            <w:pPr>
              <w:spacing w:after="0"/>
              <w:rPr>
                <w:sz w:val="12"/>
                <w:szCs w:val="12"/>
                <w:color w:val="auto"/>
              </w:rPr>
            </w:pPr>
          </w:p>
        </w:tc>
        <w:tc>
          <w:tcPr>
            <w:tcW w:w="1780" w:type="dxa"/>
            <w:vAlign w:val="bottom"/>
            <w:vMerge w:val="continue"/>
            <w:shd w:val="clear" w:color="auto" w:fill="DBDBDB"/>
          </w:tcPr>
          <w:p>
            <w:pPr>
              <w:spacing w:after="0"/>
              <w:rPr>
                <w:sz w:val="12"/>
                <w:szCs w:val="12"/>
                <w:color w:val="auto"/>
              </w:rPr>
            </w:pPr>
          </w:p>
        </w:tc>
        <w:tc>
          <w:tcPr>
            <w:tcW w:w="1160" w:type="dxa"/>
            <w:vAlign w:val="bottom"/>
            <w:vMerge w:val="continue"/>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5880" w:type="dxa"/>
            <w:vAlign w:val="bottom"/>
            <w:vMerge w:val="continue"/>
            <w:shd w:val="clear" w:color="auto" w:fill="DBDBDB"/>
          </w:tcPr>
          <w:p>
            <w:pPr>
              <w:spacing w:after="0"/>
              <w:rPr>
                <w:sz w:val="8"/>
                <w:szCs w:val="8"/>
                <w:color w:val="auto"/>
              </w:rPr>
            </w:pPr>
          </w:p>
        </w:tc>
        <w:tc>
          <w:tcPr>
            <w:tcW w:w="1020" w:type="dxa"/>
            <w:vAlign w:val="bottom"/>
            <w:shd w:val="clear" w:color="auto" w:fill="DBDBDB"/>
          </w:tcPr>
          <w:p>
            <w:pPr>
              <w:spacing w:after="0"/>
              <w:rPr>
                <w:sz w:val="8"/>
                <w:szCs w:val="8"/>
                <w:color w:val="auto"/>
              </w:rPr>
            </w:pPr>
          </w:p>
        </w:tc>
        <w:tc>
          <w:tcPr>
            <w:tcW w:w="1780" w:type="dxa"/>
            <w:vAlign w:val="bottom"/>
            <w:shd w:val="clear" w:color="auto" w:fill="DBDBDB"/>
          </w:tcPr>
          <w:p>
            <w:pPr>
              <w:spacing w:after="0"/>
              <w:rPr>
                <w:sz w:val="8"/>
                <w:szCs w:val="8"/>
                <w:color w:val="auto"/>
              </w:rPr>
            </w:pPr>
          </w:p>
        </w:tc>
        <w:tc>
          <w:tcPr>
            <w:tcW w:w="1160" w:type="dxa"/>
            <w:vAlign w:val="bottom"/>
            <w:shd w:val="clear" w:color="auto" w:fill="DBDBDB"/>
          </w:tcPr>
          <w:p>
            <w:pPr>
              <w:spacing w:after="0"/>
              <w:rPr>
                <w:sz w:val="8"/>
                <w:szCs w:val="8"/>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firstLine="389"/>
        <w:spacing w:after="0" w:line="329" w:lineRule="auto"/>
        <w:rPr>
          <w:sz w:val="20"/>
          <w:szCs w:val="20"/>
          <w:color w:val="auto"/>
        </w:rPr>
      </w:pPr>
      <w:r>
        <w:rPr>
          <w:rFonts w:ascii="Times New Roman" w:cs="Times New Roman" w:eastAsia="Times New Roman" w:hAnsi="Times New Roman"/>
          <w:sz w:val="18"/>
          <w:szCs w:val="18"/>
          <w:color w:val="auto"/>
        </w:rPr>
        <w:t>The “continued employment” condition of the FY24 PSAs provides that, to the extent that the performance goals are met, the shares earned under such metrics would vest as follows (provided, in each case, that the executive remains employed by the Company through each such vesting date):</w:t>
      </w:r>
    </w:p>
    <w:p>
      <w:pPr>
        <w:spacing w:after="0" w:line="198"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b w:val="1"/>
          <w:bCs w:val="1"/>
          <w:color w:val="auto"/>
        </w:rPr>
        <w:t>Anniversary of Grant Date (1)</w:t>
      </w:r>
    </w:p>
    <w:p>
      <w:pPr>
        <w:spacing w:after="0" w:line="31" w:lineRule="exact"/>
        <w:rPr>
          <w:sz w:val="20"/>
          <w:szCs w:val="20"/>
          <w:color w:val="auto"/>
        </w:rPr>
      </w:pPr>
    </w:p>
    <w:p>
      <w:pPr>
        <w:ind w:left="6860"/>
        <w:spacing w:after="0"/>
        <w:tabs>
          <w:tab w:leader="none" w:pos="8280" w:val="left"/>
        </w:tabs>
        <w:rPr>
          <w:sz w:val="20"/>
          <w:szCs w:val="20"/>
          <w:color w:val="auto"/>
        </w:rPr>
      </w:pPr>
      <w:r>
        <w:rPr>
          <w:rFonts w:ascii="Times New Roman" w:cs="Times New Roman" w:eastAsia="Times New Roman" w:hAnsi="Times New Roman"/>
          <w:sz w:val="18"/>
          <w:szCs w:val="18"/>
          <w:b w:val="1"/>
          <w:bCs w:val="1"/>
          <w:color w:val="auto"/>
        </w:rPr>
        <w:t>Two Year</w:t>
      </w:r>
      <w:r>
        <w:rPr>
          <w:sz w:val="20"/>
          <w:szCs w:val="20"/>
          <w:color w:val="auto"/>
        </w:rPr>
        <w:tab/>
      </w:r>
      <w:r>
        <w:rPr>
          <w:rFonts w:ascii="Times New Roman" w:cs="Times New Roman" w:eastAsia="Times New Roman" w:hAnsi="Times New Roman"/>
          <w:sz w:val="17"/>
          <w:szCs w:val="17"/>
          <w:b w:val="1"/>
          <w:bCs w:val="1"/>
          <w:color w:val="auto"/>
        </w:rPr>
        <w:t>Three Year</w:t>
      </w:r>
    </w:p>
    <w:tbl>
      <w:tblPr>
        <w:tblLayout w:type="fixed"/>
        <w:tblInd w:w="1780" w:type="dxa"/>
        <w:tblCellMar>
          <w:top w:w="0" w:type="dxa"/>
          <w:left w:w="0" w:type="dxa"/>
          <w:bottom w:w="0" w:type="dxa"/>
          <w:right w:w="0" w:type="dxa"/>
        </w:tblCellMar>
      </w:tblPr>
      <w:tr>
        <w:trPr>
          <w:trHeight w:val="207"/>
        </w:trPr>
        <w:tc>
          <w:tcPr>
            <w:tcW w:w="4920" w:type="dxa"/>
            <w:vAlign w:val="bottom"/>
            <w:shd w:val="clear" w:color="auto" w:fill="DBDBDB"/>
          </w:tcPr>
          <w:p>
            <w:pPr>
              <w:jc w:val="center"/>
              <w:ind w:right="190"/>
              <w:spacing w:after="0"/>
              <w:rPr>
                <w:sz w:val="20"/>
                <w:szCs w:val="20"/>
                <w:color w:val="auto"/>
              </w:rPr>
            </w:pPr>
            <w:r>
              <w:rPr>
                <w:rFonts w:ascii="Times New Roman" w:cs="Times New Roman" w:eastAsia="Times New Roman" w:hAnsi="Times New Roman"/>
                <w:sz w:val="18"/>
                <w:szCs w:val="18"/>
                <w:color w:val="auto"/>
                <w:w w:val="99"/>
              </w:rPr>
              <w:t>% of Shares Earned with Respect to Emerging Revenue Growth</w:t>
            </w:r>
          </w:p>
        </w:tc>
        <w:tc>
          <w:tcPr>
            <w:tcW w:w="2780" w:type="dxa"/>
            <w:vAlign w:val="bottom"/>
            <w:vMerge w:val="restart"/>
            <w:shd w:val="clear" w:color="auto" w:fill="DBDBDB"/>
          </w:tcPr>
          <w:p>
            <w:pPr>
              <w:jc w:val="right"/>
              <w:ind w:right="197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40"/>
        </w:trPr>
        <w:tc>
          <w:tcPr>
            <w:tcW w:w="4920" w:type="dxa"/>
            <w:vAlign w:val="bottom"/>
            <w:vMerge w:val="restart"/>
            <w:shd w:val="clear" w:color="auto" w:fill="DBDBDB"/>
          </w:tcPr>
          <w:p>
            <w:pPr>
              <w:jc w:val="center"/>
              <w:ind w:right="190"/>
              <w:spacing w:after="0"/>
              <w:rPr>
                <w:sz w:val="20"/>
                <w:szCs w:val="20"/>
                <w:color w:val="auto"/>
              </w:rPr>
            </w:pPr>
            <w:r>
              <w:rPr>
                <w:rFonts w:ascii="Times New Roman" w:cs="Times New Roman" w:eastAsia="Times New Roman" w:hAnsi="Times New Roman"/>
                <w:sz w:val="18"/>
                <w:szCs w:val="18"/>
                <w:color w:val="auto"/>
                <w:w w:val="99"/>
              </w:rPr>
              <w:t>Metric</w:t>
            </w:r>
          </w:p>
        </w:tc>
        <w:tc>
          <w:tcPr>
            <w:tcW w:w="2780" w:type="dxa"/>
            <w:vAlign w:val="bottom"/>
            <w:vMerge w:val="continue"/>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4920" w:type="dxa"/>
            <w:vAlign w:val="bottom"/>
            <w:vMerge w:val="continue"/>
            <w:shd w:val="clear" w:color="auto" w:fill="DBDBDB"/>
          </w:tcPr>
          <w:p>
            <w:pPr>
              <w:spacing w:after="0"/>
              <w:rPr>
                <w:sz w:val="8"/>
                <w:szCs w:val="8"/>
                <w:color w:val="auto"/>
              </w:rPr>
            </w:pPr>
          </w:p>
        </w:tc>
        <w:tc>
          <w:tcPr>
            <w:tcW w:w="2780" w:type="dxa"/>
            <w:vAlign w:val="bottom"/>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4920" w:type="dxa"/>
            <w:vAlign w:val="bottom"/>
          </w:tcPr>
          <w:p>
            <w:pPr>
              <w:jc w:val="center"/>
              <w:ind w:right="170"/>
              <w:spacing w:after="0" w:line="184" w:lineRule="exact"/>
              <w:rPr>
                <w:sz w:val="20"/>
                <w:szCs w:val="20"/>
                <w:color w:val="auto"/>
              </w:rPr>
            </w:pPr>
            <w:r>
              <w:rPr>
                <w:rFonts w:ascii="Times New Roman" w:cs="Times New Roman" w:eastAsia="Times New Roman" w:hAnsi="Times New Roman"/>
                <w:sz w:val="18"/>
                <w:szCs w:val="18"/>
                <w:color w:val="auto"/>
                <w:w w:val="99"/>
              </w:rPr>
              <w:t>% of Shares Earned with Respect to EBITDA Margin</w:t>
            </w:r>
          </w:p>
        </w:tc>
        <w:tc>
          <w:tcPr>
            <w:tcW w:w="2780" w:type="dxa"/>
            <w:vAlign w:val="bottom"/>
            <w:vMerge w:val="restart"/>
          </w:tcPr>
          <w:p>
            <w:pPr>
              <w:jc w:val="right"/>
              <w:ind w:right="197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40"/>
        </w:trPr>
        <w:tc>
          <w:tcPr>
            <w:tcW w:w="492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w w:val="99"/>
              </w:rPr>
              <w:t>Percentile Ranking Metric</w:t>
            </w: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4920" w:type="dxa"/>
            <w:vAlign w:val="bottom"/>
            <w:vMerge w:val="continue"/>
          </w:tcPr>
          <w:p>
            <w:pPr>
              <w:spacing w:after="0"/>
              <w:rPr>
                <w:sz w:val="8"/>
                <w:szCs w:val="8"/>
                <w:color w:val="auto"/>
              </w:rPr>
            </w:pPr>
          </w:p>
        </w:tc>
        <w:tc>
          <w:tcPr>
            <w:tcW w:w="2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4920" w:type="dxa"/>
            <w:vAlign w:val="bottom"/>
            <w:shd w:val="clear" w:color="auto" w:fill="DBDBDB"/>
          </w:tcPr>
          <w:p>
            <w:pPr>
              <w:jc w:val="center"/>
              <w:ind w:right="170"/>
              <w:spacing w:after="0" w:line="184" w:lineRule="exact"/>
              <w:rPr>
                <w:sz w:val="20"/>
                <w:szCs w:val="20"/>
                <w:color w:val="auto"/>
              </w:rPr>
            </w:pPr>
            <w:r>
              <w:rPr>
                <w:rFonts w:ascii="Times New Roman" w:cs="Times New Roman" w:eastAsia="Times New Roman" w:hAnsi="Times New Roman"/>
                <w:sz w:val="18"/>
                <w:szCs w:val="18"/>
                <w:color w:val="auto"/>
                <w:w w:val="99"/>
              </w:rPr>
              <w:t>% of Shares Earned with Respect to TSR Percentile Ranking</w:t>
            </w:r>
          </w:p>
        </w:tc>
        <w:tc>
          <w:tcPr>
            <w:tcW w:w="2780" w:type="dxa"/>
            <w:vAlign w:val="bottom"/>
            <w:vMerge w:val="restart"/>
            <w:shd w:val="clear" w:color="auto" w:fill="DBDBDB"/>
          </w:tcPr>
          <w:p>
            <w:pPr>
              <w:jc w:val="right"/>
              <w:ind w:right="45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40"/>
        </w:trPr>
        <w:tc>
          <w:tcPr>
            <w:tcW w:w="4920" w:type="dxa"/>
            <w:vAlign w:val="bottom"/>
            <w:vMerge w:val="restart"/>
            <w:shd w:val="clear" w:color="auto" w:fill="DBDBDB"/>
          </w:tcPr>
          <w:p>
            <w:pPr>
              <w:jc w:val="center"/>
              <w:ind w:right="190"/>
              <w:spacing w:after="0"/>
              <w:rPr>
                <w:sz w:val="20"/>
                <w:szCs w:val="20"/>
                <w:color w:val="auto"/>
              </w:rPr>
            </w:pPr>
            <w:r>
              <w:rPr>
                <w:rFonts w:ascii="Times New Roman" w:cs="Times New Roman" w:eastAsia="Times New Roman" w:hAnsi="Times New Roman"/>
                <w:sz w:val="18"/>
                <w:szCs w:val="18"/>
                <w:color w:val="auto"/>
                <w:w w:val="99"/>
              </w:rPr>
              <w:t>Metric</w:t>
            </w:r>
          </w:p>
        </w:tc>
        <w:tc>
          <w:tcPr>
            <w:tcW w:w="2780" w:type="dxa"/>
            <w:vAlign w:val="bottom"/>
            <w:vMerge w:val="continue"/>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4920" w:type="dxa"/>
            <w:vAlign w:val="bottom"/>
            <w:vMerge w:val="continue"/>
            <w:shd w:val="clear" w:color="auto" w:fill="DBDBDB"/>
          </w:tcPr>
          <w:p>
            <w:pPr>
              <w:spacing w:after="0"/>
              <w:rPr>
                <w:sz w:val="8"/>
                <w:szCs w:val="8"/>
                <w:color w:val="auto"/>
              </w:rPr>
            </w:pPr>
          </w:p>
        </w:tc>
        <w:tc>
          <w:tcPr>
            <w:tcW w:w="2780" w:type="dxa"/>
            <w:vAlign w:val="bottom"/>
            <w:shd w:val="clear" w:color="auto" w:fill="DBDBDB"/>
          </w:tcPr>
          <w:p>
            <w:pPr>
              <w:spacing w:after="0"/>
              <w:rPr>
                <w:sz w:val="8"/>
                <w:szCs w:val="8"/>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50" w:lineRule="exact"/>
        <w:rPr>
          <w:sz w:val="20"/>
          <w:szCs w:val="20"/>
          <w:color w:val="auto"/>
        </w:rPr>
      </w:pPr>
    </w:p>
    <w:p>
      <w:pPr>
        <w:ind w:left="260" w:hanging="248"/>
        <w:spacing w:after="0" w:line="313" w:lineRule="auto"/>
        <w:tabs>
          <w:tab w:leader="none" w:pos="2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termination by reason of death or permanent disability, the holder of an FY24 PSA (or the holder’s estate) would receive any earned but unissued shares that would have been issuable thereunder during the remaining term of the award.</w:t>
      </w:r>
    </w:p>
    <w:p>
      <w:pPr>
        <w:spacing w:after="0" w:line="203" w:lineRule="exact"/>
        <w:rPr>
          <w:sz w:val="20"/>
          <w:szCs w:val="20"/>
          <w:color w:val="auto"/>
        </w:rPr>
      </w:pPr>
    </w:p>
    <w:p>
      <w:pPr>
        <w:jc w:val="both"/>
        <w:ind w:right="20" w:firstLine="389"/>
        <w:spacing w:after="0" w:line="313" w:lineRule="auto"/>
        <w:rPr>
          <w:sz w:val="20"/>
          <w:szCs w:val="20"/>
          <w:color w:val="auto"/>
        </w:rPr>
      </w:pPr>
      <w:r>
        <w:rPr>
          <w:rFonts w:ascii="Times New Roman" w:cs="Times New Roman" w:eastAsia="Times New Roman" w:hAnsi="Times New Roman"/>
          <w:sz w:val="18"/>
          <w:szCs w:val="18"/>
          <w:color w:val="auto"/>
        </w:rPr>
        <w:t>During fiscal year 2023, the base period against which fiscal year 2024 emerging revenue performance was measured, the Company achieved revenue in the specified key product categories of $728 million.</w:t>
      </w:r>
    </w:p>
    <w:p>
      <w:pPr>
        <w:spacing w:after="0" w:line="203" w:lineRule="exact"/>
        <w:rPr>
          <w:sz w:val="20"/>
          <w:szCs w:val="20"/>
          <w:color w:val="auto"/>
        </w:rPr>
      </w:pPr>
    </w:p>
    <w:p>
      <w:pPr>
        <w:jc w:val="both"/>
        <w:ind w:firstLine="389"/>
        <w:spacing w:after="0" w:line="297" w:lineRule="auto"/>
        <w:rPr>
          <w:sz w:val="20"/>
          <w:szCs w:val="20"/>
          <w:color w:val="auto"/>
        </w:rPr>
      </w:pPr>
      <w:r>
        <w:rPr>
          <w:rFonts w:ascii="Times New Roman" w:cs="Times New Roman" w:eastAsia="Times New Roman" w:hAnsi="Times New Roman"/>
          <w:sz w:val="18"/>
          <w:szCs w:val="18"/>
          <w:color w:val="auto"/>
        </w:rPr>
        <w:t>During fiscal year 2024, the Company achieved revenue in the specified key product categories of $772 million, representing emerging revenue growth of 6%, which was between the “minimum” and “target” level of performance. This level of achievement reflected the rigorous target that had been set by the Compensation Committee. This resulted in the Company achieving approximately 61% of the target level of shares for such metric. The shares earned under this metric will be issued in November 2025, provided that the Named Executive Officer meets the continued employment condition.</w:t>
      </w:r>
    </w:p>
    <w:p>
      <w:pPr>
        <w:spacing w:after="0" w:line="217" w:lineRule="exact"/>
        <w:rPr>
          <w:sz w:val="20"/>
          <w:szCs w:val="20"/>
          <w:color w:val="auto"/>
        </w:rPr>
      </w:pPr>
    </w:p>
    <w:p>
      <w:pPr>
        <w:jc w:val="both"/>
        <w:ind w:firstLine="389"/>
        <w:spacing w:after="0" w:line="305" w:lineRule="auto"/>
        <w:rPr>
          <w:sz w:val="20"/>
          <w:szCs w:val="20"/>
          <w:color w:val="auto"/>
        </w:rPr>
      </w:pPr>
      <w:r>
        <w:rPr>
          <w:rFonts w:ascii="Times New Roman" w:cs="Times New Roman" w:eastAsia="Times New Roman" w:hAnsi="Times New Roman"/>
          <w:sz w:val="18"/>
          <w:szCs w:val="18"/>
          <w:color w:val="auto"/>
        </w:rPr>
        <w:t>In the period comprising fiscal year 2023 and fiscal year 2024, the period over which the EBITDA margin percentile ranking metric was measured, the Company achieved a margin of 38%, resulting in its ranking in the 60th percentile against the applicable peer group. This resulted in the Company achieving 125% of the target level of shares for such metric. The shares earned under this metric were issued in November 2024.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Outstanding PSAs at the End of Fiscal Year 2024</w:t>
      </w:r>
    </w:p>
    <w:p>
      <w:pPr>
        <w:spacing w:after="0" w:line="227" w:lineRule="exact"/>
        <w:rPr>
          <w:sz w:val="20"/>
          <w:szCs w:val="20"/>
          <w:color w:val="auto"/>
        </w:rPr>
      </w:pPr>
    </w:p>
    <w:p>
      <w:pPr>
        <w:jc w:val="both"/>
        <w:ind w:firstLine="389"/>
        <w:spacing w:after="0" w:line="302" w:lineRule="auto"/>
        <w:rPr>
          <w:sz w:val="20"/>
          <w:szCs w:val="20"/>
          <w:color w:val="auto"/>
        </w:rPr>
      </w:pPr>
      <w:r>
        <w:rPr>
          <w:rFonts w:ascii="Times New Roman" w:cs="Times New Roman" w:eastAsia="Times New Roman" w:hAnsi="Times New Roman"/>
          <w:sz w:val="18"/>
          <w:szCs w:val="18"/>
          <w:color w:val="auto"/>
        </w:rPr>
        <w:t>As summarized in the table below of the annual PSA grants made to Named Executive Officers since our fiscal year ended September 28, 2018 (“fiscal year 2018”) (the first year in which the Compensation Committee awarded PSAs subject to a metric measured over a three-year performance period), achievement of the TSR percentile ranking metric under the FY24 PSAs, which is subject to a three-year performance period, will be determined following the conclusion of the Company’s fiscal year ending October 2, 2026 (“fiscal year 2026”). During the</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9" w:name="page20"/>
    <w:bookmarkEnd w:id="19"/>
    <w:p>
      <w:pPr>
        <w:jc w:val="both"/>
        <w:spacing w:after="0" w:line="297" w:lineRule="auto"/>
        <w:rPr>
          <w:sz w:val="20"/>
          <w:szCs w:val="20"/>
          <w:color w:val="auto"/>
        </w:rPr>
      </w:pPr>
      <w:r>
        <w:rPr>
          <w:rFonts w:ascii="Times New Roman" w:cs="Times New Roman" w:eastAsia="Times New Roman" w:hAnsi="Times New Roman"/>
          <w:sz w:val="18"/>
          <w:szCs w:val="18"/>
          <w:color w:val="auto"/>
        </w:rPr>
        <w:t>three-year performance period under the fiscal year 2022 PSAs comprising the Company’s fiscal years 2022, 2023, and 2024, the Company realized a TSR of -38% resulting in its ranking in the 17th percentile against the applicable peer group. As a result of failing to achieve the threshold TSR percentile ranking metric, no shares were earned by the Named Executive Officers with respect to such metric, and all PSAs with respect to such metric were cancelled.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PSA Fiscal</w:t>
            </w:r>
          </w:p>
        </w:tc>
        <w:tc>
          <w:tcPr>
            <w:tcW w:w="12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3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Metric</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Achieved</w:t>
            </w:r>
          </w:p>
        </w:tc>
        <w:tc>
          <w:tcPr>
            <w:tcW w:w="0" w:type="dxa"/>
            <w:vAlign w:val="bottom"/>
          </w:tcPr>
          <w:p>
            <w:pPr>
              <w:spacing w:after="0"/>
              <w:rPr>
                <w:sz w:val="1"/>
                <w:szCs w:val="1"/>
                <w:color w:val="auto"/>
              </w:rPr>
            </w:pPr>
          </w:p>
        </w:tc>
      </w:tr>
      <w:tr>
        <w:trPr>
          <w:trHeight w:val="243"/>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280" w:type="dxa"/>
            <w:vAlign w:val="bottom"/>
            <w:vMerge w:val="continue"/>
          </w:tcPr>
          <w:p>
            <w:pPr>
              <w:spacing w:after="0"/>
              <w:rPr>
                <w:sz w:val="21"/>
                <w:szCs w:val="21"/>
                <w:color w:val="auto"/>
              </w:rPr>
            </w:pPr>
          </w:p>
        </w:tc>
        <w:tc>
          <w:tcPr>
            <w:tcW w:w="3860" w:type="dxa"/>
            <w:vAlign w:val="bottom"/>
            <w:vMerge w:val="continue"/>
          </w:tcPr>
          <w:p>
            <w:pPr>
              <w:spacing w:after="0"/>
              <w:rPr>
                <w:sz w:val="21"/>
                <w:szCs w:val="21"/>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of Target)</w:t>
            </w:r>
          </w:p>
        </w:tc>
        <w:tc>
          <w:tcPr>
            <w:tcW w:w="0" w:type="dxa"/>
            <w:vAlign w:val="bottom"/>
          </w:tcPr>
          <w:p>
            <w:pPr>
              <w:spacing w:after="0"/>
              <w:rPr>
                <w:sz w:val="1"/>
                <w:szCs w:val="1"/>
                <w:color w:val="auto"/>
              </w:rPr>
            </w:pPr>
          </w:p>
        </w:tc>
      </w:tr>
      <w:tr>
        <w:trPr>
          <w:trHeight w:val="243"/>
        </w:trPr>
        <w:tc>
          <w:tcPr>
            <w:tcW w:w="1260" w:type="dxa"/>
            <w:vAlign w:val="bottom"/>
            <w:vMerge w:val="restart"/>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7"/>
              </w:rPr>
              <w:t>FY18</w:t>
            </w:r>
          </w:p>
        </w:tc>
        <w:tc>
          <w:tcPr>
            <w:tcW w:w="1280" w:type="dxa"/>
            <w:vAlign w:val="bottom"/>
            <w:vMerge w:val="restart"/>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8"/>
              </w:rPr>
              <w:t>11/7/2017</w:t>
            </w:r>
          </w:p>
        </w:tc>
        <w:tc>
          <w:tcPr>
            <w:tcW w:w="386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Non-GAAP EBITDA Growth</w:t>
            </w:r>
          </w:p>
        </w:tc>
        <w:tc>
          <w:tcPr>
            <w:tcW w:w="154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7"/>
              </w:rPr>
              <w:t>FY18</w:t>
            </w:r>
          </w:p>
        </w:tc>
        <w:tc>
          <w:tcPr>
            <w:tcW w:w="33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8"/>
              </w:rPr>
              <w:t>99.8%</w:t>
            </w:r>
          </w:p>
        </w:tc>
        <w:tc>
          <w:tcPr>
            <w:tcW w:w="0" w:type="dxa"/>
            <w:vAlign w:val="bottom"/>
          </w:tcPr>
          <w:p>
            <w:pPr>
              <w:spacing w:after="0"/>
              <w:rPr>
                <w:sz w:val="1"/>
                <w:szCs w:val="1"/>
                <w:color w:val="auto"/>
              </w:rPr>
            </w:pPr>
          </w:p>
        </w:tc>
      </w:tr>
      <w:tr>
        <w:trPr>
          <w:trHeight w:val="122"/>
        </w:trPr>
        <w:tc>
          <w:tcPr>
            <w:tcW w:w="1260" w:type="dxa"/>
            <w:vAlign w:val="bottom"/>
            <w:vMerge w:val="continue"/>
            <w:shd w:val="clear" w:color="auto" w:fill="DBDBDB"/>
          </w:tcPr>
          <w:p>
            <w:pPr>
              <w:spacing w:after="0"/>
              <w:rPr>
                <w:sz w:val="10"/>
                <w:szCs w:val="10"/>
                <w:color w:val="auto"/>
              </w:rPr>
            </w:pPr>
          </w:p>
        </w:tc>
        <w:tc>
          <w:tcPr>
            <w:tcW w:w="1280" w:type="dxa"/>
            <w:vAlign w:val="bottom"/>
            <w:vMerge w:val="continue"/>
            <w:shd w:val="clear" w:color="auto" w:fill="DBDBDB"/>
          </w:tcPr>
          <w:p>
            <w:pPr>
              <w:spacing w:after="0"/>
              <w:rPr>
                <w:sz w:val="10"/>
                <w:szCs w:val="10"/>
                <w:color w:val="auto"/>
              </w:rPr>
            </w:pPr>
          </w:p>
        </w:tc>
        <w:tc>
          <w:tcPr>
            <w:tcW w:w="3860" w:type="dxa"/>
            <w:vAlign w:val="bottom"/>
            <w:vMerge w:val="restart"/>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3-year TSR Percentile Ranking</w:t>
            </w:r>
          </w:p>
        </w:tc>
        <w:tc>
          <w:tcPr>
            <w:tcW w:w="1540" w:type="dxa"/>
            <w:vAlign w:val="bottom"/>
            <w:vMerge w:val="restart"/>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FY18–FY20</w:t>
            </w:r>
          </w:p>
        </w:tc>
        <w:tc>
          <w:tcPr>
            <w:tcW w:w="3300" w:type="dxa"/>
            <w:vAlign w:val="bottom"/>
            <w:vMerge w:val="restart"/>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148"/>
        </w:trPr>
        <w:tc>
          <w:tcPr>
            <w:tcW w:w="1260" w:type="dxa"/>
            <w:vAlign w:val="bottom"/>
            <w:shd w:val="clear" w:color="auto" w:fill="DBDBDB"/>
          </w:tcPr>
          <w:p>
            <w:pPr>
              <w:spacing w:after="0"/>
              <w:rPr>
                <w:sz w:val="12"/>
                <w:szCs w:val="12"/>
                <w:color w:val="auto"/>
              </w:rPr>
            </w:pPr>
          </w:p>
        </w:tc>
        <w:tc>
          <w:tcPr>
            <w:tcW w:w="1280" w:type="dxa"/>
            <w:vAlign w:val="bottom"/>
            <w:shd w:val="clear" w:color="auto" w:fill="DBDBDB"/>
          </w:tcPr>
          <w:p>
            <w:pPr>
              <w:spacing w:after="0"/>
              <w:rPr>
                <w:sz w:val="12"/>
                <w:szCs w:val="12"/>
                <w:color w:val="auto"/>
              </w:rPr>
            </w:pPr>
          </w:p>
        </w:tc>
        <w:tc>
          <w:tcPr>
            <w:tcW w:w="3860" w:type="dxa"/>
            <w:vAlign w:val="bottom"/>
            <w:vMerge w:val="continue"/>
            <w:shd w:val="clear" w:color="auto" w:fill="DBDBDB"/>
          </w:tcPr>
          <w:p>
            <w:pPr>
              <w:spacing w:after="0"/>
              <w:rPr>
                <w:sz w:val="12"/>
                <w:szCs w:val="12"/>
                <w:color w:val="auto"/>
              </w:rPr>
            </w:pPr>
          </w:p>
        </w:tc>
        <w:tc>
          <w:tcPr>
            <w:tcW w:w="1540" w:type="dxa"/>
            <w:vAlign w:val="bottom"/>
            <w:vMerge w:val="continue"/>
            <w:shd w:val="clear" w:color="auto" w:fill="DBDBDB"/>
          </w:tcPr>
          <w:p>
            <w:pPr>
              <w:spacing w:after="0"/>
              <w:rPr>
                <w:sz w:val="12"/>
                <w:szCs w:val="12"/>
                <w:color w:val="auto"/>
              </w:rPr>
            </w:pPr>
          </w:p>
        </w:tc>
        <w:tc>
          <w:tcPr>
            <w:tcW w:w="3300" w:type="dxa"/>
            <w:vAlign w:val="bottom"/>
            <w:vMerge w:val="continue"/>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FY19</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11/6/2018</w:t>
            </w: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Non-GAAP EBITDA Growth</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FY19</w:t>
            </w: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122"/>
        </w:trPr>
        <w:tc>
          <w:tcPr>
            <w:tcW w:w="12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3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3-year TSR Percentile Ranking</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FY19–FY21</w:t>
            </w:r>
          </w:p>
        </w:tc>
        <w:tc>
          <w:tcPr>
            <w:tcW w:w="3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74.1%</w:t>
            </w: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860" w:type="dxa"/>
            <w:vAlign w:val="bottom"/>
            <w:vMerge w:val="continue"/>
          </w:tcPr>
          <w:p>
            <w:pPr>
              <w:spacing w:after="0"/>
              <w:rPr>
                <w:sz w:val="12"/>
                <w:szCs w:val="12"/>
                <w:color w:val="auto"/>
              </w:rPr>
            </w:pPr>
          </w:p>
        </w:tc>
        <w:tc>
          <w:tcPr>
            <w:tcW w:w="1540" w:type="dxa"/>
            <w:vAlign w:val="bottom"/>
            <w:vMerge w:val="continue"/>
          </w:tcPr>
          <w:p>
            <w:pPr>
              <w:spacing w:after="0"/>
              <w:rPr>
                <w:sz w:val="12"/>
                <w:szCs w:val="12"/>
                <w:color w:val="auto"/>
              </w:rPr>
            </w:pPr>
          </w:p>
        </w:tc>
        <w:tc>
          <w:tcPr>
            <w:tcW w:w="3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260" w:type="dxa"/>
            <w:vAlign w:val="bottom"/>
            <w:shd w:val="clear" w:color="auto" w:fill="DBDBDB"/>
          </w:tcPr>
          <w:p>
            <w:pPr>
              <w:spacing w:after="0"/>
              <w:rPr>
                <w:sz w:val="21"/>
                <w:szCs w:val="21"/>
                <w:color w:val="auto"/>
              </w:rPr>
            </w:pPr>
          </w:p>
        </w:tc>
        <w:tc>
          <w:tcPr>
            <w:tcW w:w="1280" w:type="dxa"/>
            <w:vAlign w:val="bottom"/>
            <w:shd w:val="clear" w:color="auto" w:fill="DBDBDB"/>
          </w:tcPr>
          <w:p>
            <w:pPr>
              <w:spacing w:after="0"/>
              <w:rPr>
                <w:sz w:val="21"/>
                <w:szCs w:val="21"/>
                <w:color w:val="auto"/>
              </w:rPr>
            </w:pPr>
          </w:p>
        </w:tc>
        <w:tc>
          <w:tcPr>
            <w:tcW w:w="386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Emerging Revenue Growth</w:t>
            </w:r>
          </w:p>
        </w:tc>
        <w:tc>
          <w:tcPr>
            <w:tcW w:w="154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7"/>
              </w:rPr>
              <w:t>FY20</w:t>
            </w:r>
          </w:p>
        </w:tc>
        <w:tc>
          <w:tcPr>
            <w:tcW w:w="33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0" w:type="dxa"/>
            <w:vAlign w:val="bottom"/>
          </w:tcPr>
          <w:p>
            <w:pPr>
              <w:spacing w:after="0"/>
              <w:rPr>
                <w:sz w:val="1"/>
                <w:szCs w:val="1"/>
                <w:color w:val="auto"/>
              </w:rPr>
            </w:pPr>
          </w:p>
        </w:tc>
      </w:tr>
      <w:tr>
        <w:trPr>
          <w:trHeight w:val="257"/>
        </w:trPr>
        <w:tc>
          <w:tcPr>
            <w:tcW w:w="126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7"/>
              </w:rPr>
              <w:t>FY20</w:t>
            </w:r>
          </w:p>
        </w:tc>
        <w:tc>
          <w:tcPr>
            <w:tcW w:w="128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8"/>
              </w:rPr>
              <w:t>11/5/2019</w:t>
            </w:r>
          </w:p>
        </w:tc>
        <w:tc>
          <w:tcPr>
            <w:tcW w:w="386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Design Wins</w:t>
            </w:r>
          </w:p>
        </w:tc>
        <w:tc>
          <w:tcPr>
            <w:tcW w:w="154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7"/>
              </w:rPr>
              <w:t>FY20</w:t>
            </w:r>
          </w:p>
        </w:tc>
        <w:tc>
          <w:tcPr>
            <w:tcW w:w="33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0" w:type="dxa"/>
            <w:vAlign w:val="bottom"/>
          </w:tcPr>
          <w:p>
            <w:pPr>
              <w:spacing w:after="0"/>
              <w:rPr>
                <w:sz w:val="1"/>
                <w:szCs w:val="1"/>
                <w:color w:val="auto"/>
              </w:rPr>
            </w:pPr>
          </w:p>
        </w:tc>
      </w:tr>
      <w:tr>
        <w:trPr>
          <w:trHeight w:val="270"/>
        </w:trPr>
        <w:tc>
          <w:tcPr>
            <w:tcW w:w="1260" w:type="dxa"/>
            <w:vAlign w:val="bottom"/>
            <w:shd w:val="clear" w:color="auto" w:fill="DBDBDB"/>
          </w:tcPr>
          <w:p>
            <w:pPr>
              <w:spacing w:after="0"/>
              <w:rPr>
                <w:sz w:val="23"/>
                <w:szCs w:val="23"/>
                <w:color w:val="auto"/>
              </w:rPr>
            </w:pPr>
          </w:p>
        </w:tc>
        <w:tc>
          <w:tcPr>
            <w:tcW w:w="1280" w:type="dxa"/>
            <w:vAlign w:val="bottom"/>
            <w:shd w:val="clear" w:color="auto" w:fill="DBDBDB"/>
          </w:tcPr>
          <w:p>
            <w:pPr>
              <w:spacing w:after="0"/>
              <w:rPr>
                <w:sz w:val="23"/>
                <w:szCs w:val="23"/>
                <w:color w:val="auto"/>
              </w:rPr>
            </w:pPr>
          </w:p>
        </w:tc>
        <w:tc>
          <w:tcPr>
            <w:tcW w:w="386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3-year TSR Percentile Ranking</w:t>
            </w:r>
          </w:p>
        </w:tc>
        <w:tc>
          <w:tcPr>
            <w:tcW w:w="154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FY20–FY22</w:t>
            </w:r>
          </w:p>
        </w:tc>
        <w:tc>
          <w:tcPr>
            <w:tcW w:w="33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Emerging Revenue Growth</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FY21</w:t>
            </w: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0" w:type="dxa"/>
            <w:vAlign w:val="bottom"/>
          </w:tcPr>
          <w:p>
            <w:pPr>
              <w:spacing w:after="0"/>
              <w:rPr>
                <w:sz w:val="1"/>
                <w:szCs w:val="1"/>
                <w:color w:val="auto"/>
              </w:rPr>
            </w:pPr>
          </w:p>
        </w:tc>
      </w:tr>
      <w:tr>
        <w:trPr>
          <w:trHeight w:val="257"/>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FY21</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11/11/2020</w:t>
            </w: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Design Wins</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FY21</w:t>
            </w: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0" w:type="dxa"/>
            <w:vAlign w:val="bottom"/>
          </w:tcPr>
          <w:p>
            <w:pPr>
              <w:spacing w:after="0"/>
              <w:rPr>
                <w:sz w:val="1"/>
                <w:szCs w:val="1"/>
                <w:color w:val="auto"/>
              </w:rPr>
            </w:pPr>
          </w:p>
        </w:tc>
      </w:tr>
      <w:tr>
        <w:trPr>
          <w:trHeight w:val="263"/>
        </w:trPr>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3-year TSR Percentile Ranking</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FY21–FY23</w:t>
            </w: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250"/>
        </w:trPr>
        <w:tc>
          <w:tcPr>
            <w:tcW w:w="1260" w:type="dxa"/>
            <w:vAlign w:val="bottom"/>
            <w:shd w:val="clear" w:color="auto" w:fill="DBDBDB"/>
          </w:tcPr>
          <w:p>
            <w:pPr>
              <w:spacing w:after="0"/>
              <w:rPr>
                <w:sz w:val="21"/>
                <w:szCs w:val="21"/>
                <w:color w:val="auto"/>
              </w:rPr>
            </w:pPr>
          </w:p>
        </w:tc>
        <w:tc>
          <w:tcPr>
            <w:tcW w:w="1280" w:type="dxa"/>
            <w:vAlign w:val="bottom"/>
            <w:shd w:val="clear" w:color="auto" w:fill="DBDBDB"/>
          </w:tcPr>
          <w:p>
            <w:pPr>
              <w:spacing w:after="0"/>
              <w:rPr>
                <w:sz w:val="21"/>
                <w:szCs w:val="21"/>
                <w:color w:val="auto"/>
              </w:rPr>
            </w:pPr>
          </w:p>
        </w:tc>
        <w:tc>
          <w:tcPr>
            <w:tcW w:w="386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Emerging Revenue Growth</w:t>
            </w:r>
          </w:p>
        </w:tc>
        <w:tc>
          <w:tcPr>
            <w:tcW w:w="154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7"/>
              </w:rPr>
              <w:t>FY22</w:t>
            </w:r>
          </w:p>
        </w:tc>
        <w:tc>
          <w:tcPr>
            <w:tcW w:w="33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0" w:type="dxa"/>
            <w:vAlign w:val="bottom"/>
          </w:tcPr>
          <w:p>
            <w:pPr>
              <w:spacing w:after="0"/>
              <w:rPr>
                <w:sz w:val="1"/>
                <w:szCs w:val="1"/>
                <w:color w:val="auto"/>
              </w:rPr>
            </w:pPr>
          </w:p>
        </w:tc>
      </w:tr>
      <w:tr>
        <w:trPr>
          <w:trHeight w:val="256"/>
        </w:trPr>
        <w:tc>
          <w:tcPr>
            <w:tcW w:w="126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7"/>
              </w:rPr>
              <w:t>FY22</w:t>
            </w:r>
          </w:p>
        </w:tc>
        <w:tc>
          <w:tcPr>
            <w:tcW w:w="128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7"/>
              </w:rPr>
              <w:t>11/10/2021</w:t>
            </w:r>
          </w:p>
        </w:tc>
        <w:tc>
          <w:tcPr>
            <w:tcW w:w="386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EBITDA Margin Percentile Ranking</w:t>
            </w:r>
          </w:p>
        </w:tc>
        <w:tc>
          <w:tcPr>
            <w:tcW w:w="154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FY22–FY23</w:t>
            </w:r>
          </w:p>
        </w:tc>
        <w:tc>
          <w:tcPr>
            <w:tcW w:w="33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133%</w:t>
            </w:r>
          </w:p>
        </w:tc>
        <w:tc>
          <w:tcPr>
            <w:tcW w:w="0" w:type="dxa"/>
            <w:vAlign w:val="bottom"/>
          </w:tcPr>
          <w:p>
            <w:pPr>
              <w:spacing w:after="0"/>
              <w:rPr>
                <w:sz w:val="1"/>
                <w:szCs w:val="1"/>
                <w:color w:val="auto"/>
              </w:rPr>
            </w:pPr>
          </w:p>
        </w:tc>
      </w:tr>
      <w:tr>
        <w:trPr>
          <w:trHeight w:val="270"/>
        </w:trPr>
        <w:tc>
          <w:tcPr>
            <w:tcW w:w="1260" w:type="dxa"/>
            <w:vAlign w:val="bottom"/>
            <w:shd w:val="clear" w:color="auto" w:fill="DBDBDB"/>
          </w:tcPr>
          <w:p>
            <w:pPr>
              <w:spacing w:after="0"/>
              <w:rPr>
                <w:sz w:val="23"/>
                <w:szCs w:val="23"/>
                <w:color w:val="auto"/>
              </w:rPr>
            </w:pPr>
          </w:p>
        </w:tc>
        <w:tc>
          <w:tcPr>
            <w:tcW w:w="1280" w:type="dxa"/>
            <w:vAlign w:val="bottom"/>
            <w:shd w:val="clear" w:color="auto" w:fill="DBDBDB"/>
          </w:tcPr>
          <w:p>
            <w:pPr>
              <w:spacing w:after="0"/>
              <w:rPr>
                <w:sz w:val="23"/>
                <w:szCs w:val="23"/>
                <w:color w:val="auto"/>
              </w:rPr>
            </w:pPr>
          </w:p>
        </w:tc>
        <w:tc>
          <w:tcPr>
            <w:tcW w:w="386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3-year TSR Percentile Ranking</w:t>
            </w:r>
          </w:p>
        </w:tc>
        <w:tc>
          <w:tcPr>
            <w:tcW w:w="154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FY22–FY24</w:t>
            </w:r>
          </w:p>
        </w:tc>
        <w:tc>
          <w:tcPr>
            <w:tcW w:w="33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Emerging Revenue Growth</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FY23</w:t>
            </w: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0" w:type="dxa"/>
            <w:vAlign w:val="bottom"/>
          </w:tcPr>
          <w:p>
            <w:pPr>
              <w:spacing w:after="0"/>
              <w:rPr>
                <w:sz w:val="1"/>
                <w:szCs w:val="1"/>
                <w:color w:val="auto"/>
              </w:rPr>
            </w:pPr>
          </w:p>
        </w:tc>
      </w:tr>
      <w:tr>
        <w:trPr>
          <w:trHeight w:val="257"/>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FY23</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11/8/2022</w:t>
            </w: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EBITDA Margin Percentile Ranking</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FY23–FY24</w:t>
            </w: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125%</w:t>
            </w:r>
          </w:p>
        </w:tc>
        <w:tc>
          <w:tcPr>
            <w:tcW w:w="0" w:type="dxa"/>
            <w:vAlign w:val="bottom"/>
          </w:tcPr>
          <w:p>
            <w:pPr>
              <w:spacing w:after="0"/>
              <w:rPr>
                <w:sz w:val="1"/>
                <w:szCs w:val="1"/>
                <w:color w:val="auto"/>
              </w:rPr>
            </w:pPr>
          </w:p>
        </w:tc>
      </w:tr>
      <w:tr>
        <w:trPr>
          <w:trHeight w:val="263"/>
        </w:trPr>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3-year TSR Percentile Ranking</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FY23–FY25</w:t>
            </w: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Perf. Period in Progress (1)</w:t>
            </w:r>
          </w:p>
        </w:tc>
        <w:tc>
          <w:tcPr>
            <w:tcW w:w="0" w:type="dxa"/>
            <w:vAlign w:val="bottom"/>
          </w:tcPr>
          <w:p>
            <w:pPr>
              <w:spacing w:after="0"/>
              <w:rPr>
                <w:sz w:val="1"/>
                <w:szCs w:val="1"/>
                <w:color w:val="auto"/>
              </w:rPr>
            </w:pPr>
          </w:p>
        </w:tc>
      </w:tr>
      <w:tr>
        <w:trPr>
          <w:trHeight w:val="250"/>
        </w:trPr>
        <w:tc>
          <w:tcPr>
            <w:tcW w:w="1260" w:type="dxa"/>
            <w:vAlign w:val="bottom"/>
            <w:shd w:val="clear" w:color="auto" w:fill="DBDBDB"/>
          </w:tcPr>
          <w:p>
            <w:pPr>
              <w:spacing w:after="0"/>
              <w:rPr>
                <w:sz w:val="21"/>
                <w:szCs w:val="21"/>
                <w:color w:val="auto"/>
              </w:rPr>
            </w:pPr>
          </w:p>
        </w:tc>
        <w:tc>
          <w:tcPr>
            <w:tcW w:w="1280" w:type="dxa"/>
            <w:vAlign w:val="bottom"/>
            <w:shd w:val="clear" w:color="auto" w:fill="DBDBDB"/>
          </w:tcPr>
          <w:p>
            <w:pPr>
              <w:spacing w:after="0"/>
              <w:rPr>
                <w:sz w:val="21"/>
                <w:szCs w:val="21"/>
                <w:color w:val="auto"/>
              </w:rPr>
            </w:pPr>
          </w:p>
        </w:tc>
        <w:tc>
          <w:tcPr>
            <w:tcW w:w="386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Emerging Revenue Growth</w:t>
            </w:r>
          </w:p>
        </w:tc>
        <w:tc>
          <w:tcPr>
            <w:tcW w:w="154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7"/>
              </w:rPr>
              <w:t>FY24</w:t>
            </w:r>
          </w:p>
        </w:tc>
        <w:tc>
          <w:tcPr>
            <w:tcW w:w="33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57"/>
        </w:trPr>
        <w:tc>
          <w:tcPr>
            <w:tcW w:w="126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7"/>
              </w:rPr>
              <w:t>FY24</w:t>
            </w:r>
          </w:p>
        </w:tc>
        <w:tc>
          <w:tcPr>
            <w:tcW w:w="128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8"/>
              </w:rPr>
              <w:t>11/7/2023</w:t>
            </w:r>
          </w:p>
        </w:tc>
        <w:tc>
          <w:tcPr>
            <w:tcW w:w="386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EBITDA Margin Percentile Ranking</w:t>
            </w:r>
          </w:p>
        </w:tc>
        <w:tc>
          <w:tcPr>
            <w:tcW w:w="154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FY24–FY25</w:t>
            </w:r>
          </w:p>
        </w:tc>
        <w:tc>
          <w:tcPr>
            <w:tcW w:w="33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Perf. Period in Progress (2)</w:t>
            </w:r>
          </w:p>
        </w:tc>
        <w:tc>
          <w:tcPr>
            <w:tcW w:w="0" w:type="dxa"/>
            <w:vAlign w:val="bottom"/>
          </w:tcPr>
          <w:p>
            <w:pPr>
              <w:spacing w:after="0"/>
              <w:rPr>
                <w:sz w:val="1"/>
                <w:szCs w:val="1"/>
                <w:color w:val="auto"/>
              </w:rPr>
            </w:pPr>
          </w:p>
        </w:tc>
      </w:tr>
      <w:tr>
        <w:trPr>
          <w:trHeight w:val="270"/>
        </w:trPr>
        <w:tc>
          <w:tcPr>
            <w:tcW w:w="1260" w:type="dxa"/>
            <w:vAlign w:val="bottom"/>
            <w:shd w:val="clear" w:color="auto" w:fill="DBDBDB"/>
          </w:tcPr>
          <w:p>
            <w:pPr>
              <w:spacing w:after="0"/>
              <w:rPr>
                <w:sz w:val="23"/>
                <w:szCs w:val="23"/>
                <w:color w:val="auto"/>
              </w:rPr>
            </w:pPr>
          </w:p>
        </w:tc>
        <w:tc>
          <w:tcPr>
            <w:tcW w:w="1280" w:type="dxa"/>
            <w:vAlign w:val="bottom"/>
            <w:shd w:val="clear" w:color="auto" w:fill="DBDBDB"/>
          </w:tcPr>
          <w:p>
            <w:pPr>
              <w:spacing w:after="0"/>
              <w:rPr>
                <w:sz w:val="23"/>
                <w:szCs w:val="23"/>
                <w:color w:val="auto"/>
              </w:rPr>
            </w:pPr>
          </w:p>
        </w:tc>
        <w:tc>
          <w:tcPr>
            <w:tcW w:w="386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3-year TSR Percentile Ranking</w:t>
            </w:r>
          </w:p>
        </w:tc>
        <w:tc>
          <w:tcPr>
            <w:tcW w:w="154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FY24–FY26</w:t>
            </w:r>
          </w:p>
        </w:tc>
        <w:tc>
          <w:tcPr>
            <w:tcW w:w="33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Perf. Period in Progress (3)</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50" w:lineRule="exact"/>
        <w:rPr>
          <w:sz w:val="20"/>
          <w:szCs w:val="20"/>
          <w:color w:val="auto"/>
        </w:rPr>
      </w:pPr>
    </w:p>
    <w:p>
      <w:pPr>
        <w:ind w:left="260" w:hanging="252"/>
        <w:spacing w:after="0"/>
        <w:tabs>
          <w:tab w:leader="none" w:pos="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January 19, 2025, performance under this metric during the applicable performance period was below the “threshold” level of performance.</w:t>
      </w:r>
    </w:p>
    <w:p>
      <w:pPr>
        <w:spacing w:after="0" w:line="36" w:lineRule="exact"/>
        <w:rPr>
          <w:rFonts w:ascii="Times New Roman" w:cs="Times New Roman" w:eastAsia="Times New Roman" w:hAnsi="Times New Roman"/>
          <w:sz w:val="18"/>
          <w:szCs w:val="18"/>
          <w:color w:val="auto"/>
        </w:rPr>
      </w:pPr>
    </w:p>
    <w:p>
      <w:pPr>
        <w:ind w:left="260" w:hanging="252"/>
        <w:spacing w:after="0" w:line="297" w:lineRule="auto"/>
        <w:tabs>
          <w:tab w:leader="none" w:pos="28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January 19, 2025, performance under this metric during the applicable performance period was between the “threshold” and “target” levels of performance.</w:t>
      </w:r>
    </w:p>
    <w:p>
      <w:pPr>
        <w:ind w:left="260" w:hanging="252"/>
        <w:spacing w:after="0"/>
        <w:tabs>
          <w:tab w:leader="none" w:pos="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January 19, 2025, performance under this metric during the applicable performance period was below the “threshold” level of performance.</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Compensation and Benefits</w:t>
      </w:r>
    </w:p>
    <w:p>
      <w:pPr>
        <w:spacing w:after="0" w:line="227" w:lineRule="exact"/>
        <w:rPr>
          <w:sz w:val="20"/>
          <w:szCs w:val="20"/>
          <w:color w:val="auto"/>
        </w:rPr>
      </w:pPr>
    </w:p>
    <w:p>
      <w:pPr>
        <w:jc w:val="both"/>
        <w:ind w:firstLine="389"/>
        <w:spacing w:after="0" w:line="294" w:lineRule="auto"/>
        <w:rPr>
          <w:sz w:val="20"/>
          <w:szCs w:val="20"/>
          <w:color w:val="auto"/>
        </w:rPr>
      </w:pPr>
      <w:r>
        <w:rPr>
          <w:rFonts w:ascii="Times New Roman" w:cs="Times New Roman" w:eastAsia="Times New Roman" w:hAnsi="Times New Roman"/>
          <w:sz w:val="18"/>
          <w:szCs w:val="18"/>
          <w:color w:val="auto"/>
        </w:rPr>
        <w:t>We provide other benefits to our executive officers that are intended to be part of a competitive overall compensation program and are not tied to any company performance criteria. Consistent with our objective of having compensation programs that are considered fair to our employees, executive officers are eligible to participate in the Company’s medical, dental, vision, life, and disability insurance plans, as well as the Company’s 401(k) Savings and Retirement Plan and Employee Stock Purchase Plan, under the same terms as such benefits are offered to other benefits-eligible employees. We do not provide executive officers with any enhanced retirement benefits (i.e., executive officers are subject to the same limits on contributions as other employees, as we do not offer any supplemental executive retirement plan or other similar non-qualified deferred compensation plan), and they are eligible for 401(k) company-match contributions under the same terms as other employees.</w:t>
      </w:r>
    </w:p>
    <w:p>
      <w:pPr>
        <w:spacing w:after="0" w:line="223" w:lineRule="exact"/>
        <w:rPr>
          <w:sz w:val="20"/>
          <w:szCs w:val="20"/>
          <w:color w:val="auto"/>
        </w:rPr>
      </w:pPr>
    </w:p>
    <w:p>
      <w:pPr>
        <w:jc w:val="both"/>
        <w:ind w:firstLine="389"/>
        <w:spacing w:after="0" w:line="305" w:lineRule="auto"/>
        <w:rPr>
          <w:sz w:val="20"/>
          <w:szCs w:val="20"/>
          <w:color w:val="auto"/>
        </w:rPr>
      </w:pPr>
      <w:r>
        <w:rPr>
          <w:rFonts w:ascii="Times New Roman" w:cs="Times New Roman" w:eastAsia="Times New Roman" w:hAnsi="Times New Roman"/>
          <w:sz w:val="18"/>
          <w:szCs w:val="18"/>
          <w:color w:val="auto"/>
        </w:rPr>
        <w:t>We offered executives the opportunity to participate in a reimbursement program for fiscal year 2024 providing up to an aggregate of $20,000 to each executive for the purchase of personal financial planning services, estate planning services, personal tax planning and preparation services, and/or an executive physical. No tax gross-</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0" w:name="page21"/>
    <w:bookmarkEnd w:id="20"/>
    <w:p>
      <w:pPr>
        <w:jc w:val="both"/>
        <w:ind w:right="20"/>
        <w:spacing w:after="0" w:line="313" w:lineRule="auto"/>
        <w:rPr>
          <w:sz w:val="20"/>
          <w:szCs w:val="20"/>
          <w:color w:val="auto"/>
        </w:rPr>
      </w:pPr>
      <w:r>
        <w:rPr>
          <w:rFonts w:ascii="Times New Roman" w:cs="Times New Roman" w:eastAsia="Times New Roman" w:hAnsi="Times New Roman"/>
          <w:sz w:val="18"/>
          <w:szCs w:val="18"/>
          <w:color w:val="auto"/>
        </w:rPr>
        <w:t>up was provided for such reimbursements. In fiscal year 2024, each of the Named Executive Officers, other than Mr. Kasnavi, received reimbursement in connection with such services.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Severance and Change-in-Control Benefits</w:t>
      </w:r>
    </w:p>
    <w:p>
      <w:pPr>
        <w:spacing w:after="0" w:line="256" w:lineRule="exact"/>
        <w:rPr>
          <w:sz w:val="20"/>
          <w:szCs w:val="20"/>
          <w:color w:val="auto"/>
        </w:rPr>
      </w:pPr>
    </w:p>
    <w:p>
      <w:pPr>
        <w:jc w:val="both"/>
        <w:ind w:firstLine="389"/>
        <w:spacing w:after="0" w:line="297" w:lineRule="auto"/>
        <w:rPr>
          <w:sz w:val="20"/>
          <w:szCs w:val="20"/>
          <w:color w:val="auto"/>
        </w:rPr>
      </w:pPr>
      <w:r>
        <w:rPr>
          <w:rFonts w:ascii="Times New Roman" w:cs="Times New Roman" w:eastAsia="Times New Roman" w:hAnsi="Times New Roman"/>
          <w:sz w:val="18"/>
          <w:szCs w:val="18"/>
          <w:color w:val="auto"/>
        </w:rPr>
        <w:t>None of our executive officers, including the Named Executive Officers, has an employment agreement that provides a specific term of employment with the Company. Accordingly, the employment of any such employee may be terminated at any time. We do provide certain benefits to our Named Executive Officers upon certain qualifying terminations of employment and in connection with terminations of employment under certain circumstances following a change in control. A description of the material terms of our severance and change-in-control arrangements with the Named Executive Officers can be found immediately below and further below under “</w:t>
      </w:r>
      <w:r>
        <w:rPr>
          <w:rFonts w:ascii="Times New Roman" w:cs="Times New Roman" w:eastAsia="Times New Roman" w:hAnsi="Times New Roman"/>
          <w:sz w:val="18"/>
          <w:szCs w:val="18"/>
          <w:i w:val="1"/>
          <w:iCs w:val="1"/>
          <w:color w:val="auto"/>
        </w:rPr>
        <w:t>Potential Payments Upon Termination or Change in Control.</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jc w:val="both"/>
        <w:ind w:firstLine="389"/>
        <w:spacing w:after="0" w:line="294" w:lineRule="auto"/>
        <w:rPr>
          <w:sz w:val="20"/>
          <w:szCs w:val="20"/>
          <w:color w:val="auto"/>
        </w:rPr>
      </w:pPr>
      <w:r>
        <w:rPr>
          <w:rFonts w:ascii="Times New Roman" w:cs="Times New Roman" w:eastAsia="Times New Roman" w:hAnsi="Times New Roman"/>
          <w:sz w:val="18"/>
          <w:szCs w:val="18"/>
          <w:color w:val="auto"/>
        </w:rPr>
        <w:t>The Compensation Committee believes that severance protections can play a valuable role in recruiting and retaining superior talent. Severance and other termination benefits are an effective way to offer executives financial security to incent them to forego an opportunity with another company. These agreements also protect the Company as the Named Executive Officers are bound by non-solicit covenants for a period of twelve (12) months after termination of employment. Outside of the change-in-control context, each Named Executive Officer is entitled to severance benefits if his or her employment is involuntarily terminated by the Company without cause and, in the case of the Chief Executive Officer, if he terminates his own employment for good reason (as defined in the Chief Executive Officer’s change-in-control agreement). The level of each Named Executive Officer’s cash severance or other termination benefit is generally tied to his or her annual base salary and short-term incentive amounts.</w:t>
      </w:r>
    </w:p>
    <w:p>
      <w:pPr>
        <w:spacing w:after="0" w:line="223" w:lineRule="exact"/>
        <w:rPr>
          <w:sz w:val="20"/>
          <w:szCs w:val="20"/>
          <w:color w:val="auto"/>
        </w:rPr>
      </w:pPr>
    </w:p>
    <w:p>
      <w:pPr>
        <w:jc w:val="both"/>
        <w:ind w:firstLine="389"/>
        <w:spacing w:after="0" w:line="293" w:lineRule="auto"/>
        <w:rPr>
          <w:sz w:val="20"/>
          <w:szCs w:val="20"/>
          <w:color w:val="auto"/>
        </w:rPr>
      </w:pPr>
      <w:r>
        <w:rPr>
          <w:rFonts w:ascii="Times New Roman" w:cs="Times New Roman" w:eastAsia="Times New Roman" w:hAnsi="Times New Roman"/>
          <w:sz w:val="18"/>
          <w:szCs w:val="18"/>
          <w:color w:val="auto"/>
        </w:rPr>
        <w:t>Additionally, each Named Executive Officer would receive enhanced severance benefits and accelerated vesting of equity awards if his or her employment were terminated under certain circumstances in connection with a change in control of the Company. These benefits are described in detail further below under “</w:t>
      </w:r>
      <w:r>
        <w:rPr>
          <w:rFonts w:ascii="Times New Roman" w:cs="Times New Roman" w:eastAsia="Times New Roman" w:hAnsi="Times New Roman"/>
          <w:sz w:val="18"/>
          <w:szCs w:val="18"/>
          <w:i w:val="1"/>
          <w:iCs w:val="1"/>
          <w:color w:val="auto"/>
        </w:rPr>
        <w:t>Potential Payments Upon Termination or Change in Control.</w:t>
      </w:r>
      <w:r>
        <w:rPr>
          <w:rFonts w:ascii="Times New Roman" w:cs="Times New Roman" w:eastAsia="Times New Roman" w:hAnsi="Times New Roman"/>
          <w:sz w:val="18"/>
          <w:szCs w:val="18"/>
          <w:color w:val="auto"/>
        </w:rPr>
        <w:t>” The Compensation Committee believes these enhanced severance benefits and accelerated vesting are appropriate because the occurrence, or potential occurrence, of a change-in-control transaction would likely create uncertainty regarding the continued employment of executive officers that typically occurs in a change-in-control context, and such severance benefits and accelerated vesting encourage the Named Executive Officers to remain employed with the Company through the change-in-control process and to focus on enhancing stockholder value both before and during the process. The vesting protection helps assure the Named Executive Officers that they will not lose the expected value of their equity awards because of a change in control of the Company.</w:t>
      </w:r>
    </w:p>
    <w:p>
      <w:pPr>
        <w:spacing w:after="0" w:line="219"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In fiscal year 2024, the Company adopted a policy providing for stockholder ratification of any new agreements or arrangements that provide for cash severance benefits payable to Named Executive Officers that exceed 2.99 times the sum of the Named Executive Officer’s base salary and target bonus (as each such term is defined in the policy).</w:t>
      </w:r>
    </w:p>
    <w:p>
      <w:pPr>
        <w:spacing w:after="0" w:line="1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 Stock Ownership Requirements</w:t>
      </w:r>
    </w:p>
    <w:p>
      <w:pPr>
        <w:spacing w:after="0" w:line="270" w:lineRule="exact"/>
        <w:rPr>
          <w:sz w:val="20"/>
          <w:szCs w:val="20"/>
          <w:color w:val="auto"/>
        </w:rPr>
      </w:pPr>
    </w:p>
    <w:p>
      <w:pPr>
        <w:jc w:val="both"/>
        <w:ind w:firstLine="389"/>
        <w:spacing w:after="0" w:line="294" w:lineRule="auto"/>
        <w:rPr>
          <w:sz w:val="20"/>
          <w:szCs w:val="20"/>
          <w:color w:val="auto"/>
        </w:rPr>
      </w:pPr>
      <w:r>
        <w:rPr>
          <w:rFonts w:ascii="Times New Roman" w:cs="Times New Roman" w:eastAsia="Times New Roman" w:hAnsi="Times New Roman"/>
          <w:sz w:val="18"/>
          <w:szCs w:val="18"/>
          <w:color w:val="auto"/>
        </w:rPr>
        <w:t xml:space="preserve">We have adopted executive officer stock ownership guidelines with the objective of more closely aligning the interests of our executive officers with those of our stockholders. Under the executive officer stock ownership guidelines, our Named Executive Officers are each required to hold the </w:t>
      </w:r>
      <w:r>
        <w:rPr>
          <w:rFonts w:ascii="Times New Roman" w:cs="Times New Roman" w:eastAsia="Times New Roman" w:hAnsi="Times New Roman"/>
          <w:sz w:val="18"/>
          <w:szCs w:val="18"/>
          <w:i w:val="1"/>
          <w:iCs w:val="1"/>
          <w:color w:val="auto"/>
        </w:rPr>
        <w:t>lower</w:t>
      </w:r>
      <w:r>
        <w:rPr>
          <w:rFonts w:ascii="Times New Roman" w:cs="Times New Roman" w:eastAsia="Times New Roman" w:hAnsi="Times New Roman"/>
          <w:sz w:val="18"/>
          <w:szCs w:val="18"/>
          <w:color w:val="auto"/>
        </w:rPr>
        <w:t xml:space="preserve"> of (a) the number of shares with a fair market value equal to the applicable multiple of such executive’s current base salary, or (b) the applicable number of shares, each as set forth in the table below. Common stock owned outright by the Named Executive Officer (or by his or her spouse or minor children), common stock held in trust for the benefit of the Named Executive Officer (or his or her spouse or minor children), or restricted stock or restricted stock units granted pursuant to the equity compensation plans of the Company for which restrictions have lapsed, count towards the requirement. Unexercised options, whether or not vested, and restricted stock and restricted stock units still subject to risk of forfeiture, as well</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1" w:name="page22"/>
    <w:bookmarkEnd w:id="21"/>
    <w:p>
      <w:pPr>
        <w:spacing w:after="0" w:line="313" w:lineRule="auto"/>
        <w:rPr>
          <w:sz w:val="20"/>
          <w:szCs w:val="20"/>
          <w:color w:val="auto"/>
        </w:rPr>
      </w:pPr>
      <w:r>
        <w:rPr>
          <w:rFonts w:ascii="Times New Roman" w:cs="Times New Roman" w:eastAsia="Times New Roman" w:hAnsi="Times New Roman"/>
          <w:sz w:val="18"/>
          <w:szCs w:val="18"/>
          <w:color w:val="auto"/>
        </w:rPr>
        <w:t>as any unissued performance shares, do not count towards the requirement. All of our Named Executive Officers are in compliance with the executive officer stock ownership guidelines as of the date hereof.</w:t>
      </w:r>
    </w:p>
    <w:p>
      <w:pPr>
        <w:spacing w:after="0" w:line="280" w:lineRule="exact"/>
        <w:rPr>
          <w:sz w:val="20"/>
          <w:szCs w:val="20"/>
          <w:color w:val="auto"/>
        </w:rPr>
      </w:pPr>
    </w:p>
    <w:tbl>
      <w:tblPr>
        <w:tblLayout w:type="fixed"/>
        <w:tblInd w:w="216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25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Multiple of</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740" w:type="dxa"/>
            <w:vAlign w:val="bottom"/>
          </w:tcPr>
          <w:p>
            <w:pPr>
              <w:spacing w:after="0"/>
              <w:rPr>
                <w:sz w:val="20"/>
                <w:szCs w:val="20"/>
                <w:color w:val="auto"/>
              </w:rPr>
            </w:pPr>
          </w:p>
        </w:tc>
        <w:tc>
          <w:tcPr>
            <w:tcW w:w="25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Annual Base Salary (1)</w:t>
            </w:r>
          </w:p>
        </w:tc>
        <w:tc>
          <w:tcPr>
            <w:tcW w:w="166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0" w:type="dxa"/>
            <w:vAlign w:val="bottom"/>
          </w:tcPr>
          <w:p>
            <w:pPr>
              <w:spacing w:after="0"/>
              <w:rPr>
                <w:sz w:val="1"/>
                <w:szCs w:val="1"/>
                <w:color w:val="auto"/>
              </w:rPr>
            </w:pPr>
          </w:p>
        </w:tc>
      </w:tr>
      <w:tr>
        <w:trPr>
          <w:trHeight w:val="68"/>
        </w:trPr>
        <w:tc>
          <w:tcPr>
            <w:tcW w:w="274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27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2540" w:type="dxa"/>
            <w:vAlign w:val="bottom"/>
            <w:shd w:val="clear" w:color="auto" w:fill="DBDBDB"/>
          </w:tcPr>
          <w:p>
            <w:pPr>
              <w:jc w:val="center"/>
              <w:ind w:right="170"/>
              <w:spacing w:after="0"/>
              <w:rPr>
                <w:sz w:val="20"/>
                <w:szCs w:val="20"/>
                <w:color w:val="auto"/>
              </w:rPr>
            </w:pPr>
            <w:r>
              <w:rPr>
                <w:rFonts w:ascii="Times New Roman" w:cs="Times New Roman" w:eastAsia="Times New Roman" w:hAnsi="Times New Roman"/>
                <w:sz w:val="18"/>
                <w:szCs w:val="18"/>
                <w:color w:val="auto"/>
                <w:w w:val="88"/>
              </w:rPr>
              <w:t>6</w:t>
            </w:r>
          </w:p>
        </w:tc>
        <w:tc>
          <w:tcPr>
            <w:tcW w:w="1660" w:type="dxa"/>
            <w:vAlign w:val="bottom"/>
            <w:shd w:val="clear" w:color="auto" w:fill="DBDBDB"/>
          </w:tcPr>
          <w:p>
            <w:pPr>
              <w:ind w:left="500"/>
              <w:spacing w:after="0"/>
              <w:rPr>
                <w:sz w:val="20"/>
                <w:szCs w:val="20"/>
                <w:color w:val="auto"/>
              </w:rPr>
            </w:pPr>
            <w:r>
              <w:rPr>
                <w:rFonts w:ascii="Times New Roman" w:cs="Times New Roman" w:eastAsia="Times New Roman" w:hAnsi="Times New Roman"/>
                <w:sz w:val="18"/>
                <w:szCs w:val="18"/>
                <w:color w:val="auto"/>
              </w:rPr>
              <w:t>96,900</w:t>
            </w:r>
          </w:p>
        </w:tc>
        <w:tc>
          <w:tcPr>
            <w:tcW w:w="0" w:type="dxa"/>
            <w:vAlign w:val="bottom"/>
          </w:tcPr>
          <w:p>
            <w:pPr>
              <w:spacing w:after="0"/>
              <w:rPr>
                <w:sz w:val="1"/>
                <w:szCs w:val="1"/>
                <w:color w:val="auto"/>
              </w:rPr>
            </w:pPr>
          </w:p>
        </w:tc>
      </w:tr>
      <w:tr>
        <w:trPr>
          <w:trHeight w:val="230"/>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25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2.5</w:t>
            </w:r>
          </w:p>
        </w:tc>
        <w:tc>
          <w:tcPr>
            <w:tcW w:w="1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21,000</w:t>
            </w:r>
          </w:p>
        </w:tc>
        <w:tc>
          <w:tcPr>
            <w:tcW w:w="0" w:type="dxa"/>
            <w:vAlign w:val="bottom"/>
          </w:tcPr>
          <w:p>
            <w:pPr>
              <w:spacing w:after="0"/>
              <w:rPr>
                <w:sz w:val="1"/>
                <w:szCs w:val="1"/>
                <w:color w:val="auto"/>
              </w:rPr>
            </w:pPr>
          </w:p>
        </w:tc>
      </w:tr>
      <w:tr>
        <w:trPr>
          <w:trHeight w:val="175"/>
        </w:trPr>
        <w:tc>
          <w:tcPr>
            <w:tcW w:w="2740" w:type="dxa"/>
            <w:vAlign w:val="bottom"/>
            <w:shd w:val="clear" w:color="auto" w:fill="D9D9D9"/>
          </w:tcPr>
          <w:p>
            <w:pPr>
              <w:ind w:left="20"/>
              <w:spacing w:after="0" w:line="176" w:lineRule="exact"/>
              <w:rPr>
                <w:sz w:val="20"/>
                <w:szCs w:val="20"/>
                <w:color w:val="auto"/>
              </w:rPr>
            </w:pPr>
            <w:r>
              <w:rPr>
                <w:rFonts w:ascii="Times New Roman" w:cs="Times New Roman" w:eastAsia="Times New Roman" w:hAnsi="Times New Roman"/>
                <w:sz w:val="18"/>
                <w:szCs w:val="18"/>
                <w:color w:val="auto"/>
              </w:rPr>
              <w:t>Senior Vice President, Technology</w:t>
            </w:r>
          </w:p>
        </w:tc>
        <w:tc>
          <w:tcPr>
            <w:tcW w:w="2540" w:type="dxa"/>
            <w:vAlign w:val="bottom"/>
            <w:vMerge w:val="restart"/>
            <w:shd w:val="clear" w:color="auto" w:fill="D9D9D9"/>
          </w:tcPr>
          <w:p>
            <w:pPr>
              <w:jc w:val="center"/>
              <w:ind w:right="190"/>
              <w:spacing w:after="0"/>
              <w:rPr>
                <w:sz w:val="20"/>
                <w:szCs w:val="20"/>
                <w:color w:val="auto"/>
              </w:rPr>
            </w:pPr>
            <w:r>
              <w:rPr>
                <w:rFonts w:ascii="Times New Roman" w:cs="Times New Roman" w:eastAsia="Times New Roman" w:hAnsi="Times New Roman"/>
                <w:sz w:val="18"/>
                <w:szCs w:val="18"/>
                <w:color w:val="auto"/>
                <w:w w:val="97"/>
              </w:rPr>
              <w:t>2.5</w:t>
            </w:r>
          </w:p>
        </w:tc>
        <w:tc>
          <w:tcPr>
            <w:tcW w:w="1660" w:type="dxa"/>
            <w:vAlign w:val="bottom"/>
            <w:vMerge w:val="restart"/>
            <w:shd w:val="clear" w:color="auto" w:fill="D9D9D9"/>
          </w:tcPr>
          <w:p>
            <w:pPr>
              <w:ind w:left="500"/>
              <w:spacing w:after="0"/>
              <w:rPr>
                <w:sz w:val="20"/>
                <w:szCs w:val="20"/>
                <w:color w:val="auto"/>
              </w:rPr>
            </w:pPr>
            <w:r>
              <w:rPr>
                <w:rFonts w:ascii="Times New Roman" w:cs="Times New Roman" w:eastAsia="Times New Roman" w:hAnsi="Times New Roman"/>
                <w:sz w:val="18"/>
                <w:szCs w:val="18"/>
                <w:color w:val="auto"/>
              </w:rPr>
              <w:t>19,900</w:t>
            </w:r>
          </w:p>
        </w:tc>
        <w:tc>
          <w:tcPr>
            <w:tcW w:w="0" w:type="dxa"/>
            <w:vAlign w:val="bottom"/>
          </w:tcPr>
          <w:p>
            <w:pPr>
              <w:spacing w:after="0"/>
              <w:rPr>
                <w:sz w:val="1"/>
                <w:szCs w:val="1"/>
                <w:color w:val="auto"/>
              </w:rPr>
            </w:pPr>
          </w:p>
        </w:tc>
      </w:tr>
      <w:tr>
        <w:trPr>
          <w:trHeight w:val="149"/>
        </w:trPr>
        <w:tc>
          <w:tcPr>
            <w:tcW w:w="2740" w:type="dxa"/>
            <w:vAlign w:val="bottom"/>
            <w:vMerge w:val="restart"/>
            <w:shd w:val="clear" w:color="auto" w:fill="D9D9D9"/>
          </w:tcPr>
          <w:p>
            <w:pPr>
              <w:ind w:left="20"/>
              <w:spacing w:after="0"/>
              <w:rPr>
                <w:sz w:val="20"/>
                <w:szCs w:val="20"/>
                <w:color w:val="auto"/>
              </w:rPr>
            </w:pPr>
            <w:r>
              <w:rPr>
                <w:rFonts w:ascii="Times New Roman" w:cs="Times New Roman" w:eastAsia="Times New Roman" w:hAnsi="Times New Roman"/>
                <w:sz w:val="18"/>
                <w:szCs w:val="18"/>
                <w:color w:val="auto"/>
              </w:rPr>
              <w:t>and Manufacturing</w:t>
            </w:r>
          </w:p>
        </w:tc>
        <w:tc>
          <w:tcPr>
            <w:tcW w:w="2540" w:type="dxa"/>
            <w:vAlign w:val="bottom"/>
            <w:vMerge w:val="continue"/>
            <w:shd w:val="clear" w:color="auto" w:fill="D9D9D9"/>
          </w:tcPr>
          <w:p>
            <w:pPr>
              <w:spacing w:after="0"/>
              <w:rPr>
                <w:sz w:val="12"/>
                <w:szCs w:val="12"/>
                <w:color w:val="auto"/>
              </w:rPr>
            </w:pPr>
          </w:p>
        </w:tc>
        <w:tc>
          <w:tcPr>
            <w:tcW w:w="1660" w:type="dxa"/>
            <w:vAlign w:val="bottom"/>
            <w:vMerge w:val="continue"/>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740" w:type="dxa"/>
            <w:vAlign w:val="bottom"/>
            <w:vMerge w:val="continue"/>
            <w:shd w:val="clear" w:color="auto" w:fill="D9D9D9"/>
          </w:tcPr>
          <w:p>
            <w:pPr>
              <w:spacing w:after="0"/>
              <w:rPr>
                <w:sz w:val="8"/>
                <w:szCs w:val="8"/>
                <w:color w:val="auto"/>
              </w:rPr>
            </w:pPr>
          </w:p>
        </w:tc>
        <w:tc>
          <w:tcPr>
            <w:tcW w:w="2540" w:type="dxa"/>
            <w:vAlign w:val="bottom"/>
            <w:shd w:val="clear" w:color="auto" w:fill="D9D9D9"/>
          </w:tcPr>
          <w:p>
            <w:pPr>
              <w:spacing w:after="0"/>
              <w:rPr>
                <w:sz w:val="8"/>
                <w:szCs w:val="8"/>
                <w:color w:val="auto"/>
              </w:rPr>
            </w:pPr>
          </w:p>
        </w:tc>
        <w:tc>
          <w:tcPr>
            <w:tcW w:w="1660" w:type="dxa"/>
            <w:vAlign w:val="bottom"/>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7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Senior Vice President, Sales and</w:t>
            </w:r>
          </w:p>
        </w:tc>
        <w:tc>
          <w:tcPr>
            <w:tcW w:w="254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7"/>
              </w:rPr>
              <w:t>2.5</w:t>
            </w:r>
          </w:p>
        </w:tc>
        <w:tc>
          <w:tcPr>
            <w:tcW w:w="166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18,600</w:t>
            </w:r>
          </w:p>
        </w:tc>
        <w:tc>
          <w:tcPr>
            <w:tcW w:w="0" w:type="dxa"/>
            <w:vAlign w:val="bottom"/>
          </w:tcPr>
          <w:p>
            <w:pPr>
              <w:spacing w:after="0"/>
              <w:rPr>
                <w:sz w:val="1"/>
                <w:szCs w:val="1"/>
                <w:color w:val="auto"/>
              </w:rPr>
            </w:pPr>
          </w:p>
        </w:tc>
      </w:tr>
      <w:tr>
        <w:trPr>
          <w:trHeight w:val="149"/>
        </w:trPr>
        <w:tc>
          <w:tcPr>
            <w:tcW w:w="2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Marketing</w:t>
            </w:r>
          </w:p>
        </w:tc>
        <w:tc>
          <w:tcPr>
            <w:tcW w:w="2540" w:type="dxa"/>
            <w:vAlign w:val="bottom"/>
            <w:vMerge w:val="continue"/>
          </w:tcPr>
          <w:p>
            <w:pPr>
              <w:spacing w:after="0"/>
              <w:rPr>
                <w:sz w:val="12"/>
                <w:szCs w:val="12"/>
                <w:color w:val="auto"/>
              </w:rPr>
            </w:pPr>
          </w:p>
        </w:tc>
        <w:tc>
          <w:tcPr>
            <w:tcW w:w="1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740" w:type="dxa"/>
            <w:vAlign w:val="bottom"/>
            <w:vMerge w:val="continue"/>
          </w:tcPr>
          <w:p>
            <w:pPr>
              <w:spacing w:after="0"/>
              <w:rPr>
                <w:sz w:val="7"/>
                <w:szCs w:val="7"/>
                <w:color w:val="auto"/>
              </w:rPr>
            </w:pPr>
          </w:p>
        </w:tc>
        <w:tc>
          <w:tcPr>
            <w:tcW w:w="2540" w:type="dxa"/>
            <w:vAlign w:val="bottom"/>
          </w:tcPr>
          <w:p>
            <w:pPr>
              <w:spacing w:after="0"/>
              <w:rPr>
                <w:sz w:val="7"/>
                <w:szCs w:val="7"/>
                <w:color w:val="auto"/>
              </w:rPr>
            </w:pPr>
          </w:p>
        </w:tc>
        <w:tc>
          <w:tcPr>
            <w:tcW w:w="1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2740" w:type="dxa"/>
            <w:vAlign w:val="bottom"/>
            <w:shd w:val="clear" w:color="auto" w:fill="D9D9D9"/>
          </w:tcPr>
          <w:p>
            <w:pPr>
              <w:ind w:left="20"/>
              <w:spacing w:after="0" w:line="180" w:lineRule="exact"/>
              <w:rPr>
                <w:sz w:val="20"/>
                <w:szCs w:val="20"/>
                <w:color w:val="auto"/>
              </w:rPr>
            </w:pPr>
            <w:r>
              <w:rPr>
                <w:rFonts w:ascii="Times New Roman" w:cs="Times New Roman" w:eastAsia="Times New Roman" w:hAnsi="Times New Roman"/>
                <w:sz w:val="18"/>
                <w:szCs w:val="18"/>
                <w:color w:val="auto"/>
              </w:rPr>
              <w:t>Senior Vice President and General</w:t>
            </w:r>
          </w:p>
        </w:tc>
        <w:tc>
          <w:tcPr>
            <w:tcW w:w="2540" w:type="dxa"/>
            <w:vAlign w:val="bottom"/>
            <w:vMerge w:val="restart"/>
            <w:shd w:val="clear" w:color="auto" w:fill="D9D9D9"/>
          </w:tcPr>
          <w:p>
            <w:pPr>
              <w:jc w:val="center"/>
              <w:ind w:right="190"/>
              <w:spacing w:after="0"/>
              <w:rPr>
                <w:sz w:val="20"/>
                <w:szCs w:val="20"/>
                <w:color w:val="auto"/>
              </w:rPr>
            </w:pPr>
            <w:r>
              <w:rPr>
                <w:rFonts w:ascii="Times New Roman" w:cs="Times New Roman" w:eastAsia="Times New Roman" w:hAnsi="Times New Roman"/>
                <w:sz w:val="18"/>
                <w:szCs w:val="18"/>
                <w:color w:val="auto"/>
                <w:w w:val="97"/>
              </w:rPr>
              <w:t>2.5</w:t>
            </w:r>
          </w:p>
        </w:tc>
        <w:tc>
          <w:tcPr>
            <w:tcW w:w="1660" w:type="dxa"/>
            <w:vAlign w:val="bottom"/>
            <w:vMerge w:val="restart"/>
            <w:shd w:val="clear" w:color="auto" w:fill="D9D9D9"/>
          </w:tcPr>
          <w:p>
            <w:pPr>
              <w:ind w:left="500"/>
              <w:spacing w:after="0"/>
              <w:rPr>
                <w:sz w:val="20"/>
                <w:szCs w:val="20"/>
                <w:color w:val="auto"/>
              </w:rPr>
            </w:pPr>
            <w:r>
              <w:rPr>
                <w:rFonts w:ascii="Times New Roman" w:cs="Times New Roman" w:eastAsia="Times New Roman" w:hAnsi="Times New Roman"/>
                <w:sz w:val="18"/>
                <w:szCs w:val="18"/>
                <w:color w:val="auto"/>
              </w:rPr>
              <w:t>18,600</w:t>
            </w:r>
          </w:p>
        </w:tc>
        <w:tc>
          <w:tcPr>
            <w:tcW w:w="0" w:type="dxa"/>
            <w:vAlign w:val="bottom"/>
          </w:tcPr>
          <w:p>
            <w:pPr>
              <w:spacing w:after="0"/>
              <w:rPr>
                <w:sz w:val="1"/>
                <w:szCs w:val="1"/>
                <w:color w:val="auto"/>
              </w:rPr>
            </w:pPr>
          </w:p>
        </w:tc>
      </w:tr>
      <w:tr>
        <w:trPr>
          <w:trHeight w:val="148"/>
        </w:trPr>
        <w:tc>
          <w:tcPr>
            <w:tcW w:w="2740" w:type="dxa"/>
            <w:vAlign w:val="bottom"/>
            <w:vMerge w:val="restart"/>
            <w:shd w:val="clear" w:color="auto" w:fill="D9D9D9"/>
          </w:tcPr>
          <w:p>
            <w:pPr>
              <w:ind w:left="20"/>
              <w:spacing w:after="0"/>
              <w:rPr>
                <w:sz w:val="20"/>
                <w:szCs w:val="20"/>
                <w:color w:val="auto"/>
              </w:rPr>
            </w:pPr>
            <w:r>
              <w:rPr>
                <w:rFonts w:ascii="Times New Roman" w:cs="Times New Roman" w:eastAsia="Times New Roman" w:hAnsi="Times New Roman"/>
                <w:sz w:val="18"/>
                <w:szCs w:val="18"/>
                <w:color w:val="auto"/>
              </w:rPr>
              <w:t>Counsel</w:t>
            </w:r>
          </w:p>
        </w:tc>
        <w:tc>
          <w:tcPr>
            <w:tcW w:w="2540" w:type="dxa"/>
            <w:vAlign w:val="bottom"/>
            <w:vMerge w:val="continue"/>
            <w:shd w:val="clear" w:color="auto" w:fill="D9D9D9"/>
          </w:tcPr>
          <w:p>
            <w:pPr>
              <w:spacing w:after="0"/>
              <w:rPr>
                <w:sz w:val="12"/>
                <w:szCs w:val="12"/>
                <w:color w:val="auto"/>
              </w:rPr>
            </w:pPr>
          </w:p>
        </w:tc>
        <w:tc>
          <w:tcPr>
            <w:tcW w:w="1660" w:type="dxa"/>
            <w:vAlign w:val="bottom"/>
            <w:vMerge w:val="continue"/>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740" w:type="dxa"/>
            <w:vAlign w:val="bottom"/>
            <w:vMerge w:val="continue"/>
            <w:shd w:val="clear" w:color="auto" w:fill="D9D9D9"/>
          </w:tcPr>
          <w:p>
            <w:pPr>
              <w:spacing w:after="0"/>
              <w:rPr>
                <w:sz w:val="8"/>
                <w:szCs w:val="8"/>
                <w:color w:val="auto"/>
              </w:rPr>
            </w:pPr>
          </w:p>
        </w:tc>
        <w:tc>
          <w:tcPr>
            <w:tcW w:w="2540" w:type="dxa"/>
            <w:vAlign w:val="bottom"/>
            <w:shd w:val="clear" w:color="auto" w:fill="D9D9D9"/>
          </w:tcPr>
          <w:p>
            <w:pPr>
              <w:spacing w:after="0"/>
              <w:rPr>
                <w:sz w:val="8"/>
                <w:szCs w:val="8"/>
                <w:color w:val="auto"/>
              </w:rPr>
            </w:pPr>
          </w:p>
        </w:tc>
        <w:tc>
          <w:tcPr>
            <w:tcW w:w="1660" w:type="dxa"/>
            <w:vAlign w:val="bottom"/>
            <w:shd w:val="clear" w:color="auto" w:fill="D9D9D9"/>
          </w:tcPr>
          <w:p>
            <w:pPr>
              <w:spacing w:after="0"/>
              <w:rPr>
                <w:sz w:val="8"/>
                <w:szCs w:val="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50" w:lineRule="exact"/>
        <w:rPr>
          <w:sz w:val="20"/>
          <w:szCs w:val="20"/>
          <w:color w:val="auto"/>
        </w:rPr>
      </w:pPr>
    </w:p>
    <w:p>
      <w:pPr>
        <w:jc w:val="both"/>
        <w:ind w:left="260" w:hanging="252"/>
        <w:spacing w:after="0" w:line="305" w:lineRule="auto"/>
        <w:tabs>
          <w:tab w:leader="none" w:pos="27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executive officer stock ownership guidelines, the fair market value of the Company’s common stock is the average closing price per share of the Company’s common stock as reported on the Nasdaq Global Select Market (or if the common stock is not then traded on such market, such other market on which the common stock is traded) for the twelve (12) month period ending with the determination date.</w:t>
      </w:r>
    </w:p>
    <w:p>
      <w:pPr>
        <w:spacing w:after="0" w:line="1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Recoupment Policies</w:t>
      </w:r>
    </w:p>
    <w:p>
      <w:pPr>
        <w:spacing w:after="0" w:line="270" w:lineRule="exact"/>
        <w:rPr>
          <w:sz w:val="20"/>
          <w:szCs w:val="20"/>
          <w:color w:val="auto"/>
        </w:rPr>
      </w:pPr>
    </w:p>
    <w:p>
      <w:pPr>
        <w:jc w:val="both"/>
        <w:ind w:firstLine="389"/>
        <w:spacing w:after="0" w:line="297" w:lineRule="auto"/>
        <w:rPr>
          <w:sz w:val="20"/>
          <w:szCs w:val="20"/>
          <w:color w:val="auto"/>
        </w:rPr>
      </w:pPr>
      <w:r>
        <w:rPr>
          <w:rFonts w:ascii="Times New Roman" w:cs="Times New Roman" w:eastAsia="Times New Roman" w:hAnsi="Times New Roman"/>
          <w:sz w:val="18"/>
          <w:szCs w:val="18"/>
          <w:color w:val="auto"/>
        </w:rPr>
        <w:t>In March 2022, the Company adopted an executive compensation recoupment policy (the “2022 Policy”) that applies to both cash and equity incentive compensation for executive officers. Under the 2022 Policy, if we are required to prepare an accounting restatement for one or more periods due to the material noncompliance of the Company with any financial reporting requirement under the U.S. federal securities laws, the Board or a committee of independent directors authorized by the Board will investigate the circumstances to determine whether an act or omission of a current or former executive officer, involving fraud or intentional misconduct, contributed to the circumstances resulting in the restatement. Following the investigation, we may require repayment of certain incentive-based compensation received by the executive officer in the three-year period preceding restatement.</w:t>
      </w:r>
    </w:p>
    <w:p>
      <w:pPr>
        <w:spacing w:after="0" w:line="2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 November 2023, the Company adopted a new executive compensation recovery policy (the “2023 Policy”) for purposes of complying with Section</w:t>
      </w:r>
    </w:p>
    <w:p>
      <w:pPr>
        <w:spacing w:after="0" w:line="5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10D of the Exchange Act and Nasdaq listing standards. The 2023 Policy provides that, in the event the Company is required to prepare an accounting restatement on or after October 2, 2023 (the “Effective Date”) due to the material noncompliance of the Company with any financial reporting requirement under the U.S. federal securities laws, the Company will act to recover the amount of incentive-based compensation received on or after the Effective Date, by its current and former Section 16 officers, as applicable, in excess of the amount of incentive-based compensation that would have been received had it been determined based on the restated amount, subject to limited exceptions. In the event that an accounting restatement is not covered by the 2023 Policy but is covered by the 2022 Policy, the 2022 Policy will apply. In the event that an accounting restatement could be covered by both the 2022 Policy and 2023 Policy, only the 2023 Policy will apply.</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Prohibition on Hedging and Certain Other Transactions</w:t>
      </w:r>
    </w:p>
    <w:p>
      <w:pPr>
        <w:spacing w:after="0" w:line="270" w:lineRule="exact"/>
        <w:rPr>
          <w:sz w:val="20"/>
          <w:szCs w:val="20"/>
          <w:color w:val="auto"/>
        </w:rPr>
      </w:pPr>
    </w:p>
    <w:p>
      <w:pPr>
        <w:jc w:val="both"/>
        <w:ind w:right="20" w:firstLine="389"/>
        <w:spacing w:after="0" w:line="313" w:lineRule="auto"/>
        <w:rPr>
          <w:sz w:val="20"/>
          <w:szCs w:val="20"/>
          <w:color w:val="auto"/>
        </w:rPr>
      </w:pPr>
      <w:r>
        <w:rPr>
          <w:rFonts w:ascii="Times New Roman" w:cs="Times New Roman" w:eastAsia="Times New Roman" w:hAnsi="Times New Roman"/>
          <w:sz w:val="18"/>
          <w:szCs w:val="18"/>
          <w:color w:val="auto"/>
        </w:rPr>
        <w:t>We prohibit our directors, officers, and employees (or any of their designees) from directly or indirectly engaging in the following transactions with respect to securities of the Company:</w:t>
      </w:r>
    </w:p>
    <w:p>
      <w:pPr>
        <w:spacing w:after="0" w:line="68"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short, including short sales “against the box”;</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buying or selling put or call options; or</w:t>
      </w:r>
    </w:p>
    <w:p>
      <w:pPr>
        <w:spacing w:after="0" w:line="184" w:lineRule="exact"/>
        <w:rPr>
          <w:rFonts w:ascii="Times New Roman" w:cs="Times New Roman" w:eastAsia="Times New Roman" w:hAnsi="Times New Roman"/>
          <w:sz w:val="18"/>
          <w:szCs w:val="18"/>
          <w:color w:val="auto"/>
        </w:rPr>
      </w:pPr>
    </w:p>
    <w:p>
      <w:pPr>
        <w:ind w:left="660" w:hanging="328"/>
        <w:spacing w:after="0" w:line="329"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purchasing financial instruments (including prepaid variable forward contracts, equity swaps, collars, and exchange funds), or otherwise engaging in transactions, that hedge or offset, or are designed to hedge or</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2" w:name="page23"/>
    <w:bookmarkEnd w:id="22"/>
    <w:p>
      <w:pPr>
        <w:ind w:left="660"/>
        <w:spacing w:after="0" w:line="313" w:lineRule="auto"/>
        <w:rPr>
          <w:sz w:val="20"/>
          <w:szCs w:val="20"/>
          <w:color w:val="auto"/>
        </w:rPr>
      </w:pPr>
      <w:r>
        <w:rPr>
          <w:rFonts w:ascii="Times New Roman" w:cs="Times New Roman" w:eastAsia="Times New Roman" w:hAnsi="Times New Roman"/>
          <w:sz w:val="18"/>
          <w:szCs w:val="18"/>
          <w:color w:val="auto"/>
        </w:rPr>
        <w:t>offset, any decrease in the market value of securities of the Company, whether through the use of traded securities, privately negotiated derivative securities, or synthetic financial instruments.</w:t>
      </w:r>
    </w:p>
    <w:p>
      <w:pPr>
        <w:spacing w:after="0" w:line="203" w:lineRule="exact"/>
        <w:rPr>
          <w:sz w:val="20"/>
          <w:szCs w:val="20"/>
          <w:color w:val="auto"/>
        </w:rPr>
      </w:pPr>
    </w:p>
    <w:p>
      <w:pPr>
        <w:jc w:val="both"/>
        <w:ind w:firstLine="389"/>
        <w:spacing w:after="0" w:line="313" w:lineRule="auto"/>
        <w:rPr>
          <w:sz w:val="20"/>
          <w:szCs w:val="20"/>
          <w:color w:val="auto"/>
        </w:rPr>
      </w:pPr>
      <w:r>
        <w:rPr>
          <w:rFonts w:ascii="Times New Roman" w:cs="Times New Roman" w:eastAsia="Times New Roman" w:hAnsi="Times New Roman"/>
          <w:sz w:val="18"/>
          <w:szCs w:val="18"/>
          <w:color w:val="auto"/>
        </w:rPr>
        <w:t>In addition, we prohibit our directors, officers, and employees from purchasing Company securities on margin, borrowing against Company securities held in a margin account, or pledging Company securities as collateral for a loan.</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Internal Revenue Code Section 162(m)</w:t>
      </w:r>
    </w:p>
    <w:p>
      <w:pPr>
        <w:spacing w:after="0" w:line="256" w:lineRule="exact"/>
        <w:rPr>
          <w:sz w:val="20"/>
          <w:szCs w:val="20"/>
          <w:color w:val="auto"/>
        </w:rPr>
      </w:pPr>
    </w:p>
    <w:p>
      <w:pPr>
        <w:jc w:val="both"/>
        <w:ind w:firstLine="389"/>
        <w:spacing w:after="0" w:line="302" w:lineRule="auto"/>
        <w:rPr>
          <w:sz w:val="20"/>
          <w:szCs w:val="20"/>
          <w:color w:val="auto"/>
        </w:rPr>
      </w:pPr>
      <w:r>
        <w:rPr>
          <w:rFonts w:ascii="Times New Roman" w:cs="Times New Roman" w:eastAsia="Times New Roman" w:hAnsi="Times New Roman"/>
          <w:sz w:val="18"/>
          <w:szCs w:val="18"/>
          <w:color w:val="auto"/>
        </w:rPr>
        <w:t>For fiscal year 2024, the Company will be unable to deduct compensation in excess of $1 million paid to certain executive officers, as specified under Section 162(m) of the Internal Revenue Code (“IRC”). The Compensation Committee uses its judgment to authorize compensation payments that may be subject to the limit when the Compensation Committee believes such payments are appropriate and in the best interests of the Company and its stockholders.</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Policies and Practices Related to the Grant of Certain Equity Awards Close in Time to the Release of Material Nonpublic Information</w:t>
      </w:r>
    </w:p>
    <w:p>
      <w:pPr>
        <w:spacing w:after="0" w:line="270" w:lineRule="exact"/>
        <w:rPr>
          <w:sz w:val="20"/>
          <w:szCs w:val="20"/>
          <w:color w:val="auto"/>
        </w:rPr>
      </w:pPr>
    </w:p>
    <w:p>
      <w:pPr>
        <w:jc w:val="both"/>
        <w:ind w:firstLine="389"/>
        <w:spacing w:after="0" w:line="313" w:lineRule="auto"/>
        <w:rPr>
          <w:sz w:val="20"/>
          <w:szCs w:val="20"/>
          <w:color w:val="auto"/>
        </w:rPr>
      </w:pPr>
      <w:r>
        <w:rPr>
          <w:rFonts w:ascii="Times New Roman" w:cs="Times New Roman" w:eastAsia="Times New Roman" w:hAnsi="Times New Roman"/>
          <w:sz w:val="18"/>
          <w:szCs w:val="18"/>
          <w:color w:val="auto"/>
        </w:rPr>
        <w:t>It is the Company’s practice to make stock-based compensation awards to executive officers in November of each year at a prescheduled Compensation Committee meeting, which may be close in time before or after the Company publicly announces financial results for the prior completed</w:t>
      </w:r>
    </w:p>
    <w:p>
      <w:pPr>
        <w:jc w:val="both"/>
        <w:spacing w:after="0" w:line="313" w:lineRule="auto"/>
        <w:rPr>
          <w:sz w:val="20"/>
          <w:szCs w:val="20"/>
          <w:color w:val="auto"/>
        </w:rPr>
      </w:pPr>
      <w:r>
        <w:rPr>
          <w:rFonts w:ascii="Times New Roman" w:cs="Times New Roman" w:eastAsia="Times New Roman" w:hAnsi="Times New Roman"/>
          <w:sz w:val="18"/>
          <w:szCs w:val="18"/>
          <w:color w:val="auto"/>
        </w:rPr>
        <w:t>quarter or fiscal year or when the Company publicly provides an outlook for a future quarter or time period. During fiscal year 2024, the Company did not time the disclosure of material non-public information for the purpose of affecting the value of executive compensation, nor did it grant any stock options to any of its executive officers.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2"/>
          <w:szCs w:val="22"/>
          <w:b w:val="1"/>
          <w:bCs w:val="1"/>
          <w:color w:val="auto"/>
        </w:rPr>
        <w:t>Compensation Tables for Named Executive Officers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Summary Compensation Table</w:t>
      </w:r>
    </w:p>
    <w:p>
      <w:pPr>
        <w:spacing w:after="0" w:line="256" w:lineRule="exact"/>
        <w:rPr>
          <w:sz w:val="20"/>
          <w:szCs w:val="20"/>
          <w:color w:val="auto"/>
        </w:rPr>
      </w:pPr>
    </w:p>
    <w:p>
      <w:pPr>
        <w:ind w:firstLine="389"/>
        <w:spacing w:after="0" w:line="329" w:lineRule="auto"/>
        <w:rPr>
          <w:sz w:val="20"/>
          <w:szCs w:val="20"/>
          <w:color w:val="auto"/>
        </w:rPr>
      </w:pPr>
      <w:r>
        <w:rPr>
          <w:rFonts w:ascii="Times New Roman" w:cs="Times New Roman" w:eastAsia="Times New Roman" w:hAnsi="Times New Roman"/>
          <w:sz w:val="18"/>
          <w:szCs w:val="18"/>
          <w:color w:val="auto"/>
        </w:rPr>
        <w:t>The following table summarizes compensation earned by, or awarded or paid to, our Named Executive Officers for fiscal year 2024, fiscal year 2023, and fiscal year 2022.</w:t>
      </w:r>
    </w:p>
    <w:p>
      <w:pPr>
        <w:spacing w:after="0" w:line="237"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60" w:type="dxa"/>
            <w:vAlign w:val="bottom"/>
            <w:vMerge w:val="restart"/>
          </w:tcPr>
          <w:p>
            <w:pPr>
              <w:jc w:val="center"/>
              <w:ind w:right="273"/>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6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600" w:type="dxa"/>
            <w:vAlign w:val="bottom"/>
            <w:vMerge w:val="restart"/>
          </w:tcPr>
          <w:p>
            <w:pPr>
              <w:jc w:val="center"/>
              <w:ind w:right="313"/>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60" w:type="dxa"/>
            <w:vAlign w:val="bottom"/>
            <w:vMerge w:val="restart"/>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260" w:type="dxa"/>
            <w:vAlign w:val="bottom"/>
            <w:vMerge w:val="continue"/>
          </w:tcPr>
          <w:p>
            <w:pPr>
              <w:spacing w:after="0"/>
              <w:rPr>
                <w:sz w:val="12"/>
                <w:szCs w:val="12"/>
                <w:color w:val="auto"/>
              </w:rPr>
            </w:pPr>
          </w:p>
        </w:tc>
        <w:tc>
          <w:tcPr>
            <w:tcW w:w="1460" w:type="dxa"/>
            <w:vAlign w:val="bottom"/>
          </w:tcPr>
          <w:p>
            <w:pPr>
              <w:jc w:val="center"/>
              <w:ind w:right="174"/>
              <w:spacing w:after="0" w:line="146"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600" w:type="dxa"/>
            <w:vAlign w:val="bottom"/>
            <w:vMerge w:val="continue"/>
          </w:tcPr>
          <w:p>
            <w:pPr>
              <w:spacing w:after="0"/>
              <w:rPr>
                <w:sz w:val="12"/>
                <w:szCs w:val="12"/>
                <w:color w:val="auto"/>
              </w:rPr>
            </w:pPr>
          </w:p>
        </w:tc>
        <w:tc>
          <w:tcPr>
            <w:tcW w:w="116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1260" w:type="dxa"/>
            <w:vAlign w:val="bottom"/>
          </w:tcPr>
          <w:p>
            <w:pPr>
              <w:jc w:val="center"/>
              <w:ind w:right="253"/>
              <w:spacing w:after="0" w:line="135" w:lineRule="exact"/>
              <w:rPr>
                <w:sz w:val="20"/>
                <w:szCs w:val="20"/>
                <w:color w:val="auto"/>
              </w:rPr>
            </w:pPr>
            <w:r>
              <w:rPr>
                <w:rFonts w:ascii="Times New Roman" w:cs="Times New Roman" w:eastAsia="Times New Roman" w:hAnsi="Times New Roman"/>
                <w:sz w:val="14"/>
                <w:szCs w:val="14"/>
                <w:b w:val="1"/>
                <w:bCs w:val="1"/>
                <w:color w:val="auto"/>
              </w:rPr>
              <w:t>Awards</w:t>
            </w:r>
          </w:p>
        </w:tc>
        <w:tc>
          <w:tcPr>
            <w:tcW w:w="1460" w:type="dxa"/>
            <w:vAlign w:val="bottom"/>
          </w:tcPr>
          <w:p>
            <w:pPr>
              <w:jc w:val="center"/>
              <w:ind w:right="174"/>
              <w:spacing w:after="0" w:line="135"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600" w:type="dxa"/>
            <w:vAlign w:val="bottom"/>
          </w:tcPr>
          <w:p>
            <w:pPr>
              <w:jc w:val="center"/>
              <w:ind w:right="313"/>
              <w:spacing w:after="0" w:line="135"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3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160" w:type="dxa"/>
            <w:vAlign w:val="bottom"/>
          </w:tcPr>
          <w:p>
            <w:pPr>
              <w:jc w:val="center"/>
              <w:ind w:left="191"/>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26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Pr>
          <w:p>
            <w:pPr>
              <w:jc w:val="center"/>
              <w:ind w:right="273"/>
              <w:spacing w:after="0"/>
              <w:rPr>
                <w:sz w:val="20"/>
                <w:szCs w:val="20"/>
                <w:color w:val="auto"/>
              </w:rPr>
            </w:pPr>
            <w:r>
              <w:rPr>
                <w:rFonts w:ascii="Times New Roman" w:cs="Times New Roman" w:eastAsia="Times New Roman" w:hAnsi="Times New Roman"/>
                <w:sz w:val="14"/>
                <w:szCs w:val="14"/>
                <w:b w:val="1"/>
                <w:bCs w:val="1"/>
                <w:color w:val="auto"/>
              </w:rPr>
              <w:t>($)(1)</w:t>
            </w:r>
          </w:p>
        </w:tc>
        <w:tc>
          <w:tcPr>
            <w:tcW w:w="146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1600" w:type="dxa"/>
            <w:vAlign w:val="bottom"/>
          </w:tcPr>
          <w:p>
            <w:pPr>
              <w:jc w:val="center"/>
              <w:ind w:right="313"/>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11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3"/>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Liam K. Griffin</w:t>
            </w:r>
          </w:p>
        </w:tc>
        <w:tc>
          <w:tcPr>
            <w:tcW w:w="116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w w:val="99"/>
              </w:rPr>
              <w:t>2024</w:t>
            </w:r>
          </w:p>
        </w:tc>
        <w:tc>
          <w:tcPr>
            <w:tcW w:w="12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1,175,002</w:t>
            </w:r>
          </w:p>
        </w:tc>
        <w:tc>
          <w:tcPr>
            <w:tcW w:w="12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15,523,244</w:t>
            </w:r>
          </w:p>
        </w:tc>
        <w:tc>
          <w:tcPr>
            <w:tcW w:w="14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1,370,289</w:t>
            </w:r>
          </w:p>
        </w:tc>
        <w:tc>
          <w:tcPr>
            <w:tcW w:w="16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27,992</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18,096,527</w:t>
            </w:r>
          </w:p>
        </w:tc>
        <w:tc>
          <w:tcPr>
            <w:tcW w:w="0" w:type="dxa"/>
            <w:vAlign w:val="bottom"/>
          </w:tcPr>
          <w:p>
            <w:pPr>
              <w:spacing w:after="0"/>
              <w:rPr>
                <w:sz w:val="1"/>
                <w:szCs w:val="1"/>
                <w:color w:val="auto"/>
              </w:rPr>
            </w:pPr>
          </w:p>
        </w:tc>
      </w:tr>
      <w:tr>
        <w:trPr>
          <w:trHeight w:val="229"/>
        </w:trPr>
        <w:tc>
          <w:tcPr>
            <w:tcW w:w="3200" w:type="dxa"/>
            <w:vAlign w:val="bottom"/>
            <w:shd w:val="clear" w:color="auto" w:fill="DBDBDB"/>
          </w:tcPr>
          <w:p>
            <w:pPr>
              <w:ind w:left="120"/>
              <w:spacing w:after="0"/>
              <w:rPr>
                <w:sz w:val="20"/>
                <w:szCs w:val="20"/>
                <w:color w:val="auto"/>
              </w:rPr>
            </w:pPr>
            <w:r>
              <w:rPr>
                <w:rFonts w:ascii="Times New Roman" w:cs="Times New Roman" w:eastAsia="Times New Roman" w:hAnsi="Times New Roman"/>
                <w:sz w:val="18"/>
                <w:szCs w:val="18"/>
                <w:color w:val="auto"/>
              </w:rPr>
              <w:t>Chairman, Chief Executive Officer</w:t>
            </w:r>
          </w:p>
        </w:tc>
        <w:tc>
          <w:tcPr>
            <w:tcW w:w="1160" w:type="dxa"/>
            <w:vAlign w:val="bottom"/>
            <w:shd w:val="clear" w:color="auto" w:fill="DBDBDB"/>
          </w:tcPr>
          <w:p>
            <w:pPr>
              <w:jc w:val="center"/>
              <w:ind w:left="191"/>
              <w:spacing w:after="0"/>
              <w:rPr>
                <w:sz w:val="20"/>
                <w:szCs w:val="20"/>
                <w:color w:val="auto"/>
              </w:rPr>
            </w:pPr>
            <w:r>
              <w:rPr>
                <w:rFonts w:ascii="Times New Roman" w:cs="Times New Roman" w:eastAsia="Times New Roman" w:hAnsi="Times New Roman"/>
                <w:sz w:val="18"/>
                <w:szCs w:val="18"/>
                <w:color w:val="auto"/>
                <w:w w:val="99"/>
              </w:rPr>
              <w:t>2023</w:t>
            </w:r>
          </w:p>
        </w:tc>
        <w:tc>
          <w:tcPr>
            <w:tcW w:w="1260" w:type="dxa"/>
            <w:vAlign w:val="bottom"/>
            <w:shd w:val="clear" w:color="auto" w:fill="DBDBDB"/>
          </w:tcPr>
          <w:p>
            <w:pPr>
              <w:jc w:val="right"/>
              <w:ind w:right="152"/>
              <w:spacing w:after="0"/>
              <w:rPr>
                <w:sz w:val="20"/>
                <w:szCs w:val="20"/>
                <w:color w:val="auto"/>
              </w:rPr>
            </w:pPr>
            <w:r>
              <w:rPr>
                <w:rFonts w:ascii="Times New Roman" w:cs="Times New Roman" w:eastAsia="Times New Roman" w:hAnsi="Times New Roman"/>
                <w:sz w:val="18"/>
                <w:szCs w:val="18"/>
                <w:color w:val="auto"/>
              </w:rPr>
              <w:t>1,170,502</w:t>
            </w:r>
          </w:p>
        </w:tc>
        <w:tc>
          <w:tcPr>
            <w:tcW w:w="1260" w:type="dxa"/>
            <w:vAlign w:val="bottom"/>
            <w:shd w:val="clear" w:color="auto" w:fill="DBDBDB"/>
          </w:tcPr>
          <w:p>
            <w:pPr>
              <w:jc w:val="right"/>
              <w:ind w:right="53"/>
              <w:spacing w:after="0"/>
              <w:rPr>
                <w:sz w:val="20"/>
                <w:szCs w:val="20"/>
                <w:color w:val="auto"/>
              </w:rPr>
            </w:pPr>
            <w:r>
              <w:rPr>
                <w:rFonts w:ascii="Times New Roman" w:cs="Times New Roman" w:eastAsia="Times New Roman" w:hAnsi="Times New Roman"/>
                <w:sz w:val="18"/>
                <w:szCs w:val="18"/>
                <w:color w:val="auto"/>
              </w:rPr>
              <w:t>14,554,926</w:t>
            </w:r>
          </w:p>
        </w:tc>
        <w:tc>
          <w:tcPr>
            <w:tcW w:w="1460" w:type="dxa"/>
            <w:vAlign w:val="bottom"/>
            <w:shd w:val="clear" w:color="auto" w:fill="DBDBDB"/>
          </w:tcPr>
          <w:p>
            <w:pPr>
              <w:jc w:val="right"/>
              <w:ind w:right="54"/>
              <w:spacing w:after="0"/>
              <w:rPr>
                <w:sz w:val="20"/>
                <w:szCs w:val="20"/>
                <w:color w:val="auto"/>
              </w:rPr>
            </w:pPr>
            <w:r>
              <w:rPr>
                <w:rFonts w:ascii="Times New Roman" w:cs="Times New Roman" w:eastAsia="Times New Roman" w:hAnsi="Times New Roman"/>
                <w:sz w:val="18"/>
                <w:szCs w:val="18"/>
                <w:color w:val="auto"/>
              </w:rPr>
              <w:t>1,509,604</w:t>
            </w:r>
          </w:p>
        </w:tc>
        <w:tc>
          <w:tcPr>
            <w:tcW w:w="1600" w:type="dxa"/>
            <w:vAlign w:val="bottom"/>
            <w:shd w:val="clear" w:color="auto" w:fill="DBDBDB"/>
          </w:tcPr>
          <w:p>
            <w:pPr>
              <w:jc w:val="right"/>
              <w:ind w:right="193"/>
              <w:spacing w:after="0"/>
              <w:rPr>
                <w:sz w:val="20"/>
                <w:szCs w:val="20"/>
                <w:color w:val="auto"/>
              </w:rPr>
            </w:pPr>
            <w:r>
              <w:rPr>
                <w:rFonts w:ascii="Times New Roman" w:cs="Times New Roman" w:eastAsia="Times New Roman" w:hAnsi="Times New Roman"/>
                <w:sz w:val="18"/>
                <w:szCs w:val="18"/>
                <w:color w:val="auto"/>
              </w:rPr>
              <w:t>26,404</w:t>
            </w:r>
          </w:p>
        </w:tc>
        <w:tc>
          <w:tcPr>
            <w:tcW w:w="1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17,261,436</w:t>
            </w:r>
          </w:p>
        </w:tc>
        <w:tc>
          <w:tcPr>
            <w:tcW w:w="0" w:type="dxa"/>
            <w:vAlign w:val="bottom"/>
          </w:tcPr>
          <w:p>
            <w:pPr>
              <w:spacing w:after="0"/>
              <w:rPr>
                <w:sz w:val="1"/>
                <w:szCs w:val="1"/>
                <w:color w:val="auto"/>
              </w:rPr>
            </w:pPr>
          </w:p>
        </w:tc>
      </w:tr>
      <w:tr>
        <w:trPr>
          <w:trHeight w:val="229"/>
        </w:trPr>
        <w:tc>
          <w:tcPr>
            <w:tcW w:w="3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and President</w:t>
            </w:r>
          </w:p>
        </w:tc>
        <w:tc>
          <w:tcPr>
            <w:tcW w:w="116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w w:val="99"/>
              </w:rPr>
              <w:t>2022</w:t>
            </w:r>
          </w:p>
        </w:tc>
        <w:tc>
          <w:tcPr>
            <w:tcW w:w="12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1,124,289</w:t>
            </w:r>
          </w:p>
        </w:tc>
        <w:tc>
          <w:tcPr>
            <w:tcW w:w="12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13,087,793</w:t>
            </w:r>
          </w:p>
        </w:tc>
        <w:tc>
          <w:tcPr>
            <w:tcW w:w="14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2,423,906</w:t>
            </w:r>
          </w:p>
        </w:tc>
        <w:tc>
          <w:tcPr>
            <w:tcW w:w="16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31,174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16,667,162</w:t>
            </w:r>
          </w:p>
        </w:tc>
        <w:tc>
          <w:tcPr>
            <w:tcW w:w="0" w:type="dxa"/>
            <w:vAlign w:val="bottom"/>
          </w:tcPr>
          <w:p>
            <w:pPr>
              <w:spacing w:after="0"/>
              <w:rPr>
                <w:sz w:val="1"/>
                <w:szCs w:val="1"/>
                <w:color w:val="auto"/>
              </w:rPr>
            </w:pPr>
          </w:p>
        </w:tc>
      </w:tr>
      <w:tr>
        <w:trPr>
          <w:trHeight w:val="230"/>
        </w:trPr>
        <w:tc>
          <w:tcPr>
            <w:tcW w:w="3200" w:type="dxa"/>
            <w:vAlign w:val="bottom"/>
            <w:shd w:val="clear" w:color="auto" w:fill="DBDBDB"/>
          </w:tcPr>
          <w:p>
            <w:pPr>
              <w:spacing w:after="0"/>
              <w:rPr>
                <w:sz w:val="20"/>
                <w:szCs w:val="20"/>
                <w:color w:val="auto"/>
              </w:rPr>
            </w:pPr>
            <w:r>
              <w:rPr>
                <w:rFonts w:ascii="Times New Roman" w:cs="Times New Roman" w:eastAsia="Times New Roman" w:hAnsi="Times New Roman"/>
                <w:sz w:val="18"/>
                <w:szCs w:val="18"/>
                <w:color w:val="auto"/>
              </w:rPr>
              <w:t>Kris Sennesael</w:t>
            </w:r>
          </w:p>
        </w:tc>
        <w:tc>
          <w:tcPr>
            <w:tcW w:w="1160" w:type="dxa"/>
            <w:vAlign w:val="bottom"/>
            <w:shd w:val="clear" w:color="auto" w:fill="DBDBDB"/>
          </w:tcPr>
          <w:p>
            <w:pPr>
              <w:jc w:val="center"/>
              <w:ind w:left="191"/>
              <w:spacing w:after="0"/>
              <w:rPr>
                <w:sz w:val="20"/>
                <w:szCs w:val="20"/>
                <w:color w:val="auto"/>
              </w:rPr>
            </w:pPr>
            <w:r>
              <w:rPr>
                <w:rFonts w:ascii="Times New Roman" w:cs="Times New Roman" w:eastAsia="Times New Roman" w:hAnsi="Times New Roman"/>
                <w:sz w:val="18"/>
                <w:szCs w:val="18"/>
                <w:color w:val="auto"/>
                <w:w w:val="99"/>
              </w:rPr>
              <w:t>2024</w:t>
            </w:r>
          </w:p>
        </w:tc>
        <w:tc>
          <w:tcPr>
            <w:tcW w:w="1260" w:type="dxa"/>
            <w:vAlign w:val="bottom"/>
            <w:shd w:val="clear" w:color="auto" w:fill="DBDBDB"/>
          </w:tcPr>
          <w:p>
            <w:pPr>
              <w:jc w:val="right"/>
              <w:ind w:right="152"/>
              <w:spacing w:after="0"/>
              <w:rPr>
                <w:sz w:val="20"/>
                <w:szCs w:val="20"/>
                <w:color w:val="auto"/>
              </w:rPr>
            </w:pPr>
            <w:r>
              <w:rPr>
                <w:rFonts w:ascii="Times New Roman" w:cs="Times New Roman" w:eastAsia="Times New Roman" w:hAnsi="Times New Roman"/>
                <w:sz w:val="18"/>
                <w:szCs w:val="18"/>
                <w:color w:val="auto"/>
              </w:rPr>
              <w:t>627,600</w:t>
            </w:r>
          </w:p>
        </w:tc>
        <w:tc>
          <w:tcPr>
            <w:tcW w:w="1260" w:type="dxa"/>
            <w:vAlign w:val="bottom"/>
            <w:shd w:val="clear" w:color="auto" w:fill="DBDBDB"/>
          </w:tcPr>
          <w:p>
            <w:pPr>
              <w:jc w:val="right"/>
              <w:ind w:right="53"/>
              <w:spacing w:after="0"/>
              <w:rPr>
                <w:sz w:val="20"/>
                <w:szCs w:val="20"/>
                <w:color w:val="auto"/>
              </w:rPr>
            </w:pPr>
            <w:r>
              <w:rPr>
                <w:rFonts w:ascii="Times New Roman" w:cs="Times New Roman" w:eastAsia="Times New Roman" w:hAnsi="Times New Roman"/>
                <w:sz w:val="18"/>
                <w:szCs w:val="18"/>
                <w:color w:val="auto"/>
              </w:rPr>
              <w:t>4,213,415</w:t>
            </w:r>
          </w:p>
        </w:tc>
        <w:tc>
          <w:tcPr>
            <w:tcW w:w="1460" w:type="dxa"/>
            <w:vAlign w:val="bottom"/>
            <w:shd w:val="clear" w:color="auto" w:fill="DBDBDB"/>
          </w:tcPr>
          <w:p>
            <w:pPr>
              <w:jc w:val="right"/>
              <w:ind w:right="54"/>
              <w:spacing w:after="0"/>
              <w:rPr>
                <w:sz w:val="20"/>
                <w:szCs w:val="20"/>
                <w:color w:val="auto"/>
              </w:rPr>
            </w:pPr>
            <w:r>
              <w:rPr>
                <w:rFonts w:ascii="Times New Roman" w:cs="Times New Roman" w:eastAsia="Times New Roman" w:hAnsi="Times New Roman"/>
                <w:sz w:val="18"/>
                <w:szCs w:val="18"/>
                <w:color w:val="auto"/>
              </w:rPr>
              <w:t>459,192</w:t>
            </w:r>
          </w:p>
        </w:tc>
        <w:tc>
          <w:tcPr>
            <w:tcW w:w="1600" w:type="dxa"/>
            <w:vAlign w:val="bottom"/>
            <w:shd w:val="clear" w:color="auto" w:fill="DBDBDB"/>
          </w:tcPr>
          <w:p>
            <w:pPr>
              <w:jc w:val="right"/>
              <w:ind w:right="193"/>
              <w:spacing w:after="0"/>
              <w:rPr>
                <w:sz w:val="20"/>
                <w:szCs w:val="20"/>
                <w:color w:val="auto"/>
              </w:rPr>
            </w:pPr>
            <w:r>
              <w:rPr>
                <w:rFonts w:ascii="Times New Roman" w:cs="Times New Roman" w:eastAsia="Times New Roman" w:hAnsi="Times New Roman"/>
                <w:sz w:val="18"/>
                <w:szCs w:val="18"/>
                <w:color w:val="auto"/>
              </w:rPr>
              <w:t>24,220</w:t>
            </w:r>
          </w:p>
        </w:tc>
        <w:tc>
          <w:tcPr>
            <w:tcW w:w="1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5,324,427</w:t>
            </w:r>
          </w:p>
        </w:tc>
        <w:tc>
          <w:tcPr>
            <w:tcW w:w="0" w:type="dxa"/>
            <w:vAlign w:val="bottom"/>
          </w:tcPr>
          <w:p>
            <w:pPr>
              <w:spacing w:after="0"/>
              <w:rPr>
                <w:sz w:val="1"/>
                <w:szCs w:val="1"/>
                <w:color w:val="auto"/>
              </w:rPr>
            </w:pPr>
          </w:p>
        </w:tc>
      </w:tr>
      <w:tr>
        <w:trPr>
          <w:trHeight w:val="229"/>
        </w:trPr>
        <w:tc>
          <w:tcPr>
            <w:tcW w:w="3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Senior Vice President and</w:t>
            </w:r>
          </w:p>
        </w:tc>
        <w:tc>
          <w:tcPr>
            <w:tcW w:w="116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w w:val="99"/>
              </w:rPr>
              <w:t>2023</w:t>
            </w:r>
          </w:p>
        </w:tc>
        <w:tc>
          <w:tcPr>
            <w:tcW w:w="12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604,200</w:t>
            </w:r>
          </w:p>
        </w:tc>
        <w:tc>
          <w:tcPr>
            <w:tcW w:w="12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4,142,435</w:t>
            </w:r>
          </w:p>
        </w:tc>
        <w:tc>
          <w:tcPr>
            <w:tcW w:w="14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486,606</w:t>
            </w:r>
          </w:p>
        </w:tc>
        <w:tc>
          <w:tcPr>
            <w:tcW w:w="16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20,921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5,254,162</w:t>
            </w:r>
          </w:p>
        </w:tc>
        <w:tc>
          <w:tcPr>
            <w:tcW w:w="0" w:type="dxa"/>
            <w:vAlign w:val="bottom"/>
          </w:tcPr>
          <w:p>
            <w:pPr>
              <w:spacing w:after="0"/>
              <w:rPr>
                <w:sz w:val="1"/>
                <w:szCs w:val="1"/>
                <w:color w:val="auto"/>
              </w:rPr>
            </w:pPr>
          </w:p>
        </w:tc>
      </w:tr>
      <w:tr>
        <w:trPr>
          <w:trHeight w:val="230"/>
        </w:trPr>
        <w:tc>
          <w:tcPr>
            <w:tcW w:w="3200" w:type="dxa"/>
            <w:vAlign w:val="bottom"/>
            <w:shd w:val="clear" w:color="auto" w:fill="DBDBDB"/>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160" w:type="dxa"/>
            <w:vAlign w:val="bottom"/>
            <w:shd w:val="clear" w:color="auto" w:fill="DBDBDB"/>
          </w:tcPr>
          <w:p>
            <w:pPr>
              <w:jc w:val="center"/>
              <w:ind w:left="191"/>
              <w:spacing w:after="0"/>
              <w:rPr>
                <w:sz w:val="20"/>
                <w:szCs w:val="20"/>
                <w:color w:val="auto"/>
              </w:rPr>
            </w:pPr>
            <w:r>
              <w:rPr>
                <w:rFonts w:ascii="Times New Roman" w:cs="Times New Roman" w:eastAsia="Times New Roman" w:hAnsi="Times New Roman"/>
                <w:sz w:val="18"/>
                <w:szCs w:val="18"/>
                <w:color w:val="auto"/>
                <w:w w:val="99"/>
              </w:rPr>
              <w:t>2022</w:t>
            </w:r>
          </w:p>
        </w:tc>
        <w:tc>
          <w:tcPr>
            <w:tcW w:w="1260" w:type="dxa"/>
            <w:vAlign w:val="bottom"/>
            <w:shd w:val="clear" w:color="auto" w:fill="DBDBDB"/>
          </w:tcPr>
          <w:p>
            <w:pPr>
              <w:jc w:val="right"/>
              <w:ind w:right="152"/>
              <w:spacing w:after="0"/>
              <w:rPr>
                <w:sz w:val="20"/>
                <w:szCs w:val="20"/>
                <w:color w:val="auto"/>
              </w:rPr>
            </w:pPr>
            <w:r>
              <w:rPr>
                <w:rFonts w:ascii="Times New Roman" w:cs="Times New Roman" w:eastAsia="Times New Roman" w:hAnsi="Times New Roman"/>
                <w:sz w:val="18"/>
                <w:szCs w:val="18"/>
                <w:color w:val="auto"/>
              </w:rPr>
              <w:t>585,092</w:t>
            </w:r>
          </w:p>
        </w:tc>
        <w:tc>
          <w:tcPr>
            <w:tcW w:w="1260" w:type="dxa"/>
            <w:vAlign w:val="bottom"/>
            <w:shd w:val="clear" w:color="auto" w:fill="DBDBDB"/>
          </w:tcPr>
          <w:p>
            <w:pPr>
              <w:jc w:val="right"/>
              <w:ind w:right="53"/>
              <w:spacing w:after="0"/>
              <w:rPr>
                <w:sz w:val="20"/>
                <w:szCs w:val="20"/>
                <w:color w:val="auto"/>
              </w:rPr>
            </w:pPr>
            <w:r>
              <w:rPr>
                <w:rFonts w:ascii="Times New Roman" w:cs="Times New Roman" w:eastAsia="Times New Roman" w:hAnsi="Times New Roman"/>
                <w:sz w:val="18"/>
                <w:szCs w:val="18"/>
                <w:color w:val="auto"/>
              </w:rPr>
              <w:t>4,131,556</w:t>
            </w:r>
          </w:p>
        </w:tc>
        <w:tc>
          <w:tcPr>
            <w:tcW w:w="1460" w:type="dxa"/>
            <w:vAlign w:val="bottom"/>
            <w:shd w:val="clear" w:color="auto" w:fill="DBDBDB"/>
          </w:tcPr>
          <w:p>
            <w:pPr>
              <w:jc w:val="right"/>
              <w:ind w:right="54"/>
              <w:spacing w:after="0"/>
              <w:rPr>
                <w:sz w:val="20"/>
                <w:szCs w:val="20"/>
                <w:color w:val="auto"/>
              </w:rPr>
            </w:pPr>
            <w:r>
              <w:rPr>
                <w:rFonts w:ascii="Times New Roman" w:cs="Times New Roman" w:eastAsia="Times New Roman" w:hAnsi="Times New Roman"/>
                <w:sz w:val="18"/>
                <w:szCs w:val="18"/>
                <w:color w:val="auto"/>
              </w:rPr>
              <w:t>788,306</w:t>
            </w:r>
          </w:p>
        </w:tc>
        <w:tc>
          <w:tcPr>
            <w:tcW w:w="1600" w:type="dxa"/>
            <w:vAlign w:val="bottom"/>
            <w:shd w:val="clear" w:color="auto" w:fill="DBDBDB"/>
          </w:tcPr>
          <w:p>
            <w:pPr>
              <w:jc w:val="right"/>
              <w:ind w:right="193"/>
              <w:spacing w:after="0"/>
              <w:rPr>
                <w:sz w:val="20"/>
                <w:szCs w:val="20"/>
                <w:color w:val="auto"/>
              </w:rPr>
            </w:pPr>
            <w:r>
              <w:rPr>
                <w:rFonts w:ascii="Times New Roman" w:cs="Times New Roman" w:eastAsia="Times New Roman" w:hAnsi="Times New Roman"/>
                <w:sz w:val="18"/>
                <w:szCs w:val="18"/>
                <w:color w:val="auto"/>
              </w:rPr>
              <w:t>17,384</w:t>
            </w:r>
          </w:p>
        </w:tc>
        <w:tc>
          <w:tcPr>
            <w:tcW w:w="1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5,522,338</w:t>
            </w:r>
          </w:p>
        </w:tc>
        <w:tc>
          <w:tcPr>
            <w:tcW w:w="0" w:type="dxa"/>
            <w:vAlign w:val="bottom"/>
          </w:tcPr>
          <w:p>
            <w:pPr>
              <w:spacing w:after="0"/>
              <w:rPr>
                <w:sz w:val="1"/>
                <w:szCs w:val="1"/>
                <w:color w:val="auto"/>
              </w:rPr>
            </w:pPr>
          </w:p>
        </w:tc>
      </w:tr>
      <w:tr>
        <w:trPr>
          <w:trHeight w:val="229"/>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Reza Kasnavi</w:t>
            </w:r>
          </w:p>
        </w:tc>
        <w:tc>
          <w:tcPr>
            <w:tcW w:w="116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w w:val="99"/>
              </w:rPr>
              <w:t>2024</w:t>
            </w:r>
          </w:p>
        </w:tc>
        <w:tc>
          <w:tcPr>
            <w:tcW w:w="12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597,600</w:t>
            </w:r>
          </w:p>
        </w:tc>
        <w:tc>
          <w:tcPr>
            <w:tcW w:w="12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4,435,150</w:t>
            </w:r>
          </w:p>
        </w:tc>
        <w:tc>
          <w:tcPr>
            <w:tcW w:w="14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349,860</w:t>
            </w:r>
          </w:p>
        </w:tc>
        <w:tc>
          <w:tcPr>
            <w:tcW w:w="16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16,961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5,399,571</w:t>
            </w:r>
          </w:p>
        </w:tc>
        <w:tc>
          <w:tcPr>
            <w:tcW w:w="0" w:type="dxa"/>
            <w:vAlign w:val="bottom"/>
          </w:tcPr>
          <w:p>
            <w:pPr>
              <w:spacing w:after="0"/>
              <w:rPr>
                <w:sz w:val="1"/>
                <w:szCs w:val="1"/>
                <w:color w:val="auto"/>
              </w:rPr>
            </w:pPr>
          </w:p>
        </w:tc>
      </w:tr>
      <w:tr>
        <w:trPr>
          <w:trHeight w:val="229"/>
        </w:trPr>
        <w:tc>
          <w:tcPr>
            <w:tcW w:w="3200" w:type="dxa"/>
            <w:vAlign w:val="bottom"/>
            <w:shd w:val="clear" w:color="auto" w:fill="DBDBDB"/>
          </w:tcPr>
          <w:p>
            <w:pPr>
              <w:ind w:left="120"/>
              <w:spacing w:after="0"/>
              <w:rPr>
                <w:sz w:val="20"/>
                <w:szCs w:val="20"/>
                <w:color w:val="auto"/>
              </w:rPr>
            </w:pPr>
            <w:r>
              <w:rPr>
                <w:rFonts w:ascii="Times New Roman" w:cs="Times New Roman" w:eastAsia="Times New Roman" w:hAnsi="Times New Roman"/>
                <w:sz w:val="18"/>
                <w:szCs w:val="18"/>
                <w:color w:val="auto"/>
              </w:rPr>
              <w:t>Senior Vice President,</w:t>
            </w:r>
          </w:p>
        </w:tc>
        <w:tc>
          <w:tcPr>
            <w:tcW w:w="1160" w:type="dxa"/>
            <w:vAlign w:val="bottom"/>
            <w:shd w:val="clear" w:color="auto" w:fill="DBDBDB"/>
          </w:tcPr>
          <w:p>
            <w:pPr>
              <w:jc w:val="center"/>
              <w:ind w:left="191"/>
              <w:spacing w:after="0"/>
              <w:rPr>
                <w:sz w:val="20"/>
                <w:szCs w:val="20"/>
                <w:color w:val="auto"/>
              </w:rPr>
            </w:pPr>
            <w:r>
              <w:rPr>
                <w:rFonts w:ascii="Times New Roman" w:cs="Times New Roman" w:eastAsia="Times New Roman" w:hAnsi="Times New Roman"/>
                <w:sz w:val="18"/>
                <w:szCs w:val="18"/>
                <w:color w:val="auto"/>
                <w:w w:val="99"/>
              </w:rPr>
              <w:t>2023</w:t>
            </w:r>
          </w:p>
        </w:tc>
        <w:tc>
          <w:tcPr>
            <w:tcW w:w="1260" w:type="dxa"/>
            <w:vAlign w:val="bottom"/>
            <w:shd w:val="clear" w:color="auto" w:fill="DBDBDB"/>
          </w:tcPr>
          <w:p>
            <w:pPr>
              <w:jc w:val="right"/>
              <w:ind w:right="152"/>
              <w:spacing w:after="0"/>
              <w:rPr>
                <w:sz w:val="20"/>
                <w:szCs w:val="20"/>
                <w:color w:val="auto"/>
              </w:rPr>
            </w:pPr>
            <w:r>
              <w:rPr>
                <w:rFonts w:ascii="Times New Roman" w:cs="Times New Roman" w:eastAsia="Times New Roman" w:hAnsi="Times New Roman"/>
                <w:sz w:val="18"/>
                <w:szCs w:val="18"/>
                <w:color w:val="auto"/>
              </w:rPr>
              <w:t>574,100</w:t>
            </w:r>
          </w:p>
        </w:tc>
        <w:tc>
          <w:tcPr>
            <w:tcW w:w="1260" w:type="dxa"/>
            <w:vAlign w:val="bottom"/>
            <w:shd w:val="clear" w:color="auto" w:fill="DBDBDB"/>
          </w:tcPr>
          <w:p>
            <w:pPr>
              <w:jc w:val="right"/>
              <w:ind w:right="53"/>
              <w:spacing w:after="0"/>
              <w:rPr>
                <w:sz w:val="20"/>
                <w:szCs w:val="20"/>
                <w:color w:val="auto"/>
              </w:rPr>
            </w:pPr>
            <w:r>
              <w:rPr>
                <w:rFonts w:ascii="Times New Roman" w:cs="Times New Roman" w:eastAsia="Times New Roman" w:hAnsi="Times New Roman"/>
                <w:sz w:val="18"/>
                <w:szCs w:val="18"/>
                <w:color w:val="auto"/>
              </w:rPr>
              <w:t>4,377,587</w:t>
            </w:r>
          </w:p>
        </w:tc>
        <w:tc>
          <w:tcPr>
            <w:tcW w:w="1460" w:type="dxa"/>
            <w:vAlign w:val="bottom"/>
            <w:shd w:val="clear" w:color="auto" w:fill="DBDBDB"/>
          </w:tcPr>
          <w:p>
            <w:pPr>
              <w:jc w:val="right"/>
              <w:ind w:right="54"/>
              <w:spacing w:after="0"/>
              <w:rPr>
                <w:sz w:val="20"/>
                <w:szCs w:val="20"/>
                <w:color w:val="auto"/>
              </w:rPr>
            </w:pPr>
            <w:r>
              <w:rPr>
                <w:rFonts w:ascii="Times New Roman" w:cs="Times New Roman" w:eastAsia="Times New Roman" w:hAnsi="Times New Roman"/>
                <w:sz w:val="18"/>
                <w:szCs w:val="18"/>
                <w:color w:val="auto"/>
              </w:rPr>
              <w:t>370,013</w:t>
            </w:r>
          </w:p>
        </w:tc>
        <w:tc>
          <w:tcPr>
            <w:tcW w:w="1600" w:type="dxa"/>
            <w:vAlign w:val="bottom"/>
            <w:shd w:val="clear" w:color="auto" w:fill="DBDBDB"/>
          </w:tcPr>
          <w:p>
            <w:pPr>
              <w:jc w:val="right"/>
              <w:ind w:right="193"/>
              <w:spacing w:after="0"/>
              <w:rPr>
                <w:sz w:val="20"/>
                <w:szCs w:val="20"/>
                <w:color w:val="auto"/>
              </w:rPr>
            </w:pPr>
            <w:r>
              <w:rPr>
                <w:rFonts w:ascii="Times New Roman" w:cs="Times New Roman" w:eastAsia="Times New Roman" w:hAnsi="Times New Roman"/>
                <w:sz w:val="18"/>
                <w:szCs w:val="18"/>
                <w:color w:val="auto"/>
              </w:rPr>
              <w:t>35,936</w:t>
            </w:r>
          </w:p>
        </w:tc>
        <w:tc>
          <w:tcPr>
            <w:tcW w:w="1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5,357,636</w:t>
            </w:r>
          </w:p>
        </w:tc>
        <w:tc>
          <w:tcPr>
            <w:tcW w:w="0" w:type="dxa"/>
            <w:vAlign w:val="bottom"/>
          </w:tcPr>
          <w:p>
            <w:pPr>
              <w:spacing w:after="0"/>
              <w:rPr>
                <w:sz w:val="1"/>
                <w:szCs w:val="1"/>
                <w:color w:val="auto"/>
              </w:rPr>
            </w:pPr>
          </w:p>
        </w:tc>
      </w:tr>
      <w:tr>
        <w:trPr>
          <w:trHeight w:val="230"/>
        </w:trPr>
        <w:tc>
          <w:tcPr>
            <w:tcW w:w="3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Technology and Manufacturing</w:t>
            </w:r>
          </w:p>
        </w:tc>
        <w:tc>
          <w:tcPr>
            <w:tcW w:w="116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w w:val="99"/>
              </w:rPr>
              <w:t>2022</w:t>
            </w:r>
          </w:p>
        </w:tc>
        <w:tc>
          <w:tcPr>
            <w:tcW w:w="12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553,677</w:t>
            </w:r>
          </w:p>
        </w:tc>
        <w:tc>
          <w:tcPr>
            <w:tcW w:w="12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4,013,570</w:t>
            </w:r>
          </w:p>
        </w:tc>
        <w:tc>
          <w:tcPr>
            <w:tcW w:w="14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597,396</w:t>
            </w:r>
          </w:p>
        </w:tc>
        <w:tc>
          <w:tcPr>
            <w:tcW w:w="16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33,910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5,198,553</w:t>
            </w:r>
          </w:p>
        </w:tc>
        <w:tc>
          <w:tcPr>
            <w:tcW w:w="0" w:type="dxa"/>
            <w:vAlign w:val="bottom"/>
          </w:tcPr>
          <w:p>
            <w:pPr>
              <w:spacing w:after="0"/>
              <w:rPr>
                <w:sz w:val="1"/>
                <w:szCs w:val="1"/>
                <w:color w:val="auto"/>
              </w:rPr>
            </w:pPr>
          </w:p>
        </w:tc>
      </w:tr>
      <w:tr>
        <w:trPr>
          <w:trHeight w:val="229"/>
        </w:trPr>
        <w:tc>
          <w:tcPr>
            <w:tcW w:w="3200" w:type="dxa"/>
            <w:vAlign w:val="bottom"/>
            <w:shd w:val="clear" w:color="auto" w:fill="DBDBDB"/>
          </w:tcPr>
          <w:p>
            <w:pPr>
              <w:spacing w:after="0"/>
              <w:rPr>
                <w:sz w:val="20"/>
                <w:szCs w:val="20"/>
                <w:color w:val="auto"/>
              </w:rPr>
            </w:pPr>
            <w:r>
              <w:rPr>
                <w:rFonts w:ascii="Times New Roman" w:cs="Times New Roman" w:eastAsia="Times New Roman" w:hAnsi="Times New Roman"/>
                <w:sz w:val="18"/>
                <w:szCs w:val="18"/>
                <w:color w:val="auto"/>
              </w:rPr>
              <w:t>Carlos S. Bori</w:t>
            </w:r>
          </w:p>
        </w:tc>
        <w:tc>
          <w:tcPr>
            <w:tcW w:w="1160" w:type="dxa"/>
            <w:vAlign w:val="bottom"/>
            <w:shd w:val="clear" w:color="auto" w:fill="DBDBDB"/>
          </w:tcPr>
          <w:p>
            <w:pPr>
              <w:jc w:val="center"/>
              <w:ind w:left="191"/>
              <w:spacing w:after="0"/>
              <w:rPr>
                <w:sz w:val="20"/>
                <w:szCs w:val="20"/>
                <w:color w:val="auto"/>
              </w:rPr>
            </w:pPr>
            <w:r>
              <w:rPr>
                <w:rFonts w:ascii="Times New Roman" w:cs="Times New Roman" w:eastAsia="Times New Roman" w:hAnsi="Times New Roman"/>
                <w:sz w:val="18"/>
                <w:szCs w:val="18"/>
                <w:color w:val="auto"/>
                <w:w w:val="99"/>
              </w:rPr>
              <w:t>2024</w:t>
            </w:r>
          </w:p>
        </w:tc>
        <w:tc>
          <w:tcPr>
            <w:tcW w:w="1260" w:type="dxa"/>
            <w:vAlign w:val="bottom"/>
            <w:shd w:val="clear" w:color="auto" w:fill="DBDBDB"/>
          </w:tcPr>
          <w:p>
            <w:pPr>
              <w:jc w:val="right"/>
              <w:ind w:right="152"/>
              <w:spacing w:after="0"/>
              <w:rPr>
                <w:sz w:val="20"/>
                <w:szCs w:val="20"/>
                <w:color w:val="auto"/>
              </w:rPr>
            </w:pPr>
            <w:r>
              <w:rPr>
                <w:rFonts w:ascii="Times New Roman" w:cs="Times New Roman" w:eastAsia="Times New Roman" w:hAnsi="Times New Roman"/>
                <w:sz w:val="18"/>
                <w:szCs w:val="18"/>
                <w:color w:val="auto"/>
              </w:rPr>
              <w:t>594,101</w:t>
            </w:r>
          </w:p>
        </w:tc>
        <w:tc>
          <w:tcPr>
            <w:tcW w:w="1260" w:type="dxa"/>
            <w:vAlign w:val="bottom"/>
            <w:shd w:val="clear" w:color="auto" w:fill="DBDBDB"/>
          </w:tcPr>
          <w:p>
            <w:pPr>
              <w:jc w:val="right"/>
              <w:ind w:right="53"/>
              <w:spacing w:after="0"/>
              <w:rPr>
                <w:sz w:val="20"/>
                <w:szCs w:val="20"/>
                <w:color w:val="auto"/>
              </w:rPr>
            </w:pPr>
            <w:r>
              <w:rPr>
                <w:rFonts w:ascii="Times New Roman" w:cs="Times New Roman" w:eastAsia="Times New Roman" w:hAnsi="Times New Roman"/>
                <w:sz w:val="18"/>
                <w:szCs w:val="18"/>
                <w:color w:val="auto"/>
              </w:rPr>
              <w:t>4,435,150</w:t>
            </w:r>
          </w:p>
        </w:tc>
        <w:tc>
          <w:tcPr>
            <w:tcW w:w="1460" w:type="dxa"/>
            <w:vAlign w:val="bottom"/>
            <w:shd w:val="clear" w:color="auto" w:fill="DBDBDB"/>
          </w:tcPr>
          <w:p>
            <w:pPr>
              <w:jc w:val="right"/>
              <w:ind w:right="54"/>
              <w:spacing w:after="0"/>
              <w:rPr>
                <w:sz w:val="20"/>
                <w:szCs w:val="20"/>
                <w:color w:val="auto"/>
              </w:rPr>
            </w:pPr>
            <w:r>
              <w:rPr>
                <w:rFonts w:ascii="Times New Roman" w:cs="Times New Roman" w:eastAsia="Times New Roman" w:hAnsi="Times New Roman"/>
                <w:sz w:val="18"/>
                <w:szCs w:val="18"/>
                <w:color w:val="auto"/>
              </w:rPr>
              <w:t>349,860</w:t>
            </w:r>
          </w:p>
        </w:tc>
        <w:tc>
          <w:tcPr>
            <w:tcW w:w="1600" w:type="dxa"/>
            <w:vAlign w:val="bottom"/>
            <w:shd w:val="clear" w:color="auto" w:fill="DBDBDB"/>
          </w:tcPr>
          <w:p>
            <w:pPr>
              <w:jc w:val="right"/>
              <w:ind w:right="193"/>
              <w:spacing w:after="0"/>
              <w:rPr>
                <w:sz w:val="20"/>
                <w:szCs w:val="20"/>
                <w:color w:val="auto"/>
              </w:rPr>
            </w:pPr>
            <w:r>
              <w:rPr>
                <w:rFonts w:ascii="Times New Roman" w:cs="Times New Roman" w:eastAsia="Times New Roman" w:hAnsi="Times New Roman"/>
                <w:sz w:val="18"/>
                <w:szCs w:val="18"/>
                <w:color w:val="auto"/>
              </w:rPr>
              <w:t>26,337</w:t>
            </w:r>
          </w:p>
        </w:tc>
        <w:tc>
          <w:tcPr>
            <w:tcW w:w="1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5,405,448</w:t>
            </w:r>
          </w:p>
        </w:tc>
        <w:tc>
          <w:tcPr>
            <w:tcW w:w="0" w:type="dxa"/>
            <w:vAlign w:val="bottom"/>
          </w:tcPr>
          <w:p>
            <w:pPr>
              <w:spacing w:after="0"/>
              <w:rPr>
                <w:sz w:val="1"/>
                <w:szCs w:val="1"/>
                <w:color w:val="auto"/>
              </w:rPr>
            </w:pPr>
          </w:p>
        </w:tc>
      </w:tr>
      <w:tr>
        <w:trPr>
          <w:trHeight w:val="229"/>
        </w:trPr>
        <w:tc>
          <w:tcPr>
            <w:tcW w:w="3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Senior Vice President,</w:t>
            </w:r>
          </w:p>
        </w:tc>
        <w:tc>
          <w:tcPr>
            <w:tcW w:w="116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w w:val="99"/>
              </w:rPr>
              <w:t>2023</w:t>
            </w:r>
          </w:p>
        </w:tc>
        <w:tc>
          <w:tcPr>
            <w:tcW w:w="12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538,900</w:t>
            </w:r>
          </w:p>
        </w:tc>
        <w:tc>
          <w:tcPr>
            <w:tcW w:w="12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4,377,587</w:t>
            </w:r>
          </w:p>
        </w:tc>
        <w:tc>
          <w:tcPr>
            <w:tcW w:w="14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347,530</w:t>
            </w:r>
          </w:p>
        </w:tc>
        <w:tc>
          <w:tcPr>
            <w:tcW w:w="16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26,162</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5,290,179</w:t>
            </w:r>
          </w:p>
        </w:tc>
        <w:tc>
          <w:tcPr>
            <w:tcW w:w="0" w:type="dxa"/>
            <w:vAlign w:val="bottom"/>
          </w:tcPr>
          <w:p>
            <w:pPr>
              <w:spacing w:after="0"/>
              <w:rPr>
                <w:sz w:val="1"/>
                <w:szCs w:val="1"/>
                <w:color w:val="auto"/>
              </w:rPr>
            </w:pPr>
          </w:p>
        </w:tc>
      </w:tr>
      <w:tr>
        <w:trPr>
          <w:trHeight w:val="230"/>
        </w:trPr>
        <w:tc>
          <w:tcPr>
            <w:tcW w:w="3200" w:type="dxa"/>
            <w:vAlign w:val="bottom"/>
            <w:shd w:val="clear" w:color="auto" w:fill="DBDBDB"/>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1160" w:type="dxa"/>
            <w:vAlign w:val="bottom"/>
            <w:shd w:val="clear" w:color="auto" w:fill="DBDBDB"/>
          </w:tcPr>
          <w:p>
            <w:pPr>
              <w:jc w:val="center"/>
              <w:ind w:left="191"/>
              <w:spacing w:after="0"/>
              <w:rPr>
                <w:sz w:val="20"/>
                <w:szCs w:val="20"/>
                <w:color w:val="auto"/>
              </w:rPr>
            </w:pPr>
            <w:r>
              <w:rPr>
                <w:rFonts w:ascii="Times New Roman" w:cs="Times New Roman" w:eastAsia="Times New Roman" w:hAnsi="Times New Roman"/>
                <w:sz w:val="18"/>
                <w:szCs w:val="18"/>
                <w:color w:val="auto"/>
                <w:w w:val="99"/>
              </w:rPr>
              <w:t>2022</w:t>
            </w:r>
          </w:p>
        </w:tc>
        <w:tc>
          <w:tcPr>
            <w:tcW w:w="1260" w:type="dxa"/>
            <w:vAlign w:val="bottom"/>
            <w:shd w:val="clear" w:color="auto" w:fill="DBDBDB"/>
          </w:tcPr>
          <w:p>
            <w:pPr>
              <w:jc w:val="right"/>
              <w:ind w:right="152"/>
              <w:spacing w:after="0"/>
              <w:rPr>
                <w:sz w:val="20"/>
                <w:szCs w:val="20"/>
                <w:color w:val="auto"/>
              </w:rPr>
            </w:pPr>
            <w:r>
              <w:rPr>
                <w:rFonts w:ascii="Times New Roman" w:cs="Times New Roman" w:eastAsia="Times New Roman" w:hAnsi="Times New Roman"/>
                <w:sz w:val="18"/>
                <w:szCs w:val="18"/>
                <w:color w:val="auto"/>
              </w:rPr>
              <w:t>515,327</w:t>
            </w:r>
          </w:p>
        </w:tc>
        <w:tc>
          <w:tcPr>
            <w:tcW w:w="1260" w:type="dxa"/>
            <w:vAlign w:val="bottom"/>
            <w:shd w:val="clear" w:color="auto" w:fill="DBDBDB"/>
          </w:tcPr>
          <w:p>
            <w:pPr>
              <w:jc w:val="right"/>
              <w:ind w:right="53"/>
              <w:spacing w:after="0"/>
              <w:rPr>
                <w:sz w:val="20"/>
                <w:szCs w:val="20"/>
                <w:color w:val="auto"/>
              </w:rPr>
            </w:pPr>
            <w:r>
              <w:rPr>
                <w:rFonts w:ascii="Times New Roman" w:cs="Times New Roman" w:eastAsia="Times New Roman" w:hAnsi="Times New Roman"/>
                <w:sz w:val="18"/>
                <w:szCs w:val="18"/>
                <w:color w:val="auto"/>
              </w:rPr>
              <w:t>4,013,570</w:t>
            </w:r>
          </w:p>
        </w:tc>
        <w:tc>
          <w:tcPr>
            <w:tcW w:w="1460" w:type="dxa"/>
            <w:vAlign w:val="bottom"/>
            <w:shd w:val="clear" w:color="auto" w:fill="DBDBDB"/>
          </w:tcPr>
          <w:p>
            <w:pPr>
              <w:jc w:val="right"/>
              <w:ind w:right="54"/>
              <w:spacing w:after="0"/>
              <w:rPr>
                <w:sz w:val="20"/>
                <w:szCs w:val="20"/>
                <w:color w:val="auto"/>
              </w:rPr>
            </w:pPr>
            <w:r>
              <w:rPr>
                <w:rFonts w:ascii="Times New Roman" w:cs="Times New Roman" w:eastAsia="Times New Roman" w:hAnsi="Times New Roman"/>
                <w:sz w:val="18"/>
                <w:szCs w:val="18"/>
                <w:color w:val="auto"/>
              </w:rPr>
              <w:t>557,713</w:t>
            </w:r>
          </w:p>
        </w:tc>
        <w:tc>
          <w:tcPr>
            <w:tcW w:w="1600" w:type="dxa"/>
            <w:vAlign w:val="bottom"/>
            <w:shd w:val="clear" w:color="auto" w:fill="DBDBDB"/>
          </w:tcPr>
          <w:p>
            <w:pPr>
              <w:jc w:val="right"/>
              <w:ind w:right="193"/>
              <w:spacing w:after="0"/>
              <w:rPr>
                <w:sz w:val="20"/>
                <w:szCs w:val="20"/>
                <w:color w:val="auto"/>
              </w:rPr>
            </w:pPr>
            <w:r>
              <w:rPr>
                <w:rFonts w:ascii="Times New Roman" w:cs="Times New Roman" w:eastAsia="Times New Roman" w:hAnsi="Times New Roman"/>
                <w:sz w:val="18"/>
                <w:szCs w:val="18"/>
                <w:color w:val="auto"/>
              </w:rPr>
              <w:t>15,324</w:t>
            </w:r>
          </w:p>
        </w:tc>
        <w:tc>
          <w:tcPr>
            <w:tcW w:w="1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5,101,934</w:t>
            </w:r>
          </w:p>
        </w:tc>
        <w:tc>
          <w:tcPr>
            <w:tcW w:w="0" w:type="dxa"/>
            <w:vAlign w:val="bottom"/>
          </w:tcPr>
          <w:p>
            <w:pPr>
              <w:spacing w:after="0"/>
              <w:rPr>
                <w:sz w:val="1"/>
                <w:szCs w:val="1"/>
                <w:color w:val="auto"/>
              </w:rPr>
            </w:pPr>
          </w:p>
        </w:tc>
      </w:tr>
      <w:tr>
        <w:trPr>
          <w:trHeight w:val="229"/>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Robert J. Terry</w:t>
            </w:r>
          </w:p>
        </w:tc>
        <w:tc>
          <w:tcPr>
            <w:tcW w:w="116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w w:val="99"/>
              </w:rPr>
              <w:t>2024</w:t>
            </w:r>
          </w:p>
        </w:tc>
        <w:tc>
          <w:tcPr>
            <w:tcW w:w="12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559,800</w:t>
            </w:r>
          </w:p>
        </w:tc>
        <w:tc>
          <w:tcPr>
            <w:tcW w:w="12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3,659,046</w:t>
            </w:r>
          </w:p>
        </w:tc>
        <w:tc>
          <w:tcPr>
            <w:tcW w:w="14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327,703</w:t>
            </w:r>
          </w:p>
        </w:tc>
        <w:tc>
          <w:tcPr>
            <w:tcW w:w="16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34,457</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4,581,006</w:t>
            </w:r>
          </w:p>
        </w:tc>
        <w:tc>
          <w:tcPr>
            <w:tcW w:w="0" w:type="dxa"/>
            <w:vAlign w:val="bottom"/>
          </w:tcPr>
          <w:p>
            <w:pPr>
              <w:spacing w:after="0"/>
              <w:rPr>
                <w:sz w:val="1"/>
                <w:szCs w:val="1"/>
                <w:color w:val="auto"/>
              </w:rPr>
            </w:pPr>
          </w:p>
        </w:tc>
      </w:tr>
      <w:tr>
        <w:trPr>
          <w:trHeight w:val="230"/>
        </w:trPr>
        <w:tc>
          <w:tcPr>
            <w:tcW w:w="3200" w:type="dxa"/>
            <w:vAlign w:val="bottom"/>
            <w:shd w:val="clear" w:color="auto" w:fill="DBDBDB"/>
          </w:tcPr>
          <w:p>
            <w:pPr>
              <w:ind w:left="120"/>
              <w:spacing w:after="0"/>
              <w:rPr>
                <w:sz w:val="20"/>
                <w:szCs w:val="20"/>
                <w:color w:val="auto"/>
              </w:rPr>
            </w:pPr>
            <w:r>
              <w:rPr>
                <w:rFonts w:ascii="Times New Roman" w:cs="Times New Roman" w:eastAsia="Times New Roman" w:hAnsi="Times New Roman"/>
                <w:sz w:val="18"/>
                <w:szCs w:val="18"/>
                <w:color w:val="auto"/>
              </w:rPr>
              <w:t>Senior Vice President,</w:t>
            </w:r>
          </w:p>
        </w:tc>
        <w:tc>
          <w:tcPr>
            <w:tcW w:w="1160" w:type="dxa"/>
            <w:vAlign w:val="bottom"/>
            <w:shd w:val="clear" w:color="auto" w:fill="DBDBDB"/>
          </w:tcPr>
          <w:p>
            <w:pPr>
              <w:jc w:val="center"/>
              <w:ind w:left="191"/>
              <w:spacing w:after="0"/>
              <w:rPr>
                <w:sz w:val="20"/>
                <w:szCs w:val="20"/>
                <w:color w:val="auto"/>
              </w:rPr>
            </w:pPr>
            <w:r>
              <w:rPr>
                <w:rFonts w:ascii="Times New Roman" w:cs="Times New Roman" w:eastAsia="Times New Roman" w:hAnsi="Times New Roman"/>
                <w:sz w:val="18"/>
                <w:szCs w:val="18"/>
                <w:color w:val="auto"/>
                <w:w w:val="99"/>
              </w:rPr>
              <w:t>2023</w:t>
            </w:r>
          </w:p>
        </w:tc>
        <w:tc>
          <w:tcPr>
            <w:tcW w:w="1260" w:type="dxa"/>
            <w:vAlign w:val="bottom"/>
            <w:shd w:val="clear" w:color="auto" w:fill="DBDBDB"/>
          </w:tcPr>
          <w:p>
            <w:pPr>
              <w:jc w:val="right"/>
              <w:ind w:right="152"/>
              <w:spacing w:after="0"/>
              <w:rPr>
                <w:sz w:val="20"/>
                <w:szCs w:val="20"/>
                <w:color w:val="auto"/>
              </w:rPr>
            </w:pPr>
            <w:r>
              <w:rPr>
                <w:rFonts w:ascii="Times New Roman" w:cs="Times New Roman" w:eastAsia="Times New Roman" w:hAnsi="Times New Roman"/>
                <w:sz w:val="18"/>
                <w:szCs w:val="18"/>
                <w:color w:val="auto"/>
              </w:rPr>
              <w:t>538,200</w:t>
            </w:r>
          </w:p>
        </w:tc>
        <w:tc>
          <w:tcPr>
            <w:tcW w:w="1260" w:type="dxa"/>
            <w:vAlign w:val="bottom"/>
            <w:shd w:val="clear" w:color="auto" w:fill="DBDBDB"/>
          </w:tcPr>
          <w:p>
            <w:pPr>
              <w:jc w:val="right"/>
              <w:ind w:right="53"/>
              <w:spacing w:after="0"/>
              <w:rPr>
                <w:sz w:val="20"/>
                <w:szCs w:val="20"/>
                <w:color w:val="auto"/>
              </w:rPr>
            </w:pPr>
            <w:r>
              <w:rPr>
                <w:rFonts w:ascii="Times New Roman" w:cs="Times New Roman" w:eastAsia="Times New Roman" w:hAnsi="Times New Roman"/>
                <w:sz w:val="18"/>
                <w:szCs w:val="18"/>
                <w:color w:val="auto"/>
              </w:rPr>
              <w:t>3,605,110</w:t>
            </w:r>
          </w:p>
        </w:tc>
        <w:tc>
          <w:tcPr>
            <w:tcW w:w="1460" w:type="dxa"/>
            <w:vAlign w:val="bottom"/>
            <w:shd w:val="clear" w:color="auto" w:fill="DBDBDB"/>
          </w:tcPr>
          <w:p>
            <w:pPr>
              <w:jc w:val="right"/>
              <w:ind w:right="54"/>
              <w:spacing w:after="0"/>
              <w:rPr>
                <w:sz w:val="20"/>
                <w:szCs w:val="20"/>
                <w:color w:val="auto"/>
              </w:rPr>
            </w:pPr>
            <w:r>
              <w:rPr>
                <w:rFonts w:ascii="Times New Roman" w:cs="Times New Roman" w:eastAsia="Times New Roman" w:hAnsi="Times New Roman"/>
                <w:sz w:val="18"/>
                <w:szCs w:val="18"/>
                <w:color w:val="auto"/>
              </w:rPr>
              <w:t>346,887</w:t>
            </w:r>
          </w:p>
        </w:tc>
        <w:tc>
          <w:tcPr>
            <w:tcW w:w="1600" w:type="dxa"/>
            <w:vAlign w:val="bottom"/>
            <w:shd w:val="clear" w:color="auto" w:fill="DBDBDB"/>
          </w:tcPr>
          <w:p>
            <w:pPr>
              <w:jc w:val="right"/>
              <w:ind w:right="193"/>
              <w:spacing w:after="0"/>
              <w:rPr>
                <w:sz w:val="20"/>
                <w:szCs w:val="20"/>
                <w:color w:val="auto"/>
              </w:rPr>
            </w:pPr>
            <w:r>
              <w:rPr>
                <w:rFonts w:ascii="Times New Roman" w:cs="Times New Roman" w:eastAsia="Times New Roman" w:hAnsi="Times New Roman"/>
                <w:sz w:val="18"/>
                <w:szCs w:val="18"/>
                <w:color w:val="auto"/>
              </w:rPr>
              <w:t>27,150</w:t>
            </w:r>
          </w:p>
        </w:tc>
        <w:tc>
          <w:tcPr>
            <w:tcW w:w="1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4,517,347</w:t>
            </w:r>
          </w:p>
        </w:tc>
        <w:tc>
          <w:tcPr>
            <w:tcW w:w="0" w:type="dxa"/>
            <w:vAlign w:val="bottom"/>
          </w:tcPr>
          <w:p>
            <w:pPr>
              <w:spacing w:after="0"/>
              <w:rPr>
                <w:sz w:val="1"/>
                <w:szCs w:val="1"/>
                <w:color w:val="auto"/>
              </w:rPr>
            </w:pPr>
          </w:p>
        </w:tc>
      </w:tr>
      <w:tr>
        <w:trPr>
          <w:trHeight w:val="234"/>
        </w:trPr>
        <w:tc>
          <w:tcPr>
            <w:tcW w:w="3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Counsel and Secretary</w:t>
            </w:r>
          </w:p>
        </w:tc>
        <w:tc>
          <w:tcPr>
            <w:tcW w:w="116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w w:val="99"/>
              </w:rPr>
              <w:t>2022</w:t>
            </w:r>
          </w:p>
        </w:tc>
        <w:tc>
          <w:tcPr>
            <w:tcW w:w="12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518,885</w:t>
            </w:r>
          </w:p>
        </w:tc>
        <w:tc>
          <w:tcPr>
            <w:tcW w:w="12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3,305,147</w:t>
            </w:r>
          </w:p>
        </w:tc>
        <w:tc>
          <w:tcPr>
            <w:tcW w:w="14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559,858</w:t>
            </w:r>
          </w:p>
        </w:tc>
        <w:tc>
          <w:tcPr>
            <w:tcW w:w="16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22,731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4,406,621</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50" w:lineRule="exact"/>
        <w:rPr>
          <w:sz w:val="20"/>
          <w:szCs w:val="20"/>
          <w:color w:val="auto"/>
        </w:rPr>
      </w:pPr>
    </w:p>
    <w:p>
      <w:pPr>
        <w:jc w:val="both"/>
        <w:ind w:left="260" w:hanging="252"/>
        <w:spacing w:after="0" w:line="289" w:lineRule="auto"/>
        <w:tabs>
          <w:tab w:leader="none" w:pos="27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the Stock Awards column represent the grant date fair values, computed in accordance with the provisions of FASB ASC Topic 718— Compensation—Stock Compensation (“ASC 718”), of PSAs and RSUs granted during the applicable fiscal year, without regard to estimated forfeiture</w:t>
      </w:r>
    </w:p>
    <w:p>
      <w:pPr>
        <w:spacing w:after="0" w:line="1" w:lineRule="exact"/>
        <w:rPr>
          <w:rFonts w:ascii="Times New Roman" w:cs="Times New Roman" w:eastAsia="Times New Roman" w:hAnsi="Times New Roman"/>
          <w:sz w:val="18"/>
          <w:szCs w:val="18"/>
          <w:color w:val="auto"/>
        </w:rPr>
      </w:pPr>
    </w:p>
    <w:p>
      <w:pPr>
        <w:jc w:val="both"/>
        <w:ind w:left="26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rates. For fiscal years 2022, 2023, and 2024, assuming the highest level of performance achievement with respect to the PSAs, the grant date fair values of the Stock Awards would be as follows: Mr. Griffin (FY22: $16,912,789; FY23: $18,454,902; FY24: $19,723,254), Mr. Sennesael (FY22: $5,339,011;</w:t>
      </w:r>
    </w:p>
    <w:p>
      <w:pPr>
        <w:spacing w:after="0" w:line="1" w:lineRule="exact"/>
        <w:rPr>
          <w:rFonts w:ascii="Times New Roman" w:cs="Times New Roman" w:eastAsia="Times New Roman" w:hAnsi="Times New Roman"/>
          <w:sz w:val="18"/>
          <w:szCs w:val="18"/>
          <w:color w:val="auto"/>
        </w:rPr>
      </w:pPr>
    </w:p>
    <w:p>
      <w:pPr>
        <w:ind w:left="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FY23: $5,252,414; FY24: $5,353,425), Mr. Kasnavi (FY22: $5,886,558; FY23: $5,550,558; FY24: $5,635,121), Mr. Bori (FY22: $5,186,558; FY23:</w:t>
      </w:r>
    </w:p>
    <w:p>
      <w:pPr>
        <w:spacing w:after="0" w:line="36" w:lineRule="exact"/>
        <w:rPr>
          <w:rFonts w:ascii="Times New Roman" w:cs="Times New Roman" w:eastAsia="Times New Roman" w:hAnsi="Times New Roman"/>
          <w:sz w:val="18"/>
          <w:szCs w:val="18"/>
          <w:color w:val="auto"/>
        </w:rPr>
      </w:pPr>
    </w:p>
    <w:p>
      <w:pPr>
        <w:ind w:left="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$5,550,558; FY24: $5,635,121), and Mr. Terry (FY22: $4,271,095; FY23: $4,571,105; FY24: $4,649,065). For a description of the assumptions used in</w:t>
      </w:r>
    </w:p>
    <w:p>
      <w:pPr>
        <w:spacing w:after="0" w:line="49" w:lineRule="exact"/>
        <w:rPr>
          <w:rFonts w:ascii="Times New Roman" w:cs="Times New Roman" w:eastAsia="Times New Roman" w:hAnsi="Times New Roman"/>
          <w:sz w:val="18"/>
          <w:szCs w:val="18"/>
          <w:color w:val="auto"/>
        </w:rPr>
      </w:pPr>
    </w:p>
    <w:p>
      <w:pPr>
        <w:ind w:left="26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calculating the fair value of equity awards in fiscal year 2024 under ASC 718, see Note 9 of the Company’s financial statements included in the Company’s Annual Report on Form 10-K filed with the SEC on November 15, 2024.</w:t>
      </w:r>
    </w:p>
    <w:p>
      <w:pPr>
        <w:spacing w:after="0" w:line="1" w:lineRule="exact"/>
        <w:rPr>
          <w:rFonts w:ascii="Times New Roman" w:cs="Times New Roman" w:eastAsia="Times New Roman" w:hAnsi="Times New Roman"/>
          <w:sz w:val="18"/>
          <w:szCs w:val="18"/>
          <w:color w:val="auto"/>
        </w:rPr>
      </w:pPr>
    </w:p>
    <w:p>
      <w:pPr>
        <w:ind w:left="260" w:hanging="252"/>
        <w:spacing w:after="0" w:line="289" w:lineRule="auto"/>
        <w:tabs>
          <w:tab w:leader="none" w:pos="27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amounts paid to the Named Executive Officers pursuant to the executive incentive plan adopted by the Compensation Committee for each year indicated.</w:t>
      </w:r>
    </w:p>
    <w:p>
      <w:pPr>
        <w:spacing w:after="0" w:line="1" w:lineRule="exact"/>
        <w:rPr>
          <w:rFonts w:ascii="Times New Roman" w:cs="Times New Roman" w:eastAsia="Times New Roman" w:hAnsi="Times New Roman"/>
          <w:sz w:val="18"/>
          <w:szCs w:val="18"/>
          <w:color w:val="auto"/>
        </w:rPr>
      </w:pPr>
    </w:p>
    <w:p>
      <w:pPr>
        <w:jc w:val="both"/>
        <w:ind w:left="260" w:hanging="252"/>
        <w:spacing w:after="0" w:line="302" w:lineRule="auto"/>
        <w:tabs>
          <w:tab w:leader="none" w:pos="31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includes the Company’s contributions to the executive’s 401(k) Plan account, the cost of group term life insurance premiums, and financial planning benefits. For fiscal year 2024, it specifically includes $13,800 in Company contributions to each Named Executive Officer’s 401(k) Plan account, as well as $8,000, $4,250, $0, $9,398, and $15,136 in financial planning benefits for Messrs. Griffin, Sennesael, Kasnavi, Bori and Terry, respectively.</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4" w:name="page25"/>
    <w:bookmarkEnd w:id="24"/>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Grants of Plan-Based Awards Table</w:t>
      </w:r>
    </w:p>
    <w:p>
      <w:pPr>
        <w:spacing w:after="0" w:line="2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all grants of plan-based awards made to the Named Executive Officers in fiscal year 2024.</w:t>
      </w:r>
    </w:p>
    <w:p>
      <w:pPr>
        <w:spacing w:after="0" w:line="381"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1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8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0" w:type="dxa"/>
            <w:vAlign w:val="bottom"/>
          </w:tcPr>
          <w:p>
            <w:pPr>
              <w:spacing w:after="0"/>
              <w:rPr>
                <w:sz w:val="1"/>
                <w:szCs w:val="1"/>
                <w:color w:val="auto"/>
              </w:rPr>
            </w:pPr>
          </w:p>
        </w:tc>
      </w:tr>
      <w:tr>
        <w:trPr>
          <w:trHeight w:val="175"/>
        </w:trPr>
        <w:tc>
          <w:tcPr>
            <w:tcW w:w="1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8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76"/>
        </w:trPr>
        <w:tc>
          <w:tcPr>
            <w:tcW w:w="1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Future Payouts Under</w:t>
            </w:r>
          </w:p>
        </w:tc>
        <w:tc>
          <w:tcPr>
            <w:tcW w:w="2880" w:type="dxa"/>
            <w:vAlign w:val="bottom"/>
            <w:gridSpan w:val="3"/>
            <w:vMerge w:val="restart"/>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Estimated Future Payouts</w:t>
            </w:r>
          </w:p>
        </w:tc>
        <w:tc>
          <w:tcPr>
            <w:tcW w:w="98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w w:val="97"/>
              </w:rPr>
              <w:t>Awards:</w:t>
            </w:r>
          </w:p>
        </w:tc>
        <w:tc>
          <w:tcPr>
            <w:tcW w:w="0" w:type="dxa"/>
            <w:vAlign w:val="bottom"/>
          </w:tcPr>
          <w:p>
            <w:pPr>
              <w:spacing w:after="0"/>
              <w:rPr>
                <w:sz w:val="1"/>
                <w:szCs w:val="1"/>
                <w:color w:val="auto"/>
              </w:rPr>
            </w:pPr>
          </w:p>
        </w:tc>
      </w:tr>
      <w:tr>
        <w:trPr>
          <w:trHeight w:val="146"/>
        </w:trPr>
        <w:tc>
          <w:tcPr>
            <w:tcW w:w="1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300" w:type="dxa"/>
            <w:vAlign w:val="bottom"/>
            <w:gridSpan w:val="3"/>
            <w:vMerge w:val="continue"/>
          </w:tcPr>
          <w:p>
            <w:pPr>
              <w:spacing w:after="0"/>
              <w:rPr>
                <w:sz w:val="12"/>
                <w:szCs w:val="12"/>
                <w:color w:val="auto"/>
              </w:rPr>
            </w:pPr>
          </w:p>
        </w:tc>
        <w:tc>
          <w:tcPr>
            <w:tcW w:w="2880" w:type="dxa"/>
            <w:vAlign w:val="bottom"/>
            <w:gridSpan w:val="3"/>
            <w:vMerge w:val="continue"/>
          </w:tcPr>
          <w:p>
            <w:pPr>
              <w:spacing w:after="0"/>
              <w:rPr>
                <w:sz w:val="12"/>
                <w:szCs w:val="12"/>
                <w:color w:val="auto"/>
              </w:rPr>
            </w:pPr>
          </w:p>
        </w:tc>
        <w:tc>
          <w:tcPr>
            <w:tcW w:w="980" w:type="dxa"/>
            <w:vAlign w:val="bottom"/>
          </w:tcPr>
          <w:p>
            <w:pPr>
              <w:jc w:val="center"/>
              <w:ind w:right="1"/>
              <w:spacing w:after="0" w:line="146"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10"/>
        </w:trPr>
        <w:tc>
          <w:tcPr>
            <w:tcW w:w="1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300" w:type="dxa"/>
            <w:vAlign w:val="bottom"/>
            <w:gridSpan w:val="3"/>
          </w:tcPr>
          <w:p>
            <w:pPr>
              <w:jc w:val="center"/>
              <w:spacing w:after="0" w:line="110" w:lineRule="exact"/>
              <w:rPr>
                <w:sz w:val="20"/>
                <w:szCs w:val="20"/>
                <w:color w:val="auto"/>
              </w:rPr>
            </w:pPr>
            <w:r>
              <w:rPr>
                <w:rFonts w:ascii="Times New Roman" w:cs="Times New Roman" w:eastAsia="Times New Roman" w:hAnsi="Times New Roman"/>
                <w:sz w:val="12"/>
                <w:szCs w:val="12"/>
                <w:b w:val="1"/>
                <w:bCs w:val="1"/>
                <w:color w:val="auto"/>
              </w:rPr>
              <w:t>Non-Equity Incentive Plan</w:t>
            </w:r>
          </w:p>
        </w:tc>
        <w:tc>
          <w:tcPr>
            <w:tcW w:w="2880" w:type="dxa"/>
            <w:vAlign w:val="bottom"/>
            <w:gridSpan w:val="3"/>
          </w:tcPr>
          <w:p>
            <w:pPr>
              <w:jc w:val="center"/>
              <w:ind w:right="95"/>
              <w:spacing w:after="0" w:line="110" w:lineRule="exact"/>
              <w:rPr>
                <w:sz w:val="20"/>
                <w:szCs w:val="20"/>
                <w:color w:val="auto"/>
              </w:rPr>
            </w:pPr>
            <w:r>
              <w:rPr>
                <w:rFonts w:ascii="Times New Roman" w:cs="Times New Roman" w:eastAsia="Times New Roman" w:hAnsi="Times New Roman"/>
                <w:sz w:val="12"/>
                <w:szCs w:val="12"/>
                <w:b w:val="1"/>
                <w:bCs w:val="1"/>
                <w:color w:val="auto"/>
              </w:rPr>
              <w:t>Under Equity Incentive Plan</w:t>
            </w:r>
          </w:p>
        </w:tc>
        <w:tc>
          <w:tcPr>
            <w:tcW w:w="980" w:type="dxa"/>
            <w:vAlign w:val="bottom"/>
            <w:vMerge w:val="restart"/>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8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Awards(1)</w:t>
            </w:r>
          </w:p>
        </w:tc>
        <w:tc>
          <w:tcPr>
            <w:tcW w:w="1080" w:type="dxa"/>
            <w:vAlign w:val="bottom"/>
          </w:tcPr>
          <w:p>
            <w:pPr>
              <w:spacing w:after="0"/>
              <w:rPr>
                <w:sz w:val="7"/>
                <w:szCs w:val="7"/>
                <w:color w:val="auto"/>
              </w:rPr>
            </w:pPr>
          </w:p>
        </w:tc>
        <w:tc>
          <w:tcPr>
            <w:tcW w:w="960" w:type="dxa"/>
            <w:vAlign w:val="bottom"/>
          </w:tcPr>
          <w:p>
            <w:pPr>
              <w:spacing w:after="0"/>
              <w:rPr>
                <w:sz w:val="7"/>
                <w:szCs w:val="7"/>
                <w:color w:val="auto"/>
              </w:rPr>
            </w:pPr>
          </w:p>
        </w:tc>
        <w:tc>
          <w:tcPr>
            <w:tcW w:w="90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8"/>
              </w:rPr>
              <w:t>Awards(2)</w:t>
            </w:r>
          </w:p>
        </w:tc>
        <w:tc>
          <w:tcPr>
            <w:tcW w:w="102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9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980" w:type="dxa"/>
            <w:vAlign w:val="bottom"/>
            <w:vMerge w:val="restart"/>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w w:val="99"/>
              </w:rPr>
              <w:t>Stock Or</w:t>
            </w:r>
          </w:p>
        </w:tc>
        <w:tc>
          <w:tcPr>
            <w:tcW w:w="0" w:type="dxa"/>
            <w:vAlign w:val="bottom"/>
          </w:tcPr>
          <w:p>
            <w:pPr>
              <w:spacing w:after="0"/>
              <w:rPr>
                <w:sz w:val="1"/>
                <w:szCs w:val="1"/>
                <w:color w:val="auto"/>
              </w:rPr>
            </w:pPr>
          </w:p>
        </w:tc>
      </w:tr>
      <w:tr>
        <w:trPr>
          <w:trHeight w:val="66"/>
        </w:trPr>
        <w:tc>
          <w:tcPr>
            <w:tcW w:w="13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34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Grant</w:t>
            </w:r>
          </w:p>
        </w:tc>
        <w:tc>
          <w:tcPr>
            <w:tcW w:w="114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08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08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96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9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102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98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Units</w:t>
            </w:r>
          </w:p>
        </w:tc>
        <w:tc>
          <w:tcPr>
            <w:tcW w:w="0" w:type="dxa"/>
            <w:vAlign w:val="bottom"/>
          </w:tcPr>
          <w:p>
            <w:pPr>
              <w:spacing w:after="0"/>
              <w:rPr>
                <w:sz w:val="1"/>
                <w:szCs w:val="1"/>
                <w:color w:val="auto"/>
              </w:rPr>
            </w:pPr>
          </w:p>
        </w:tc>
      </w:tr>
      <w:tr>
        <w:trPr>
          <w:trHeight w:val="217"/>
        </w:trPr>
        <w:tc>
          <w:tcPr>
            <w:tcW w:w="1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14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(#)(3)</w:t>
            </w:r>
          </w:p>
        </w:tc>
        <w:tc>
          <w:tcPr>
            <w:tcW w:w="0" w:type="dxa"/>
            <w:vAlign w:val="bottom"/>
          </w:tcPr>
          <w:p>
            <w:pPr>
              <w:spacing w:after="0"/>
              <w:rPr>
                <w:sz w:val="1"/>
                <w:szCs w:val="1"/>
                <w:color w:val="auto"/>
              </w:rPr>
            </w:pPr>
          </w:p>
        </w:tc>
      </w:tr>
      <w:tr>
        <w:trPr>
          <w:trHeight w:val="307"/>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Liam K. Griffin</w:t>
            </w:r>
          </w:p>
        </w:tc>
        <w:tc>
          <w:tcPr>
            <w:tcW w:w="1200" w:type="dxa"/>
            <w:vAlign w:val="bottom"/>
          </w:tcPr>
          <w:p>
            <w:pPr>
              <w:spacing w:after="0"/>
              <w:rPr>
                <w:sz w:val="24"/>
                <w:szCs w:val="24"/>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940,000</w:t>
            </w:r>
          </w:p>
        </w:tc>
        <w:tc>
          <w:tcPr>
            <w:tcW w:w="108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1,880,000</w:t>
            </w: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3,760,000</w:t>
            </w: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34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11/07/2023</w:t>
            </w: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47,001</w:t>
            </w:r>
          </w:p>
        </w:tc>
        <w:tc>
          <w:tcPr>
            <w:tcW w:w="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94,002</w:t>
            </w: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235,005</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11/07/2023</w:t>
            </w:r>
          </w:p>
        </w:tc>
        <w:tc>
          <w:tcPr>
            <w:tcW w:w="1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62,667</w:t>
            </w:r>
          </w:p>
        </w:tc>
        <w:tc>
          <w:tcPr>
            <w:tcW w:w="0" w:type="dxa"/>
            <w:vAlign w:val="bottom"/>
          </w:tcPr>
          <w:p>
            <w:pPr>
              <w:spacing w:after="0"/>
              <w:rPr>
                <w:sz w:val="1"/>
                <w:szCs w:val="1"/>
                <w:color w:val="auto"/>
              </w:rPr>
            </w:pPr>
          </w:p>
        </w:tc>
      </w:tr>
      <w:tr>
        <w:trPr>
          <w:trHeight w:val="283"/>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Kris Sennesael</w:t>
            </w:r>
          </w:p>
        </w:tc>
        <w:tc>
          <w:tcPr>
            <w:tcW w:w="1200" w:type="dxa"/>
            <w:vAlign w:val="bottom"/>
          </w:tcPr>
          <w:p>
            <w:pPr>
              <w:spacing w:after="0"/>
              <w:rPr>
                <w:sz w:val="24"/>
                <w:szCs w:val="24"/>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315,000</w:t>
            </w:r>
          </w:p>
        </w:tc>
        <w:tc>
          <w:tcPr>
            <w:tcW w:w="108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630,000</w:t>
            </w: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1,260,000</w:t>
            </w: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34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11/07/2023</w:t>
            </w: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12,757</w:t>
            </w:r>
          </w:p>
        </w:tc>
        <w:tc>
          <w:tcPr>
            <w:tcW w:w="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25,515</w:t>
            </w: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63,787</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11/07/2023</w:t>
            </w:r>
          </w:p>
        </w:tc>
        <w:tc>
          <w:tcPr>
            <w:tcW w:w="1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17,009</w:t>
            </w:r>
          </w:p>
        </w:tc>
        <w:tc>
          <w:tcPr>
            <w:tcW w:w="0" w:type="dxa"/>
            <w:vAlign w:val="bottom"/>
          </w:tcPr>
          <w:p>
            <w:pPr>
              <w:spacing w:after="0"/>
              <w:rPr>
                <w:sz w:val="1"/>
                <w:szCs w:val="1"/>
                <w:color w:val="auto"/>
              </w:rPr>
            </w:pPr>
          </w:p>
        </w:tc>
      </w:tr>
      <w:tr>
        <w:trPr>
          <w:trHeight w:val="283"/>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Reza Kasnavi</w:t>
            </w:r>
          </w:p>
        </w:tc>
        <w:tc>
          <w:tcPr>
            <w:tcW w:w="1200" w:type="dxa"/>
            <w:vAlign w:val="bottom"/>
          </w:tcPr>
          <w:p>
            <w:pPr>
              <w:spacing w:after="0"/>
              <w:rPr>
                <w:sz w:val="24"/>
                <w:szCs w:val="24"/>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240,000</w:t>
            </w:r>
          </w:p>
        </w:tc>
        <w:tc>
          <w:tcPr>
            <w:tcW w:w="108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480,000</w:t>
            </w: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960,000</w:t>
            </w: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34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11/07/2023</w:t>
            </w: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13,428</w:t>
            </w:r>
          </w:p>
        </w:tc>
        <w:tc>
          <w:tcPr>
            <w:tcW w:w="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26,857</w:t>
            </w: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67,142</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11/07/2023</w:t>
            </w:r>
          </w:p>
        </w:tc>
        <w:tc>
          <w:tcPr>
            <w:tcW w:w="1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17,905</w:t>
            </w:r>
          </w:p>
        </w:tc>
        <w:tc>
          <w:tcPr>
            <w:tcW w:w="0" w:type="dxa"/>
            <w:vAlign w:val="bottom"/>
          </w:tcPr>
          <w:p>
            <w:pPr>
              <w:spacing w:after="0"/>
              <w:rPr>
                <w:sz w:val="1"/>
                <w:szCs w:val="1"/>
                <w:color w:val="auto"/>
              </w:rPr>
            </w:pPr>
          </w:p>
        </w:tc>
      </w:tr>
      <w:tr>
        <w:trPr>
          <w:trHeight w:val="283"/>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Carlos S. Bori</w:t>
            </w:r>
          </w:p>
        </w:tc>
        <w:tc>
          <w:tcPr>
            <w:tcW w:w="1200" w:type="dxa"/>
            <w:vAlign w:val="bottom"/>
          </w:tcPr>
          <w:p>
            <w:pPr>
              <w:spacing w:after="0"/>
              <w:rPr>
                <w:sz w:val="24"/>
                <w:szCs w:val="24"/>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240,000</w:t>
            </w:r>
          </w:p>
        </w:tc>
        <w:tc>
          <w:tcPr>
            <w:tcW w:w="108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480,000</w:t>
            </w: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960,000</w:t>
            </w: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34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11/07/2023</w:t>
            </w: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13,428</w:t>
            </w:r>
          </w:p>
        </w:tc>
        <w:tc>
          <w:tcPr>
            <w:tcW w:w="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26,857</w:t>
            </w: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67,142</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11/07/2023</w:t>
            </w:r>
          </w:p>
        </w:tc>
        <w:tc>
          <w:tcPr>
            <w:tcW w:w="1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17,905</w:t>
            </w:r>
          </w:p>
        </w:tc>
        <w:tc>
          <w:tcPr>
            <w:tcW w:w="0" w:type="dxa"/>
            <w:vAlign w:val="bottom"/>
          </w:tcPr>
          <w:p>
            <w:pPr>
              <w:spacing w:after="0"/>
              <w:rPr>
                <w:sz w:val="1"/>
                <w:szCs w:val="1"/>
                <w:color w:val="auto"/>
              </w:rPr>
            </w:pPr>
          </w:p>
        </w:tc>
      </w:tr>
      <w:tr>
        <w:trPr>
          <w:trHeight w:val="283"/>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Robert J. Terry</w:t>
            </w:r>
          </w:p>
        </w:tc>
        <w:tc>
          <w:tcPr>
            <w:tcW w:w="1200" w:type="dxa"/>
            <w:vAlign w:val="bottom"/>
          </w:tcPr>
          <w:p>
            <w:pPr>
              <w:spacing w:after="0"/>
              <w:rPr>
                <w:sz w:val="24"/>
                <w:szCs w:val="24"/>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224,800</w:t>
            </w:r>
          </w:p>
        </w:tc>
        <w:tc>
          <w:tcPr>
            <w:tcW w:w="108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449,600</w:t>
            </w: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899,200</w:t>
            </w: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34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11/07/2023</w:t>
            </w: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11,079</w:t>
            </w:r>
          </w:p>
        </w:tc>
        <w:tc>
          <w:tcPr>
            <w:tcW w:w="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22,158</w:t>
            </w: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55,395</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11/07/2023</w:t>
            </w:r>
          </w:p>
        </w:tc>
        <w:tc>
          <w:tcPr>
            <w:tcW w:w="1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-2348230</wp:posOffset>
            </wp:positionV>
            <wp:extent cx="7080885"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80885" cy="14605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-2056765</wp:posOffset>
            </wp:positionV>
            <wp:extent cx="7080885" cy="2228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80885" cy="22288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-1687830</wp:posOffset>
            </wp:positionV>
            <wp:extent cx="7080885"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80885" cy="14541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-1319530</wp:posOffset>
            </wp:positionV>
            <wp:extent cx="7080885"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80885" cy="14605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-1028065</wp:posOffset>
            </wp:positionV>
            <wp:extent cx="7080885" cy="2228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80885" cy="22288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-659765</wp:posOffset>
            </wp:positionV>
            <wp:extent cx="7080885"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80885" cy="14605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-290830</wp:posOffset>
            </wp:positionV>
            <wp:extent cx="7080885"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80885"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Grant</w:t>
      </w:r>
    </w:p>
    <w:p>
      <w:pPr>
        <w:spacing w:after="0" w:line="2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Date Fair</w:t>
      </w:r>
    </w:p>
    <w:p>
      <w:pPr>
        <w:spacing w:after="0" w:line="1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Value of</w:t>
      </w:r>
    </w:p>
    <w:p>
      <w:pPr>
        <w:spacing w:after="0" w:line="1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Stock</w:t>
      </w:r>
    </w:p>
    <w:p>
      <w:pPr>
        <w:spacing w:after="0" w:line="1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Awards ($)</w:t>
      </w:r>
    </w:p>
    <w:p>
      <w:pPr>
        <w:spacing w:after="0" w:line="200" w:lineRule="exact"/>
        <w:rPr>
          <w:sz w:val="20"/>
          <w:szCs w:val="20"/>
          <w:color w:val="auto"/>
        </w:rPr>
      </w:pPr>
    </w:p>
    <w:p>
      <w:pPr>
        <w:spacing w:after="0" w:line="25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9,923,321(4)</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5,599,923(5)</w:t>
      </w:r>
    </w:p>
    <w:p>
      <w:pPr>
        <w:spacing w:after="0" w:line="36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2,693,491(4)</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1,519,924(5)</w:t>
      </w:r>
    </w:p>
    <w:p>
      <w:pPr>
        <w:spacing w:after="0" w:line="36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2,835,159(4)</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1,599,991(5)</w:t>
      </w:r>
    </w:p>
    <w:p>
      <w:pPr>
        <w:spacing w:after="0" w:line="36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2,835,159(4)</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1,599,991(5)</w:t>
      </w:r>
    </w:p>
    <w:p>
      <w:pPr>
        <w:spacing w:after="0" w:line="36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2,339,109(4)</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1,319,937(5)</w:t>
      </w:r>
    </w:p>
    <w:p>
      <w:pPr>
        <w:spacing w:after="0" w:line="98" w:lineRule="exact"/>
        <w:rPr>
          <w:sz w:val="20"/>
          <w:szCs w:val="20"/>
          <w:color w:val="auto"/>
        </w:rPr>
      </w:pPr>
    </w:p>
    <w:p>
      <w:pPr>
        <w:sectPr>
          <w:pgSz w:w="11900" w:h="16838" w:orient="portrait"/>
          <w:cols w:equalWidth="0" w:num="2">
            <w:col w:w="9760" w:space="380"/>
            <w:col w:w="1100"/>
          </w:cols>
          <w:pgMar w:left="320" w:top="1130"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50" w:lineRule="exact"/>
        <w:rPr>
          <w:sz w:val="20"/>
          <w:szCs w:val="20"/>
          <w:color w:val="auto"/>
        </w:rPr>
      </w:pPr>
    </w:p>
    <w:p>
      <w:pPr>
        <w:jc w:val="both"/>
        <w:ind w:left="260" w:hanging="252"/>
        <w:spacing w:after="0" w:line="286" w:lineRule="auto"/>
        <w:tabs>
          <w:tab w:leader="none" w:pos="29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represent the potential value of awards earned under the Incentive Plan. The amounts actually paid to the Named Executive Officers under the Incentive Plan are shown above in the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 under “</w:t>
      </w:r>
      <w:r>
        <w:rPr>
          <w:rFonts w:ascii="Times New Roman" w:cs="Times New Roman" w:eastAsia="Times New Roman" w:hAnsi="Times New Roman"/>
          <w:sz w:val="18"/>
          <w:szCs w:val="18"/>
          <w:i w:val="1"/>
          <w:iCs w:val="1"/>
          <w:color w:val="auto"/>
        </w:rPr>
        <w:t>Non-Equity Incentive Plan Compensation</w:t>
      </w:r>
      <w:r>
        <w:rPr>
          <w:rFonts w:ascii="Times New Roman" w:cs="Times New Roman" w:eastAsia="Times New Roman" w:hAnsi="Times New Roman"/>
          <w:sz w:val="18"/>
          <w:szCs w:val="18"/>
          <w:color w:val="auto"/>
        </w:rPr>
        <w:t>.” For a more complete description of the Incentive Plan, please see description above under “</w:t>
      </w:r>
      <w:r>
        <w:rPr>
          <w:rFonts w:ascii="Times New Roman" w:cs="Times New Roman" w:eastAsia="Times New Roman" w:hAnsi="Times New Roman"/>
          <w:sz w:val="18"/>
          <w:szCs w:val="18"/>
          <w:i w:val="1"/>
          <w:iCs w:val="1"/>
          <w:color w:val="auto"/>
        </w:rPr>
        <w:t>Components of Compensation—Short-Term Incentives</w:t>
      </w:r>
      <w:r>
        <w:rPr>
          <w:rFonts w:ascii="Times New Roman" w:cs="Times New Roman" w:eastAsia="Times New Roman" w:hAnsi="Times New Roman"/>
          <w:sz w:val="18"/>
          <w:szCs w:val="18"/>
          <w:color w:val="auto"/>
        </w:rPr>
        <w:t>.”</w:t>
      </w:r>
    </w:p>
    <w:p>
      <w:pPr>
        <w:spacing w:after="0" w:line="2" w:lineRule="exact"/>
        <w:rPr>
          <w:rFonts w:ascii="Times New Roman" w:cs="Times New Roman" w:eastAsia="Times New Roman" w:hAnsi="Times New Roman"/>
          <w:sz w:val="18"/>
          <w:szCs w:val="18"/>
          <w:color w:val="auto"/>
        </w:rPr>
      </w:pPr>
    </w:p>
    <w:p>
      <w:pPr>
        <w:jc w:val="both"/>
        <w:ind w:left="260" w:hanging="252"/>
        <w:spacing w:after="0" w:line="292" w:lineRule="auto"/>
        <w:tabs>
          <w:tab w:leader="none" w:pos="29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represent shares potentially issuable pursuant to the FY24 PSAs granted on November 7, 2023, under the Company’s Second Amended and Restated 2015 Long-Term Incentive Plan, as described above under “</w:t>
      </w:r>
      <w:r>
        <w:rPr>
          <w:rFonts w:ascii="Times New Roman" w:cs="Times New Roman" w:eastAsia="Times New Roman" w:hAnsi="Times New Roman"/>
          <w:sz w:val="18"/>
          <w:szCs w:val="18"/>
          <w:i w:val="1"/>
          <w:iCs w:val="1"/>
          <w:color w:val="auto"/>
        </w:rPr>
        <w:t>Components of Compensation—Long-Term Stock-Based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w:t>
      </w:r>
    </w:p>
    <w:p>
      <w:pPr>
        <w:ind w:left="280" w:hanging="272"/>
        <w:spacing w:after="0"/>
        <w:tabs>
          <w:tab w:leader="none" w:pos="2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underlying RSU awards granted under the Company’s Second Amended and Restated 2015 Long-Term Incentive Plan. Each RSU</w:t>
      </w:r>
    </w:p>
    <w:p>
      <w:pPr>
        <w:spacing w:after="0" w:line="49" w:lineRule="exact"/>
        <w:rPr>
          <w:rFonts w:ascii="Times New Roman" w:cs="Times New Roman" w:eastAsia="Times New Roman" w:hAnsi="Times New Roman"/>
          <w:sz w:val="18"/>
          <w:szCs w:val="18"/>
          <w:color w:val="auto"/>
        </w:rPr>
      </w:pPr>
    </w:p>
    <w:p>
      <w:pPr>
        <w:ind w:left="260" w:right="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vests over four years at a rate of twenty-five percent (25%) per year commencing one year after the grant date and on each subsequent anniversary of the grant date for the following three years, provided the executive remains employed by the Company through each such vesting date.</w:t>
      </w:r>
    </w:p>
    <w:p>
      <w:pPr>
        <w:spacing w:after="0" w:line="1" w:lineRule="exact"/>
        <w:rPr>
          <w:rFonts w:ascii="Times New Roman" w:cs="Times New Roman" w:eastAsia="Times New Roman" w:hAnsi="Times New Roman"/>
          <w:sz w:val="18"/>
          <w:szCs w:val="18"/>
          <w:color w:val="auto"/>
        </w:rPr>
      </w:pPr>
    </w:p>
    <w:p>
      <w:pPr>
        <w:jc w:val="both"/>
        <w:ind w:left="260" w:hanging="252"/>
        <w:spacing w:after="0" w:line="289" w:lineRule="auto"/>
        <w:tabs>
          <w:tab w:leader="none" w:pos="29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grant date fair value of the FY24 PSAs, computed in accordance with the provisions of ASC 718, using (a) a Monte Carlo simulation (which weights the probability of multiple potential outcomes) to value the portion of the award related to TSR percentile ranking, and (b) a price of</w:t>
      </w:r>
    </w:p>
    <w:p>
      <w:pPr>
        <w:spacing w:after="0" w:line="1" w:lineRule="exact"/>
        <w:rPr>
          <w:rFonts w:ascii="Times New Roman" w:cs="Times New Roman" w:eastAsia="Times New Roman" w:hAnsi="Times New Roman"/>
          <w:sz w:val="18"/>
          <w:szCs w:val="18"/>
          <w:color w:val="auto"/>
        </w:rPr>
      </w:pPr>
    </w:p>
    <w:p>
      <w:pPr>
        <w:jc w:val="both"/>
        <w:ind w:left="26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$89.36 per share, which was the closing sale price of the Company’s common stock on the Nasdaq Global Select Market on November 7, 2023, to value the portion of the award related to emerging revenue growth and EBITDA margin percentile ranking, assuming performance at the “target” level. For a</w:t>
      </w:r>
    </w:p>
    <w:p>
      <w:pPr>
        <w:spacing w:after="0" w:line="1" w:lineRule="exact"/>
        <w:rPr>
          <w:rFonts w:ascii="Times New Roman" w:cs="Times New Roman" w:eastAsia="Times New Roman" w:hAnsi="Times New Roman"/>
          <w:sz w:val="18"/>
          <w:szCs w:val="18"/>
          <w:color w:val="auto"/>
        </w:rPr>
      </w:pPr>
    </w:p>
    <w:p>
      <w:pPr>
        <w:ind w:left="260" w:right="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 of the assumptions used in calculating the fair value of equity awards granted in fiscal year 2024 under ASC 718, see Note 9 of the Company’s financial statements included in the Company’s Annual Report on Form 10-K filed with the SEC on November 15, 2024.</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type w:val="continuous"/>
        </w:sectPr>
      </w:pPr>
    </w:p>
    <w:bookmarkStart w:id="25" w:name="page26"/>
    <w:bookmarkEnd w:id="25"/>
    <w:p>
      <w:pPr>
        <w:ind w:left="260" w:hanging="252"/>
        <w:spacing w:after="0" w:line="313" w:lineRule="auto"/>
        <w:tabs>
          <w:tab w:leader="none" w:pos="27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grant date fair value of the RSUs granted on November 7, 2023, computed in accordance with the provisions of ASC 718 using a price of $89.36 per share, which was the closing price of the Company’s common stock on the Nasdaq Global Select Market on November 7, 2023.</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Outstanding Equity Awards at Fiscal Year End Table</w:t>
      </w:r>
    </w:p>
    <w:p>
      <w:pPr>
        <w:spacing w:after="0" w:line="256" w:lineRule="exact"/>
        <w:rPr>
          <w:sz w:val="20"/>
          <w:szCs w:val="20"/>
          <w:color w:val="auto"/>
        </w:rPr>
      </w:pPr>
    </w:p>
    <w:p>
      <w:pPr>
        <w:ind w:firstLine="389"/>
        <w:spacing w:after="0" w:line="329" w:lineRule="auto"/>
        <w:rPr>
          <w:sz w:val="20"/>
          <w:szCs w:val="20"/>
          <w:color w:val="auto"/>
        </w:rPr>
      </w:pPr>
      <w:r>
        <w:rPr>
          <w:rFonts w:ascii="Times New Roman" w:cs="Times New Roman" w:eastAsia="Times New Roman" w:hAnsi="Times New Roman"/>
          <w:sz w:val="18"/>
          <w:szCs w:val="18"/>
          <w:color w:val="auto"/>
        </w:rPr>
        <w:t>The following table summarizes the unvested stock awards held by the Named Executive Officers as of the end of fiscal year 2024. None of our Named Executive Officers held stock options as of the end of fiscal year 2024.</w:t>
      </w:r>
    </w:p>
    <w:p>
      <w:pPr>
        <w:sectPr>
          <w:pgSz w:w="11900" w:h="16838" w:orient="portrait"/>
          <w:cols w:equalWidth="0" w:num="1">
            <w:col w:w="11240"/>
          </w:cols>
          <w:pgMar w:left="320" w:top="9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Liam K. Griffin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Kris Sennesael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Reza Kasnavi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Carlos S. Bori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Robert J. Terry</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760" w:type="dxa"/>
            <w:vAlign w:val="bottom"/>
          </w:tcPr>
          <w:p>
            <w:pPr>
              <w:spacing w:after="0"/>
              <w:rPr>
                <w:sz w:val="16"/>
                <w:szCs w:val="16"/>
                <w:color w:val="auto"/>
              </w:rPr>
            </w:pPr>
          </w:p>
        </w:tc>
        <w:tc>
          <w:tcPr>
            <w:tcW w:w="23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9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7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940" w:type="dxa"/>
            <w:vAlign w:val="bottom"/>
            <w:vMerge w:val="restart"/>
          </w:tcPr>
          <w:p>
            <w:pPr>
              <w:jc w:val="center"/>
              <w:ind w:right="8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800" w:type="dxa"/>
            <w:vAlign w:val="bottom"/>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940" w:type="dxa"/>
            <w:vAlign w:val="bottom"/>
            <w:vMerge w:val="continue"/>
          </w:tcPr>
          <w:p>
            <w:pPr>
              <w:spacing w:after="0"/>
              <w:rPr>
                <w:sz w:val="12"/>
                <w:szCs w:val="12"/>
                <w:color w:val="auto"/>
              </w:rPr>
            </w:pPr>
          </w:p>
        </w:tc>
        <w:tc>
          <w:tcPr>
            <w:tcW w:w="1800" w:type="dxa"/>
            <w:vAlign w:val="bottom"/>
          </w:tcPr>
          <w:p>
            <w:pPr>
              <w:jc w:val="center"/>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37"/>
        </w:trPr>
        <w:tc>
          <w:tcPr>
            <w:tcW w:w="176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940" w:type="dxa"/>
            <w:vAlign w:val="bottom"/>
          </w:tcPr>
          <w:p>
            <w:pPr>
              <w:jc w:val="center"/>
              <w:ind w:right="848"/>
              <w:spacing w:after="0" w:line="137"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800" w:type="dxa"/>
            <w:vAlign w:val="bottom"/>
          </w:tcPr>
          <w:p>
            <w:pPr>
              <w:jc w:val="center"/>
              <w:ind w:right="248"/>
              <w:spacing w:after="0" w:line="137" w:lineRule="exact"/>
              <w:rPr>
                <w:sz w:val="20"/>
                <w:szCs w:val="20"/>
                <w:color w:val="auto"/>
              </w:rPr>
            </w:pPr>
            <w:r>
              <w:rPr>
                <w:rFonts w:ascii="Times New Roman" w:cs="Times New Roman" w:eastAsia="Times New Roman" w:hAnsi="Times New Roman"/>
                <w:sz w:val="14"/>
                <w:szCs w:val="14"/>
                <w:b w:val="1"/>
                <w:bCs w:val="1"/>
                <w:color w:val="auto"/>
              </w:rPr>
              <w:t>Plan</w:t>
            </w:r>
          </w:p>
        </w:tc>
        <w:tc>
          <w:tcPr>
            <w:tcW w:w="0" w:type="dxa"/>
            <w:vAlign w:val="bottom"/>
          </w:tcPr>
          <w:p>
            <w:pPr>
              <w:spacing w:after="0"/>
              <w:rPr>
                <w:sz w:val="1"/>
                <w:szCs w:val="1"/>
                <w:color w:val="auto"/>
              </w:rPr>
            </w:pPr>
          </w:p>
        </w:tc>
      </w:tr>
      <w:tr>
        <w:trPr>
          <w:trHeight w:val="146"/>
        </w:trPr>
        <w:tc>
          <w:tcPr>
            <w:tcW w:w="17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940" w:type="dxa"/>
            <w:vAlign w:val="bottom"/>
          </w:tcPr>
          <w:p>
            <w:pPr>
              <w:jc w:val="center"/>
              <w:ind w:right="828"/>
              <w:spacing w:after="0" w:line="146" w:lineRule="exact"/>
              <w:rPr>
                <w:sz w:val="20"/>
                <w:szCs w:val="20"/>
                <w:color w:val="auto"/>
              </w:rPr>
            </w:pPr>
            <w:r>
              <w:rPr>
                <w:rFonts w:ascii="Times New Roman" w:cs="Times New Roman" w:eastAsia="Times New Roman" w:hAnsi="Times New Roman"/>
                <w:sz w:val="14"/>
                <w:szCs w:val="14"/>
                <w:b w:val="1"/>
                <w:bCs w:val="1"/>
                <w:color w:val="auto"/>
              </w:rPr>
              <w:t>Plan</w:t>
            </w:r>
          </w:p>
        </w:tc>
        <w:tc>
          <w:tcPr>
            <w:tcW w:w="1800" w:type="dxa"/>
            <w:vAlign w:val="bottom"/>
          </w:tcPr>
          <w:p>
            <w:pPr>
              <w:jc w:val="center"/>
              <w:ind w:right="248"/>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48"/>
        </w:trPr>
        <w:tc>
          <w:tcPr>
            <w:tcW w:w="1760" w:type="dxa"/>
            <w:vAlign w:val="bottom"/>
            <w:vMerge w:val="restart"/>
          </w:tcPr>
          <w:p>
            <w:pPr>
              <w:jc w:val="center"/>
              <w:ind w:right="110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340" w:type="dxa"/>
            <w:vAlign w:val="bottom"/>
            <w:vMerge w:val="restart"/>
          </w:tcPr>
          <w:p>
            <w:pPr>
              <w:jc w:val="center"/>
              <w:ind w:right="888"/>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1940" w:type="dxa"/>
            <w:vAlign w:val="bottom"/>
          </w:tcPr>
          <w:p>
            <w:pPr>
              <w:jc w:val="center"/>
              <w:ind w:right="828"/>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800" w:type="dxa"/>
            <w:vAlign w:val="bottom"/>
          </w:tcPr>
          <w:p>
            <w:pPr>
              <w:jc w:val="center"/>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Market or</w:t>
            </w:r>
          </w:p>
        </w:tc>
        <w:tc>
          <w:tcPr>
            <w:tcW w:w="0" w:type="dxa"/>
            <w:vAlign w:val="bottom"/>
          </w:tcPr>
          <w:p>
            <w:pPr>
              <w:spacing w:after="0"/>
              <w:rPr>
                <w:sz w:val="1"/>
                <w:szCs w:val="1"/>
                <w:color w:val="auto"/>
              </w:rPr>
            </w:pPr>
          </w:p>
        </w:tc>
      </w:tr>
      <w:tr>
        <w:trPr>
          <w:trHeight w:val="149"/>
        </w:trPr>
        <w:tc>
          <w:tcPr>
            <w:tcW w:w="1760" w:type="dxa"/>
            <w:vAlign w:val="bottom"/>
            <w:vMerge w:val="continue"/>
          </w:tcPr>
          <w:p>
            <w:pPr>
              <w:spacing w:after="0"/>
              <w:rPr>
                <w:sz w:val="12"/>
                <w:szCs w:val="12"/>
                <w:color w:val="auto"/>
              </w:rPr>
            </w:pPr>
          </w:p>
        </w:tc>
        <w:tc>
          <w:tcPr>
            <w:tcW w:w="2340" w:type="dxa"/>
            <w:vAlign w:val="bottom"/>
            <w:vMerge w:val="continue"/>
          </w:tcPr>
          <w:p>
            <w:pPr>
              <w:spacing w:after="0"/>
              <w:rPr>
                <w:sz w:val="12"/>
                <w:szCs w:val="12"/>
                <w:color w:val="auto"/>
              </w:rPr>
            </w:pPr>
          </w:p>
        </w:tc>
        <w:tc>
          <w:tcPr>
            <w:tcW w:w="1940" w:type="dxa"/>
            <w:vAlign w:val="bottom"/>
          </w:tcPr>
          <w:p>
            <w:pPr>
              <w:jc w:val="center"/>
              <w:ind w:right="848"/>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1800" w:type="dxa"/>
            <w:vAlign w:val="bottom"/>
          </w:tcPr>
          <w:p>
            <w:pPr>
              <w:jc w:val="center"/>
              <w:ind w:right="268"/>
              <w:spacing w:after="0" w:line="149" w:lineRule="exact"/>
              <w:rPr>
                <w:sz w:val="20"/>
                <w:szCs w:val="20"/>
                <w:color w:val="auto"/>
              </w:rPr>
            </w:pPr>
            <w:r>
              <w:rPr>
                <w:rFonts w:ascii="Times New Roman" w:cs="Times New Roman" w:eastAsia="Times New Roman" w:hAnsi="Times New Roman"/>
                <w:sz w:val="14"/>
                <w:szCs w:val="14"/>
                <w:b w:val="1"/>
                <w:bCs w:val="1"/>
                <w:color w:val="auto"/>
                <w:w w:val="99"/>
              </w:rPr>
              <w:t>Payout</w:t>
            </w:r>
          </w:p>
        </w:tc>
        <w:tc>
          <w:tcPr>
            <w:tcW w:w="0" w:type="dxa"/>
            <w:vAlign w:val="bottom"/>
          </w:tcPr>
          <w:p>
            <w:pPr>
              <w:spacing w:after="0"/>
              <w:rPr>
                <w:sz w:val="1"/>
                <w:szCs w:val="1"/>
                <w:color w:val="auto"/>
              </w:rPr>
            </w:pPr>
          </w:p>
        </w:tc>
      </w:tr>
      <w:tr>
        <w:trPr>
          <w:trHeight w:val="135"/>
        </w:trPr>
        <w:tc>
          <w:tcPr>
            <w:tcW w:w="1760" w:type="dxa"/>
            <w:vAlign w:val="bottom"/>
          </w:tcPr>
          <w:p>
            <w:pPr>
              <w:jc w:val="center"/>
              <w:ind w:right="1108"/>
              <w:spacing w:after="0" w:line="135"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340" w:type="dxa"/>
            <w:vAlign w:val="bottom"/>
          </w:tcPr>
          <w:p>
            <w:pPr>
              <w:jc w:val="center"/>
              <w:ind w:right="888"/>
              <w:spacing w:after="0" w:line="135"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1940" w:type="dxa"/>
            <w:vAlign w:val="bottom"/>
          </w:tcPr>
          <w:p>
            <w:pPr>
              <w:jc w:val="center"/>
              <w:ind w:right="828"/>
              <w:spacing w:after="0" w:line="135" w:lineRule="exact"/>
              <w:rPr>
                <w:sz w:val="20"/>
                <w:szCs w:val="20"/>
                <w:color w:val="auto"/>
              </w:rPr>
            </w:pPr>
            <w:r>
              <w:rPr>
                <w:rFonts w:ascii="Times New Roman" w:cs="Times New Roman" w:eastAsia="Times New Roman" w:hAnsi="Times New Roman"/>
                <w:sz w:val="14"/>
                <w:szCs w:val="14"/>
                <w:b w:val="1"/>
                <w:bCs w:val="1"/>
                <w:color w:val="auto"/>
              </w:rPr>
              <w:t>of Unearned</w:t>
            </w:r>
          </w:p>
        </w:tc>
        <w:tc>
          <w:tcPr>
            <w:tcW w:w="1800" w:type="dxa"/>
            <w:vAlign w:val="bottom"/>
          </w:tcPr>
          <w:p>
            <w:pPr>
              <w:jc w:val="center"/>
              <w:ind w:right="268"/>
              <w:spacing w:after="0" w:line="135"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8"/>
        </w:trPr>
        <w:tc>
          <w:tcPr>
            <w:tcW w:w="1760" w:type="dxa"/>
            <w:vAlign w:val="bottom"/>
          </w:tcPr>
          <w:p>
            <w:pPr>
              <w:jc w:val="center"/>
              <w:ind w:right="1108"/>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2340" w:type="dxa"/>
            <w:vAlign w:val="bottom"/>
          </w:tcPr>
          <w:p>
            <w:pPr>
              <w:jc w:val="center"/>
              <w:ind w:right="888"/>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940" w:type="dxa"/>
            <w:vAlign w:val="bottom"/>
          </w:tcPr>
          <w:p>
            <w:pPr>
              <w:jc w:val="center"/>
              <w:ind w:right="848"/>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800" w:type="dxa"/>
            <w:vAlign w:val="bottom"/>
          </w:tcPr>
          <w:p>
            <w:pPr>
              <w:jc w:val="center"/>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0" w:type="dxa"/>
            <w:vAlign w:val="bottom"/>
          </w:tcPr>
          <w:p>
            <w:pPr>
              <w:spacing w:after="0"/>
              <w:rPr>
                <w:sz w:val="1"/>
                <w:szCs w:val="1"/>
                <w:color w:val="auto"/>
              </w:rPr>
            </w:pPr>
          </w:p>
        </w:tc>
      </w:tr>
      <w:tr>
        <w:trPr>
          <w:trHeight w:val="148"/>
        </w:trPr>
        <w:tc>
          <w:tcPr>
            <w:tcW w:w="1760" w:type="dxa"/>
            <w:vAlign w:val="bottom"/>
          </w:tcPr>
          <w:p>
            <w:pPr>
              <w:jc w:val="center"/>
              <w:ind w:right="1108"/>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2340" w:type="dxa"/>
            <w:vAlign w:val="bottom"/>
          </w:tcPr>
          <w:p>
            <w:pPr>
              <w:jc w:val="center"/>
              <w:ind w:right="888"/>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1940" w:type="dxa"/>
            <w:vAlign w:val="bottom"/>
          </w:tcPr>
          <w:p>
            <w:pPr>
              <w:jc w:val="center"/>
              <w:ind w:right="848"/>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1800" w:type="dxa"/>
            <w:vAlign w:val="bottom"/>
          </w:tcPr>
          <w:p>
            <w:pPr>
              <w:jc w:val="center"/>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35"/>
        </w:trPr>
        <w:tc>
          <w:tcPr>
            <w:tcW w:w="1760" w:type="dxa"/>
            <w:vAlign w:val="bottom"/>
          </w:tcPr>
          <w:p>
            <w:pPr>
              <w:jc w:val="center"/>
              <w:ind w:right="1108"/>
              <w:spacing w:after="0" w:line="135" w:lineRule="exact"/>
              <w:rPr>
                <w:sz w:val="20"/>
                <w:szCs w:val="20"/>
                <w:color w:val="auto"/>
              </w:rPr>
            </w:pPr>
            <w:r>
              <w:rPr>
                <w:rFonts w:ascii="Times New Roman" w:cs="Times New Roman" w:eastAsia="Times New Roman" w:hAnsi="Times New Roman"/>
                <w:sz w:val="14"/>
                <w:szCs w:val="14"/>
                <w:b w:val="1"/>
                <w:bCs w:val="1"/>
                <w:color w:val="auto"/>
              </w:rPr>
              <w:t>that</w:t>
            </w:r>
          </w:p>
        </w:tc>
        <w:tc>
          <w:tcPr>
            <w:tcW w:w="2340" w:type="dxa"/>
            <w:vAlign w:val="bottom"/>
          </w:tcPr>
          <w:p>
            <w:pPr>
              <w:jc w:val="center"/>
              <w:ind w:right="888"/>
              <w:spacing w:after="0" w:line="135"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1940" w:type="dxa"/>
            <w:vAlign w:val="bottom"/>
          </w:tcPr>
          <w:p>
            <w:pPr>
              <w:jc w:val="center"/>
              <w:ind w:right="848"/>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0" w:type="dxa"/>
            <w:vAlign w:val="bottom"/>
          </w:tcPr>
          <w:p>
            <w:pPr>
              <w:jc w:val="center"/>
              <w:ind w:right="268"/>
              <w:spacing w:after="0" w:line="135"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0" w:type="dxa"/>
            <w:vAlign w:val="bottom"/>
          </w:tcPr>
          <w:p>
            <w:pPr>
              <w:spacing w:after="0"/>
              <w:rPr>
                <w:sz w:val="1"/>
                <w:szCs w:val="1"/>
                <w:color w:val="auto"/>
              </w:rPr>
            </w:pPr>
          </w:p>
        </w:tc>
      </w:tr>
      <w:tr>
        <w:trPr>
          <w:trHeight w:val="148"/>
        </w:trPr>
        <w:tc>
          <w:tcPr>
            <w:tcW w:w="1760" w:type="dxa"/>
            <w:vAlign w:val="bottom"/>
          </w:tcPr>
          <w:p>
            <w:pPr>
              <w:jc w:val="center"/>
              <w:ind w:right="1088"/>
              <w:spacing w:after="0" w:line="149" w:lineRule="exact"/>
              <w:rPr>
                <w:sz w:val="20"/>
                <w:szCs w:val="20"/>
                <w:color w:val="auto"/>
              </w:rPr>
            </w:pPr>
            <w:r>
              <w:rPr>
                <w:rFonts w:ascii="Times New Roman" w:cs="Times New Roman" w:eastAsia="Times New Roman" w:hAnsi="Times New Roman"/>
                <w:sz w:val="14"/>
                <w:szCs w:val="14"/>
                <w:b w:val="1"/>
                <w:bCs w:val="1"/>
                <w:color w:val="auto"/>
              </w:rPr>
              <w:t>Have</w:t>
            </w:r>
          </w:p>
        </w:tc>
        <w:tc>
          <w:tcPr>
            <w:tcW w:w="2340" w:type="dxa"/>
            <w:vAlign w:val="bottom"/>
          </w:tcPr>
          <w:p>
            <w:pPr>
              <w:jc w:val="center"/>
              <w:ind w:right="888"/>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1940" w:type="dxa"/>
            <w:vAlign w:val="bottom"/>
          </w:tcPr>
          <w:p>
            <w:pPr>
              <w:jc w:val="center"/>
              <w:ind w:right="828"/>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1800" w:type="dxa"/>
            <w:vAlign w:val="bottom"/>
          </w:tcPr>
          <w:p>
            <w:pPr>
              <w:jc w:val="center"/>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other Rights</w:t>
            </w:r>
          </w:p>
        </w:tc>
        <w:tc>
          <w:tcPr>
            <w:tcW w:w="0" w:type="dxa"/>
            <w:vAlign w:val="bottom"/>
          </w:tcPr>
          <w:p>
            <w:pPr>
              <w:spacing w:after="0"/>
              <w:rPr>
                <w:sz w:val="1"/>
                <w:szCs w:val="1"/>
                <w:color w:val="auto"/>
              </w:rPr>
            </w:pPr>
          </w:p>
        </w:tc>
      </w:tr>
      <w:tr>
        <w:trPr>
          <w:trHeight w:val="148"/>
        </w:trPr>
        <w:tc>
          <w:tcPr>
            <w:tcW w:w="1760" w:type="dxa"/>
            <w:vAlign w:val="bottom"/>
          </w:tcPr>
          <w:p>
            <w:pPr>
              <w:jc w:val="center"/>
              <w:ind w:right="1108"/>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2340" w:type="dxa"/>
            <w:vAlign w:val="bottom"/>
          </w:tcPr>
          <w:p>
            <w:pPr>
              <w:jc w:val="center"/>
              <w:ind w:right="888"/>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940" w:type="dxa"/>
            <w:vAlign w:val="bottom"/>
          </w:tcPr>
          <w:p>
            <w:pPr>
              <w:jc w:val="center"/>
              <w:ind w:right="828"/>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1800" w:type="dxa"/>
            <w:vAlign w:val="bottom"/>
          </w:tcPr>
          <w:p>
            <w:pPr>
              <w:jc w:val="center"/>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0" w:type="dxa"/>
            <w:vAlign w:val="bottom"/>
          </w:tcPr>
          <w:p>
            <w:pPr>
              <w:spacing w:after="0"/>
              <w:rPr>
                <w:sz w:val="1"/>
                <w:szCs w:val="1"/>
                <w:color w:val="auto"/>
              </w:rPr>
            </w:pPr>
          </w:p>
        </w:tc>
      </w:tr>
      <w:tr>
        <w:trPr>
          <w:trHeight w:val="135"/>
        </w:trPr>
        <w:tc>
          <w:tcPr>
            <w:tcW w:w="1760" w:type="dxa"/>
            <w:vAlign w:val="bottom"/>
          </w:tcPr>
          <w:p>
            <w:pPr>
              <w:jc w:val="center"/>
              <w:ind w:right="1088"/>
              <w:spacing w:after="0" w:line="135"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2340" w:type="dxa"/>
            <w:vAlign w:val="bottom"/>
          </w:tcPr>
          <w:p>
            <w:pPr>
              <w:jc w:val="center"/>
              <w:ind w:right="868"/>
              <w:spacing w:after="0" w:line="135"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1940" w:type="dxa"/>
            <w:vAlign w:val="bottom"/>
          </w:tcPr>
          <w:p>
            <w:pPr>
              <w:jc w:val="center"/>
              <w:ind w:right="848"/>
              <w:spacing w:after="0" w:line="135"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1800" w:type="dxa"/>
            <w:vAlign w:val="bottom"/>
          </w:tcPr>
          <w:p>
            <w:pPr>
              <w:jc w:val="center"/>
              <w:ind w:right="268"/>
              <w:spacing w:after="0" w:line="135"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0" w:type="dxa"/>
            <w:vAlign w:val="bottom"/>
          </w:tcPr>
          <w:p>
            <w:pPr>
              <w:spacing w:after="0"/>
              <w:rPr>
                <w:sz w:val="1"/>
                <w:szCs w:val="1"/>
                <w:color w:val="auto"/>
              </w:rPr>
            </w:pPr>
          </w:p>
        </w:tc>
      </w:tr>
      <w:tr>
        <w:trPr>
          <w:trHeight w:val="193"/>
        </w:trPr>
        <w:tc>
          <w:tcPr>
            <w:tcW w:w="1760" w:type="dxa"/>
            <w:vAlign w:val="bottom"/>
          </w:tcPr>
          <w:p>
            <w:pPr>
              <w:jc w:val="center"/>
              <w:ind w:right="1108"/>
              <w:spacing w:after="0"/>
              <w:rPr>
                <w:sz w:val="20"/>
                <w:szCs w:val="20"/>
                <w:color w:val="auto"/>
              </w:rPr>
            </w:pPr>
            <w:r>
              <w:rPr>
                <w:rFonts w:ascii="Times New Roman" w:cs="Times New Roman" w:eastAsia="Times New Roman" w:hAnsi="Times New Roman"/>
                <w:sz w:val="14"/>
                <w:szCs w:val="14"/>
                <w:b w:val="1"/>
                <w:bCs w:val="1"/>
                <w:color w:val="auto"/>
              </w:rPr>
              <w:t>(#)</w:t>
            </w:r>
          </w:p>
        </w:tc>
        <w:tc>
          <w:tcPr>
            <w:tcW w:w="2340" w:type="dxa"/>
            <w:vAlign w:val="bottom"/>
          </w:tcPr>
          <w:p>
            <w:pPr>
              <w:jc w:val="center"/>
              <w:ind w:right="888"/>
              <w:spacing w:after="0"/>
              <w:rPr>
                <w:sz w:val="20"/>
                <w:szCs w:val="20"/>
                <w:color w:val="auto"/>
              </w:rPr>
            </w:pPr>
            <w:r>
              <w:rPr>
                <w:rFonts w:ascii="Times New Roman" w:cs="Times New Roman" w:eastAsia="Times New Roman" w:hAnsi="Times New Roman"/>
                <w:sz w:val="14"/>
                <w:szCs w:val="14"/>
                <w:b w:val="1"/>
                <w:bCs w:val="1"/>
                <w:color w:val="auto"/>
              </w:rPr>
              <w:t>($)(1)</w:t>
            </w:r>
          </w:p>
        </w:tc>
        <w:tc>
          <w:tcPr>
            <w:tcW w:w="1940" w:type="dxa"/>
            <w:vAlign w:val="bottom"/>
          </w:tcPr>
          <w:p>
            <w:pPr>
              <w:jc w:val="center"/>
              <w:ind w:right="848"/>
              <w:spacing w:after="0"/>
              <w:rPr>
                <w:sz w:val="20"/>
                <w:szCs w:val="20"/>
                <w:color w:val="auto"/>
              </w:rPr>
            </w:pPr>
            <w:r>
              <w:rPr>
                <w:rFonts w:ascii="Times New Roman" w:cs="Times New Roman" w:eastAsia="Times New Roman" w:hAnsi="Times New Roman"/>
                <w:sz w:val="14"/>
                <w:szCs w:val="14"/>
                <w:b w:val="1"/>
                <w:bCs w:val="1"/>
                <w:color w:val="auto"/>
              </w:rPr>
              <w:t>(#)</w:t>
            </w:r>
          </w:p>
        </w:tc>
        <w:tc>
          <w:tcPr>
            <w:tcW w:w="1800" w:type="dxa"/>
            <w:vAlign w:val="bottom"/>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($)(1)</w:t>
            </w:r>
          </w:p>
        </w:tc>
        <w:tc>
          <w:tcPr>
            <w:tcW w:w="0" w:type="dxa"/>
            <w:vAlign w:val="bottom"/>
          </w:tcPr>
          <w:p>
            <w:pPr>
              <w:spacing w:after="0"/>
              <w:rPr>
                <w:sz w:val="1"/>
                <w:szCs w:val="1"/>
                <w:color w:val="auto"/>
              </w:rPr>
            </w:pPr>
          </w:p>
        </w:tc>
      </w:tr>
      <w:tr>
        <w:trPr>
          <w:trHeight w:val="216"/>
        </w:trPr>
        <w:tc>
          <w:tcPr>
            <w:tcW w:w="176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7,645(2)</w:t>
            </w:r>
          </w:p>
        </w:tc>
        <w:tc>
          <w:tcPr>
            <w:tcW w:w="234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755,708</w:t>
            </w:r>
          </w:p>
        </w:tc>
        <w:tc>
          <w:tcPr>
            <w:tcW w:w="19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11,930(8)</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1,179,281</w:t>
            </w:r>
          </w:p>
        </w:tc>
        <w:tc>
          <w:tcPr>
            <w:tcW w:w="0" w:type="dxa"/>
            <w:vAlign w:val="bottom"/>
          </w:tcPr>
          <w:p>
            <w:pPr>
              <w:spacing w:after="0"/>
              <w:rPr>
                <w:sz w:val="1"/>
                <w:szCs w:val="1"/>
                <w:color w:val="auto"/>
              </w:rPr>
            </w:pPr>
          </w:p>
        </w:tc>
      </w:tr>
      <w:tr>
        <w:trPr>
          <w:trHeight w:val="229"/>
        </w:trPr>
        <w:tc>
          <w:tcPr>
            <w:tcW w:w="176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15,906(3)</w:t>
            </w:r>
          </w:p>
        </w:tc>
        <w:tc>
          <w:tcPr>
            <w:tcW w:w="234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1,572,308</w:t>
            </w:r>
          </w:p>
        </w:tc>
        <w:tc>
          <w:tcPr>
            <w:tcW w:w="19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43,988(9)</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4,348,214</w:t>
            </w:r>
          </w:p>
        </w:tc>
        <w:tc>
          <w:tcPr>
            <w:tcW w:w="0" w:type="dxa"/>
            <w:vAlign w:val="bottom"/>
          </w:tcPr>
          <w:p>
            <w:pPr>
              <w:spacing w:after="0"/>
              <w:rPr>
                <w:sz w:val="1"/>
                <w:szCs w:val="1"/>
                <w:color w:val="auto"/>
              </w:rPr>
            </w:pPr>
          </w:p>
        </w:tc>
      </w:tr>
      <w:tr>
        <w:trPr>
          <w:trHeight w:val="203"/>
        </w:trPr>
        <w:tc>
          <w:tcPr>
            <w:tcW w:w="176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43,988(4)</w:t>
            </w:r>
          </w:p>
        </w:tc>
        <w:tc>
          <w:tcPr>
            <w:tcW w:w="234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4,348,214</w:t>
            </w:r>
          </w:p>
        </w:tc>
        <w:tc>
          <w:tcPr>
            <w:tcW w:w="19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47,000(10)</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4,645,950</w:t>
            </w:r>
          </w:p>
        </w:tc>
        <w:tc>
          <w:tcPr>
            <w:tcW w:w="0" w:type="dxa"/>
            <w:vAlign w:val="bottom"/>
          </w:tcPr>
          <w:p>
            <w:pPr>
              <w:spacing w:after="0"/>
              <w:rPr>
                <w:sz w:val="1"/>
                <w:szCs w:val="1"/>
                <w:color w:val="auto"/>
              </w:rPr>
            </w:pPr>
          </w:p>
        </w:tc>
      </w:tr>
      <w:tr>
        <w:trPr>
          <w:trHeight w:val="203"/>
        </w:trPr>
        <w:tc>
          <w:tcPr>
            <w:tcW w:w="176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62,667(5)</w:t>
            </w:r>
          </w:p>
        </w:tc>
        <w:tc>
          <w:tcPr>
            <w:tcW w:w="234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6,194,633</w:t>
            </w:r>
          </w:p>
        </w:tc>
        <w:tc>
          <w:tcPr>
            <w:tcW w:w="19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6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71,480(6)</w:t>
            </w:r>
          </w:p>
        </w:tc>
        <w:tc>
          <w:tcPr>
            <w:tcW w:w="234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7,065,798</w:t>
            </w:r>
          </w:p>
        </w:tc>
        <w:tc>
          <w:tcPr>
            <w:tcW w:w="19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6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14,253(7)</w:t>
            </w:r>
          </w:p>
        </w:tc>
        <w:tc>
          <w:tcPr>
            <w:tcW w:w="234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1,408,909</w:t>
            </w:r>
          </w:p>
        </w:tc>
        <w:tc>
          <w:tcPr>
            <w:tcW w:w="19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6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2,363(2)</w:t>
            </w:r>
          </w:p>
        </w:tc>
        <w:tc>
          <w:tcPr>
            <w:tcW w:w="234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233,583</w:t>
            </w:r>
          </w:p>
        </w:tc>
        <w:tc>
          <w:tcPr>
            <w:tcW w:w="19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3,766(8)</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372,269</w:t>
            </w:r>
          </w:p>
        </w:tc>
        <w:tc>
          <w:tcPr>
            <w:tcW w:w="0" w:type="dxa"/>
            <w:vAlign w:val="bottom"/>
          </w:tcPr>
          <w:p>
            <w:pPr>
              <w:spacing w:after="0"/>
              <w:rPr>
                <w:sz w:val="1"/>
                <w:szCs w:val="1"/>
                <w:color w:val="auto"/>
              </w:rPr>
            </w:pPr>
          </w:p>
        </w:tc>
      </w:tr>
      <w:tr>
        <w:trPr>
          <w:trHeight w:val="203"/>
        </w:trPr>
        <w:tc>
          <w:tcPr>
            <w:tcW w:w="176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5,021(3)</w:t>
            </w:r>
          </w:p>
        </w:tc>
        <w:tc>
          <w:tcPr>
            <w:tcW w:w="234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496,326</w:t>
            </w:r>
          </w:p>
        </w:tc>
        <w:tc>
          <w:tcPr>
            <w:tcW w:w="19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12,519(9)</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1,237,503</w:t>
            </w:r>
          </w:p>
        </w:tc>
        <w:tc>
          <w:tcPr>
            <w:tcW w:w="0" w:type="dxa"/>
            <w:vAlign w:val="bottom"/>
          </w:tcPr>
          <w:p>
            <w:pPr>
              <w:spacing w:after="0"/>
              <w:rPr>
                <w:sz w:val="1"/>
                <w:szCs w:val="1"/>
                <w:color w:val="auto"/>
              </w:rPr>
            </w:pPr>
          </w:p>
        </w:tc>
      </w:tr>
      <w:tr>
        <w:trPr>
          <w:trHeight w:val="203"/>
        </w:trPr>
        <w:tc>
          <w:tcPr>
            <w:tcW w:w="176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12,519(4)</w:t>
            </w:r>
          </w:p>
        </w:tc>
        <w:tc>
          <w:tcPr>
            <w:tcW w:w="234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1,237,503</w:t>
            </w:r>
          </w:p>
        </w:tc>
        <w:tc>
          <w:tcPr>
            <w:tcW w:w="19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12,757(10)</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1,261,029</w:t>
            </w:r>
          </w:p>
        </w:tc>
        <w:tc>
          <w:tcPr>
            <w:tcW w:w="0" w:type="dxa"/>
            <w:vAlign w:val="bottom"/>
          </w:tcPr>
          <w:p>
            <w:pPr>
              <w:spacing w:after="0"/>
              <w:rPr>
                <w:sz w:val="1"/>
                <w:szCs w:val="1"/>
                <w:color w:val="auto"/>
              </w:rPr>
            </w:pPr>
          </w:p>
        </w:tc>
      </w:tr>
      <w:tr>
        <w:trPr>
          <w:trHeight w:val="203"/>
        </w:trPr>
        <w:tc>
          <w:tcPr>
            <w:tcW w:w="176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17,009(5)</w:t>
            </w:r>
          </w:p>
        </w:tc>
        <w:tc>
          <w:tcPr>
            <w:tcW w:w="234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1,681,340</w:t>
            </w:r>
          </w:p>
        </w:tc>
        <w:tc>
          <w:tcPr>
            <w:tcW w:w="19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6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20,345(6)</w:t>
            </w:r>
          </w:p>
        </w:tc>
        <w:tc>
          <w:tcPr>
            <w:tcW w:w="234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2,011,103</w:t>
            </w:r>
          </w:p>
        </w:tc>
        <w:tc>
          <w:tcPr>
            <w:tcW w:w="19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6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3,868(7)</w:t>
            </w:r>
          </w:p>
        </w:tc>
        <w:tc>
          <w:tcPr>
            <w:tcW w:w="234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382,352</w:t>
            </w:r>
          </w:p>
        </w:tc>
        <w:tc>
          <w:tcPr>
            <w:tcW w:w="19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6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2,293(2)</w:t>
            </w:r>
          </w:p>
        </w:tc>
        <w:tc>
          <w:tcPr>
            <w:tcW w:w="234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226,663</w:t>
            </w:r>
          </w:p>
        </w:tc>
        <w:tc>
          <w:tcPr>
            <w:tcW w:w="19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3,658(8)</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361,593</w:t>
            </w:r>
          </w:p>
        </w:tc>
        <w:tc>
          <w:tcPr>
            <w:tcW w:w="0" w:type="dxa"/>
            <w:vAlign w:val="bottom"/>
          </w:tcPr>
          <w:p>
            <w:pPr>
              <w:spacing w:after="0"/>
              <w:rPr>
                <w:sz w:val="1"/>
                <w:szCs w:val="1"/>
                <w:color w:val="auto"/>
              </w:rPr>
            </w:pPr>
          </w:p>
        </w:tc>
      </w:tr>
      <w:tr>
        <w:trPr>
          <w:trHeight w:val="202"/>
        </w:trPr>
        <w:tc>
          <w:tcPr>
            <w:tcW w:w="176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4,878(3)</w:t>
            </w:r>
          </w:p>
        </w:tc>
        <w:tc>
          <w:tcPr>
            <w:tcW w:w="234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482,190</w:t>
            </w:r>
          </w:p>
        </w:tc>
        <w:tc>
          <w:tcPr>
            <w:tcW w:w="19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13,230(9)</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1,307,786</w:t>
            </w:r>
          </w:p>
        </w:tc>
        <w:tc>
          <w:tcPr>
            <w:tcW w:w="0" w:type="dxa"/>
            <w:vAlign w:val="bottom"/>
          </w:tcPr>
          <w:p>
            <w:pPr>
              <w:spacing w:after="0"/>
              <w:rPr>
                <w:sz w:val="1"/>
                <w:szCs w:val="1"/>
                <w:color w:val="auto"/>
              </w:rPr>
            </w:pPr>
          </w:p>
        </w:tc>
      </w:tr>
      <w:tr>
        <w:trPr>
          <w:trHeight w:val="203"/>
        </w:trPr>
        <w:tc>
          <w:tcPr>
            <w:tcW w:w="176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13,230(4)</w:t>
            </w:r>
          </w:p>
        </w:tc>
        <w:tc>
          <w:tcPr>
            <w:tcW w:w="234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1,307,786</w:t>
            </w:r>
          </w:p>
        </w:tc>
        <w:tc>
          <w:tcPr>
            <w:tcW w:w="19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13,428(10)</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1,327,358</w:t>
            </w:r>
          </w:p>
        </w:tc>
        <w:tc>
          <w:tcPr>
            <w:tcW w:w="0" w:type="dxa"/>
            <w:vAlign w:val="bottom"/>
          </w:tcPr>
          <w:p>
            <w:pPr>
              <w:spacing w:after="0"/>
              <w:rPr>
                <w:sz w:val="1"/>
                <w:szCs w:val="1"/>
                <w:color w:val="auto"/>
              </w:rPr>
            </w:pPr>
          </w:p>
        </w:tc>
      </w:tr>
      <w:tr>
        <w:trPr>
          <w:trHeight w:val="203"/>
        </w:trPr>
        <w:tc>
          <w:tcPr>
            <w:tcW w:w="176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17,905(5)</w:t>
            </w:r>
          </w:p>
        </w:tc>
        <w:tc>
          <w:tcPr>
            <w:tcW w:w="234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1,769,909</w:t>
            </w:r>
          </w:p>
        </w:tc>
        <w:tc>
          <w:tcPr>
            <w:tcW w:w="19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6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21,498(6)</w:t>
            </w:r>
          </w:p>
        </w:tc>
        <w:tc>
          <w:tcPr>
            <w:tcW w:w="234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2,125,077</w:t>
            </w:r>
          </w:p>
        </w:tc>
        <w:tc>
          <w:tcPr>
            <w:tcW w:w="19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6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4,072(7)</w:t>
            </w:r>
          </w:p>
        </w:tc>
        <w:tc>
          <w:tcPr>
            <w:tcW w:w="234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402,517</w:t>
            </w:r>
          </w:p>
        </w:tc>
        <w:tc>
          <w:tcPr>
            <w:tcW w:w="19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6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2,015(2)</w:t>
            </w:r>
          </w:p>
        </w:tc>
        <w:tc>
          <w:tcPr>
            <w:tcW w:w="234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199,183</w:t>
            </w:r>
          </w:p>
        </w:tc>
        <w:tc>
          <w:tcPr>
            <w:tcW w:w="19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3,658(8)</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361,593</w:t>
            </w:r>
          </w:p>
        </w:tc>
        <w:tc>
          <w:tcPr>
            <w:tcW w:w="0" w:type="dxa"/>
            <w:vAlign w:val="bottom"/>
          </w:tcPr>
          <w:p>
            <w:pPr>
              <w:spacing w:after="0"/>
              <w:rPr>
                <w:sz w:val="1"/>
                <w:szCs w:val="1"/>
                <w:color w:val="auto"/>
              </w:rPr>
            </w:pPr>
          </w:p>
        </w:tc>
      </w:tr>
      <w:tr>
        <w:trPr>
          <w:trHeight w:val="203"/>
        </w:trPr>
        <w:tc>
          <w:tcPr>
            <w:tcW w:w="176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4,878(3)</w:t>
            </w:r>
          </w:p>
        </w:tc>
        <w:tc>
          <w:tcPr>
            <w:tcW w:w="234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482,190</w:t>
            </w:r>
          </w:p>
        </w:tc>
        <w:tc>
          <w:tcPr>
            <w:tcW w:w="19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13,230(9)</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1,307,786</w:t>
            </w:r>
          </w:p>
        </w:tc>
        <w:tc>
          <w:tcPr>
            <w:tcW w:w="0" w:type="dxa"/>
            <w:vAlign w:val="bottom"/>
          </w:tcPr>
          <w:p>
            <w:pPr>
              <w:spacing w:after="0"/>
              <w:rPr>
                <w:sz w:val="1"/>
                <w:szCs w:val="1"/>
                <w:color w:val="auto"/>
              </w:rPr>
            </w:pPr>
          </w:p>
        </w:tc>
      </w:tr>
      <w:tr>
        <w:trPr>
          <w:trHeight w:val="203"/>
        </w:trPr>
        <w:tc>
          <w:tcPr>
            <w:tcW w:w="176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13,230(4)</w:t>
            </w:r>
          </w:p>
        </w:tc>
        <w:tc>
          <w:tcPr>
            <w:tcW w:w="234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1,307,786</w:t>
            </w:r>
          </w:p>
        </w:tc>
        <w:tc>
          <w:tcPr>
            <w:tcW w:w="19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13,428(10)</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1,327,358</w:t>
            </w:r>
          </w:p>
        </w:tc>
        <w:tc>
          <w:tcPr>
            <w:tcW w:w="0" w:type="dxa"/>
            <w:vAlign w:val="bottom"/>
          </w:tcPr>
          <w:p>
            <w:pPr>
              <w:spacing w:after="0"/>
              <w:rPr>
                <w:sz w:val="1"/>
                <w:szCs w:val="1"/>
                <w:color w:val="auto"/>
              </w:rPr>
            </w:pPr>
          </w:p>
        </w:tc>
      </w:tr>
      <w:tr>
        <w:trPr>
          <w:trHeight w:val="203"/>
        </w:trPr>
        <w:tc>
          <w:tcPr>
            <w:tcW w:w="176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17,905(5)</w:t>
            </w:r>
          </w:p>
        </w:tc>
        <w:tc>
          <w:tcPr>
            <w:tcW w:w="234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1,769,909</w:t>
            </w:r>
          </w:p>
        </w:tc>
        <w:tc>
          <w:tcPr>
            <w:tcW w:w="19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6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21,498(6)</w:t>
            </w:r>
          </w:p>
        </w:tc>
        <w:tc>
          <w:tcPr>
            <w:tcW w:w="234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2,125,077</w:t>
            </w:r>
          </w:p>
        </w:tc>
        <w:tc>
          <w:tcPr>
            <w:tcW w:w="19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6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4,072(7)</w:t>
            </w:r>
          </w:p>
        </w:tc>
        <w:tc>
          <w:tcPr>
            <w:tcW w:w="234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402,517</w:t>
            </w:r>
          </w:p>
        </w:tc>
        <w:tc>
          <w:tcPr>
            <w:tcW w:w="19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6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1,876(2)</w:t>
            </w:r>
          </w:p>
        </w:tc>
        <w:tc>
          <w:tcPr>
            <w:tcW w:w="234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185,443</w:t>
            </w:r>
          </w:p>
        </w:tc>
        <w:tc>
          <w:tcPr>
            <w:tcW w:w="19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3,012(8)</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297,736</w:t>
            </w:r>
          </w:p>
        </w:tc>
        <w:tc>
          <w:tcPr>
            <w:tcW w:w="0" w:type="dxa"/>
            <w:vAlign w:val="bottom"/>
          </w:tcPr>
          <w:p>
            <w:pPr>
              <w:spacing w:after="0"/>
              <w:rPr>
                <w:sz w:val="1"/>
                <w:szCs w:val="1"/>
                <w:color w:val="auto"/>
              </w:rPr>
            </w:pPr>
          </w:p>
        </w:tc>
      </w:tr>
      <w:tr>
        <w:trPr>
          <w:trHeight w:val="203"/>
        </w:trPr>
        <w:tc>
          <w:tcPr>
            <w:tcW w:w="176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4,016(3)</w:t>
            </w:r>
          </w:p>
        </w:tc>
        <w:tc>
          <w:tcPr>
            <w:tcW w:w="234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396,982</w:t>
            </w:r>
          </w:p>
        </w:tc>
        <w:tc>
          <w:tcPr>
            <w:tcW w:w="19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10,895(9)</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1,076,971</w:t>
            </w:r>
          </w:p>
        </w:tc>
        <w:tc>
          <w:tcPr>
            <w:tcW w:w="0" w:type="dxa"/>
            <w:vAlign w:val="bottom"/>
          </w:tcPr>
          <w:p>
            <w:pPr>
              <w:spacing w:after="0"/>
              <w:rPr>
                <w:sz w:val="1"/>
                <w:szCs w:val="1"/>
                <w:color w:val="auto"/>
              </w:rPr>
            </w:pPr>
          </w:p>
        </w:tc>
      </w:tr>
      <w:tr>
        <w:trPr>
          <w:trHeight w:val="203"/>
        </w:trPr>
        <w:tc>
          <w:tcPr>
            <w:tcW w:w="176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10,895(4)</w:t>
            </w:r>
          </w:p>
        </w:tc>
        <w:tc>
          <w:tcPr>
            <w:tcW w:w="234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1,076,971</w:t>
            </w:r>
          </w:p>
        </w:tc>
        <w:tc>
          <w:tcPr>
            <w:tcW w:w="19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11,078(10)</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1,095,060</w:t>
            </w:r>
          </w:p>
        </w:tc>
        <w:tc>
          <w:tcPr>
            <w:tcW w:w="0" w:type="dxa"/>
            <w:vAlign w:val="bottom"/>
          </w:tcPr>
          <w:p>
            <w:pPr>
              <w:spacing w:after="0"/>
              <w:rPr>
                <w:sz w:val="1"/>
                <w:szCs w:val="1"/>
                <w:color w:val="auto"/>
              </w:rPr>
            </w:pPr>
          </w:p>
        </w:tc>
      </w:tr>
      <w:tr>
        <w:trPr>
          <w:trHeight w:val="203"/>
        </w:trPr>
        <w:tc>
          <w:tcPr>
            <w:tcW w:w="176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14,771(5)</w:t>
            </w:r>
          </w:p>
        </w:tc>
        <w:tc>
          <w:tcPr>
            <w:tcW w:w="234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1,460,113</w:t>
            </w:r>
          </w:p>
        </w:tc>
        <w:tc>
          <w:tcPr>
            <w:tcW w:w="19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6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17,706(6)</w:t>
            </w:r>
          </w:p>
        </w:tc>
        <w:tc>
          <w:tcPr>
            <w:tcW w:w="234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1,750,238</w:t>
            </w:r>
          </w:p>
        </w:tc>
        <w:tc>
          <w:tcPr>
            <w:tcW w:w="19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6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3,360(7)</w:t>
            </w:r>
          </w:p>
        </w:tc>
        <w:tc>
          <w:tcPr>
            <w:tcW w:w="234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332,136</w:t>
            </w:r>
          </w:p>
        </w:tc>
        <w:tc>
          <w:tcPr>
            <w:tcW w:w="19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-1344295</wp:posOffset>
            </wp:positionH>
            <wp:positionV relativeFrom="paragraph">
              <wp:posOffset>-3730625</wp:posOffset>
            </wp:positionV>
            <wp:extent cx="6334760"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34760" cy="145415"/>
                    </a:xfrm>
                    <a:prstGeom prst="rect">
                      <a:avLst/>
                    </a:prstGeom>
                    <a:noFill/>
                  </pic:spPr>
                </pic:pic>
              </a:graphicData>
            </a:graphic>
          </wp:anchor>
        </w:drawing>
        <w:drawing>
          <wp:anchor simplePos="0" relativeHeight="251657728" behindDoc="1" locked="0" layoutInCell="0" allowOverlap="1">
            <wp:simplePos x="0" y="0"/>
            <wp:positionH relativeFrom="column">
              <wp:posOffset>-1344295</wp:posOffset>
            </wp:positionH>
            <wp:positionV relativeFrom="paragraph">
              <wp:posOffset>-3456305</wp:posOffset>
            </wp:positionV>
            <wp:extent cx="6334760"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34760" cy="128905"/>
                    </a:xfrm>
                    <a:prstGeom prst="rect">
                      <a:avLst/>
                    </a:prstGeom>
                    <a:noFill/>
                  </pic:spPr>
                </pic:pic>
              </a:graphicData>
            </a:graphic>
          </wp:anchor>
        </w:drawing>
        <w:drawing>
          <wp:anchor simplePos="0" relativeHeight="251657728" behindDoc="1" locked="0" layoutInCell="0" allowOverlap="1">
            <wp:simplePos x="0" y="0"/>
            <wp:positionH relativeFrom="column">
              <wp:posOffset>-1344295</wp:posOffset>
            </wp:positionH>
            <wp:positionV relativeFrom="paragraph">
              <wp:posOffset>-3199130</wp:posOffset>
            </wp:positionV>
            <wp:extent cx="6334760"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34760" cy="128905"/>
                    </a:xfrm>
                    <a:prstGeom prst="rect">
                      <a:avLst/>
                    </a:prstGeom>
                    <a:noFill/>
                  </pic:spPr>
                </pic:pic>
              </a:graphicData>
            </a:graphic>
          </wp:anchor>
        </w:drawing>
        <w:drawing>
          <wp:anchor simplePos="0" relativeHeight="251657728" behindDoc="1" locked="0" layoutInCell="0" allowOverlap="1">
            <wp:simplePos x="0" y="0"/>
            <wp:positionH relativeFrom="column">
              <wp:posOffset>-1344295</wp:posOffset>
            </wp:positionH>
            <wp:positionV relativeFrom="paragraph">
              <wp:posOffset>-2941955</wp:posOffset>
            </wp:positionV>
            <wp:extent cx="6334760"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34760" cy="128905"/>
                    </a:xfrm>
                    <a:prstGeom prst="rect">
                      <a:avLst/>
                    </a:prstGeom>
                    <a:noFill/>
                  </pic:spPr>
                </pic:pic>
              </a:graphicData>
            </a:graphic>
          </wp:anchor>
        </w:drawing>
        <w:drawing>
          <wp:anchor simplePos="0" relativeHeight="251657728" behindDoc="1" locked="0" layoutInCell="0" allowOverlap="1">
            <wp:simplePos x="0" y="0"/>
            <wp:positionH relativeFrom="column">
              <wp:posOffset>-1344295</wp:posOffset>
            </wp:positionH>
            <wp:positionV relativeFrom="paragraph">
              <wp:posOffset>-2684780</wp:posOffset>
            </wp:positionV>
            <wp:extent cx="6334760"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34760" cy="128905"/>
                    </a:xfrm>
                    <a:prstGeom prst="rect">
                      <a:avLst/>
                    </a:prstGeom>
                    <a:noFill/>
                  </pic:spPr>
                </pic:pic>
              </a:graphicData>
            </a:graphic>
          </wp:anchor>
        </w:drawing>
        <w:drawing>
          <wp:anchor simplePos="0" relativeHeight="251657728" behindDoc="1" locked="0" layoutInCell="0" allowOverlap="1">
            <wp:simplePos x="0" y="0"/>
            <wp:positionH relativeFrom="column">
              <wp:posOffset>-1344295</wp:posOffset>
            </wp:positionH>
            <wp:positionV relativeFrom="paragraph">
              <wp:posOffset>-2427605</wp:posOffset>
            </wp:positionV>
            <wp:extent cx="6334760"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34760" cy="128905"/>
                    </a:xfrm>
                    <a:prstGeom prst="rect">
                      <a:avLst/>
                    </a:prstGeom>
                    <a:noFill/>
                  </pic:spPr>
                </pic:pic>
              </a:graphicData>
            </a:graphic>
          </wp:anchor>
        </w:drawing>
        <w:drawing>
          <wp:anchor simplePos="0" relativeHeight="251657728" behindDoc="1" locked="0" layoutInCell="0" allowOverlap="1">
            <wp:simplePos x="0" y="0"/>
            <wp:positionH relativeFrom="column">
              <wp:posOffset>-1344295</wp:posOffset>
            </wp:positionH>
            <wp:positionV relativeFrom="paragraph">
              <wp:posOffset>-2170430</wp:posOffset>
            </wp:positionV>
            <wp:extent cx="6334760" cy="1282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334760" cy="128270"/>
                    </a:xfrm>
                    <a:prstGeom prst="rect">
                      <a:avLst/>
                    </a:prstGeom>
                    <a:noFill/>
                  </pic:spPr>
                </pic:pic>
              </a:graphicData>
            </a:graphic>
          </wp:anchor>
        </w:drawing>
        <w:drawing>
          <wp:anchor simplePos="0" relativeHeight="251657728" behindDoc="1" locked="0" layoutInCell="0" allowOverlap="1">
            <wp:simplePos x="0" y="0"/>
            <wp:positionH relativeFrom="column">
              <wp:posOffset>-1344295</wp:posOffset>
            </wp:positionH>
            <wp:positionV relativeFrom="paragraph">
              <wp:posOffset>-1913255</wp:posOffset>
            </wp:positionV>
            <wp:extent cx="6334760"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334760" cy="128905"/>
                    </a:xfrm>
                    <a:prstGeom prst="rect">
                      <a:avLst/>
                    </a:prstGeom>
                    <a:noFill/>
                  </pic:spPr>
                </pic:pic>
              </a:graphicData>
            </a:graphic>
          </wp:anchor>
        </w:drawing>
        <w:drawing>
          <wp:anchor simplePos="0" relativeHeight="251657728" behindDoc="1" locked="0" layoutInCell="0" allowOverlap="1">
            <wp:simplePos x="0" y="0"/>
            <wp:positionH relativeFrom="column">
              <wp:posOffset>-1344295</wp:posOffset>
            </wp:positionH>
            <wp:positionV relativeFrom="paragraph">
              <wp:posOffset>-1656080</wp:posOffset>
            </wp:positionV>
            <wp:extent cx="6334760"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34760" cy="128905"/>
                    </a:xfrm>
                    <a:prstGeom prst="rect">
                      <a:avLst/>
                    </a:prstGeom>
                    <a:noFill/>
                  </pic:spPr>
                </pic:pic>
              </a:graphicData>
            </a:graphic>
          </wp:anchor>
        </w:drawing>
        <w:drawing>
          <wp:anchor simplePos="0" relativeHeight="251657728" behindDoc="1" locked="0" layoutInCell="0" allowOverlap="1">
            <wp:simplePos x="0" y="0"/>
            <wp:positionH relativeFrom="column">
              <wp:posOffset>-1344295</wp:posOffset>
            </wp:positionH>
            <wp:positionV relativeFrom="paragraph">
              <wp:posOffset>-1398905</wp:posOffset>
            </wp:positionV>
            <wp:extent cx="6334760"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34760" cy="128905"/>
                    </a:xfrm>
                    <a:prstGeom prst="rect">
                      <a:avLst/>
                    </a:prstGeom>
                    <a:noFill/>
                  </pic:spPr>
                </pic:pic>
              </a:graphicData>
            </a:graphic>
          </wp:anchor>
        </w:drawing>
        <w:drawing>
          <wp:anchor simplePos="0" relativeHeight="251657728" behindDoc="1" locked="0" layoutInCell="0" allowOverlap="1">
            <wp:simplePos x="0" y="0"/>
            <wp:positionH relativeFrom="column">
              <wp:posOffset>-1344295</wp:posOffset>
            </wp:positionH>
            <wp:positionV relativeFrom="paragraph">
              <wp:posOffset>-1141730</wp:posOffset>
            </wp:positionV>
            <wp:extent cx="6334760"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34760" cy="128905"/>
                    </a:xfrm>
                    <a:prstGeom prst="rect">
                      <a:avLst/>
                    </a:prstGeom>
                    <a:noFill/>
                  </pic:spPr>
                </pic:pic>
              </a:graphicData>
            </a:graphic>
          </wp:anchor>
        </w:drawing>
        <w:drawing>
          <wp:anchor simplePos="0" relativeHeight="251657728" behindDoc="1" locked="0" layoutInCell="0" allowOverlap="1">
            <wp:simplePos x="0" y="0"/>
            <wp:positionH relativeFrom="column">
              <wp:posOffset>-1344295</wp:posOffset>
            </wp:positionH>
            <wp:positionV relativeFrom="paragraph">
              <wp:posOffset>-884555</wp:posOffset>
            </wp:positionV>
            <wp:extent cx="6334760"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34760" cy="128905"/>
                    </a:xfrm>
                    <a:prstGeom prst="rect">
                      <a:avLst/>
                    </a:prstGeom>
                    <a:noFill/>
                  </pic:spPr>
                </pic:pic>
              </a:graphicData>
            </a:graphic>
          </wp:anchor>
        </w:drawing>
        <w:drawing>
          <wp:anchor simplePos="0" relativeHeight="251657728" behindDoc="1" locked="0" layoutInCell="0" allowOverlap="1">
            <wp:simplePos x="0" y="0"/>
            <wp:positionH relativeFrom="column">
              <wp:posOffset>-1344295</wp:posOffset>
            </wp:positionH>
            <wp:positionV relativeFrom="paragraph">
              <wp:posOffset>-627380</wp:posOffset>
            </wp:positionV>
            <wp:extent cx="6334760"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334760" cy="128905"/>
                    </a:xfrm>
                    <a:prstGeom prst="rect">
                      <a:avLst/>
                    </a:prstGeom>
                    <a:noFill/>
                  </pic:spPr>
                </pic:pic>
              </a:graphicData>
            </a:graphic>
          </wp:anchor>
        </w:drawing>
        <w:drawing>
          <wp:anchor simplePos="0" relativeHeight="251657728" behindDoc="1" locked="0" layoutInCell="0" allowOverlap="1">
            <wp:simplePos x="0" y="0"/>
            <wp:positionH relativeFrom="column">
              <wp:posOffset>-1344295</wp:posOffset>
            </wp:positionH>
            <wp:positionV relativeFrom="paragraph">
              <wp:posOffset>-370205</wp:posOffset>
            </wp:positionV>
            <wp:extent cx="6334760"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334760" cy="128905"/>
                    </a:xfrm>
                    <a:prstGeom prst="rect">
                      <a:avLst/>
                    </a:prstGeom>
                    <a:noFill/>
                  </pic:spPr>
                </pic:pic>
              </a:graphicData>
            </a:graphic>
          </wp:anchor>
        </w:drawing>
        <w:drawing>
          <wp:anchor simplePos="0" relativeHeight="251657728" behindDoc="1" locked="0" layoutInCell="0" allowOverlap="1">
            <wp:simplePos x="0" y="0"/>
            <wp:positionH relativeFrom="column">
              <wp:posOffset>-1344295</wp:posOffset>
            </wp:positionH>
            <wp:positionV relativeFrom="paragraph">
              <wp:posOffset>-113030</wp:posOffset>
            </wp:positionV>
            <wp:extent cx="6334760"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334760" cy="128905"/>
                    </a:xfrm>
                    <a:prstGeom prst="rect">
                      <a:avLst/>
                    </a:prstGeom>
                    <a:noFill/>
                  </pic:spPr>
                </pic:pic>
              </a:graphicData>
            </a:graphic>
          </wp:anchor>
        </w:drawing>
      </w:r>
    </w:p>
    <w:p>
      <w:pPr>
        <w:spacing w:after="0" w:line="113" w:lineRule="exact"/>
        <w:rPr>
          <w:sz w:val="20"/>
          <w:szCs w:val="20"/>
          <w:color w:val="auto"/>
        </w:rPr>
      </w:pPr>
    </w:p>
    <w:p>
      <w:pPr>
        <w:sectPr>
          <w:pgSz w:w="11900" w:h="16838" w:orient="portrait"/>
          <w:cols w:equalWidth="0" w:num="2">
            <w:col w:w="2040" w:space="720"/>
            <w:col w:w="8480"/>
          </w:cols>
          <w:pgMar w:left="320" w:top="91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36" w:lineRule="exact"/>
        <w:rPr>
          <w:sz w:val="20"/>
          <w:szCs w:val="20"/>
          <w:color w:val="auto"/>
        </w:rPr>
      </w:pPr>
    </w:p>
    <w:p>
      <w:pPr>
        <w:ind w:left="660" w:hanging="328"/>
        <w:spacing w:after="0" w:line="297" w:lineRule="auto"/>
        <w:tabs>
          <w:tab w:leader="none" w:pos="65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 price of $98.85 per share, which was the closing sale price of the Company’s common stock on the Nasdaq Global Select Market on September 27, 2024.</w:t>
      </w:r>
    </w:p>
    <w:p>
      <w:pPr>
        <w:jc w:val="both"/>
        <w:ind w:left="660" w:hanging="328"/>
        <w:spacing w:after="0" w:line="305" w:lineRule="auto"/>
        <w:tabs>
          <w:tab w:leader="none" w:pos="65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issuable under an RSU award granted on November 11, 2020, under the Company’s Second Amended and Restated 2015 Long-Term Incentive Plan. The RSU award vested at a rate of 25% per year on each anniversary of the grant date until it became fully vested on November 11, 2024.</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type w:val="continuous"/>
        </w:sectPr>
      </w:pPr>
    </w:p>
    <w:bookmarkStart w:id="26" w:name="page27"/>
    <w:bookmarkEnd w:id="26"/>
    <w:p>
      <w:pPr>
        <w:ind w:left="328" w:hanging="328"/>
        <w:spacing w:after="0" w:line="289" w:lineRule="auto"/>
        <w:tabs>
          <w:tab w:leader="none" w:pos="32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issuable under an RSU award granted on November 10, 2021, under the Company’s Second Amended and Restated 2015 Long-Term Incentive Plan. The RSU award vests at a rate of 25% per year on each anniversary of the grant date through November 10, 2025.</w:t>
      </w:r>
    </w:p>
    <w:p>
      <w:pPr>
        <w:spacing w:after="0" w:line="1" w:lineRule="exact"/>
        <w:rPr>
          <w:rFonts w:ascii="Times New Roman" w:cs="Times New Roman" w:eastAsia="Times New Roman" w:hAnsi="Times New Roman"/>
          <w:sz w:val="18"/>
          <w:szCs w:val="18"/>
          <w:color w:val="auto"/>
        </w:rPr>
      </w:pPr>
    </w:p>
    <w:p>
      <w:pPr>
        <w:ind w:left="328" w:hanging="328"/>
        <w:spacing w:after="0" w:line="289" w:lineRule="auto"/>
        <w:tabs>
          <w:tab w:leader="none" w:pos="32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issuable under an RSU award granted on November 8, 2022, under the Company’s Second Amended and Restated 2015 Long-Term Incentive Plan. The RSU award vests at a rate of 25% per year on each anniversary of the grant date through November 8, 2026.</w:t>
      </w:r>
    </w:p>
    <w:p>
      <w:pPr>
        <w:spacing w:after="0" w:line="1" w:lineRule="exact"/>
        <w:rPr>
          <w:rFonts w:ascii="Times New Roman" w:cs="Times New Roman" w:eastAsia="Times New Roman" w:hAnsi="Times New Roman"/>
          <w:sz w:val="18"/>
          <w:szCs w:val="18"/>
          <w:color w:val="auto"/>
        </w:rPr>
      </w:pPr>
    </w:p>
    <w:p>
      <w:pPr>
        <w:ind w:left="328" w:hanging="328"/>
        <w:spacing w:after="0" w:line="289" w:lineRule="auto"/>
        <w:tabs>
          <w:tab w:leader="none" w:pos="32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issuable under an RSU award granted on November 7, 2023, under the Company’s Second Amended and Restated 2015 Long-Term Incentive Plan. The RSU award vests at a rate of 25% per year on each anniversary of the grant date through November 7, 2027.</w:t>
      </w:r>
    </w:p>
    <w:p>
      <w:pPr>
        <w:spacing w:after="0" w:line="1" w:lineRule="exact"/>
        <w:rPr>
          <w:rFonts w:ascii="Times New Roman" w:cs="Times New Roman" w:eastAsia="Times New Roman" w:hAnsi="Times New Roman"/>
          <w:sz w:val="18"/>
          <w:szCs w:val="18"/>
          <w:color w:val="auto"/>
        </w:rPr>
      </w:pPr>
    </w:p>
    <w:p>
      <w:pPr>
        <w:jc w:val="both"/>
        <w:ind w:left="328" w:hanging="328"/>
        <w:spacing w:after="0" w:line="289" w:lineRule="auto"/>
        <w:tabs>
          <w:tab w:leader="none" w:pos="32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issuable under the fiscal year 2023 PSAs (“FY23 PSAs”) (awarded on November 8, 2022) with respect to the emerging revenue growth metric measured over a one-year performance period consisting of the Company’s fiscal year 2023, assuming achievement at the</w:t>
      </w:r>
    </w:p>
    <w:p>
      <w:pPr>
        <w:spacing w:after="0" w:line="1" w:lineRule="exact"/>
        <w:rPr>
          <w:rFonts w:ascii="Times New Roman" w:cs="Times New Roman" w:eastAsia="Times New Roman" w:hAnsi="Times New Roman"/>
          <w:sz w:val="18"/>
          <w:szCs w:val="18"/>
          <w:color w:val="auto"/>
        </w:rPr>
      </w:pPr>
    </w:p>
    <w:p>
      <w:pPr>
        <w:jc w:val="both"/>
        <w:ind w:left="328"/>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level of performance, one hundred percent (100%) of which were issued on November 8, 2024. Also represents shares issuable under the FY23 PSAs with respect to the EBITDA margin percentile ranking metric measured over a two-year performance period consisting of the</w:t>
      </w:r>
    </w:p>
    <w:p>
      <w:pPr>
        <w:spacing w:after="0" w:line="1" w:lineRule="exact"/>
        <w:rPr>
          <w:rFonts w:ascii="Times New Roman" w:cs="Times New Roman" w:eastAsia="Times New Roman" w:hAnsi="Times New Roman"/>
          <w:sz w:val="18"/>
          <w:szCs w:val="18"/>
          <w:color w:val="auto"/>
        </w:rPr>
      </w:pPr>
    </w:p>
    <w:p>
      <w:pPr>
        <w:ind w:left="328" w:right="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Company’s fiscal years 2023 and 2024, assuming achievement with respect to such metric of 125% of the target level of performance, one hundred percent (100%) of which were issued on November 8, 2024.</w:t>
      </w:r>
    </w:p>
    <w:p>
      <w:pPr>
        <w:spacing w:after="0" w:line="1" w:lineRule="exact"/>
        <w:rPr>
          <w:rFonts w:ascii="Times New Roman" w:cs="Times New Roman" w:eastAsia="Times New Roman" w:hAnsi="Times New Roman"/>
          <w:sz w:val="18"/>
          <w:szCs w:val="18"/>
          <w:color w:val="auto"/>
        </w:rPr>
      </w:pPr>
    </w:p>
    <w:p>
      <w:pPr>
        <w:ind w:left="308" w:hanging="308"/>
        <w:spacing w:after="0"/>
        <w:tabs>
          <w:tab w:leader="none" w:pos="30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issuable under the FY24 PSAs (awarded on November 7, 2023, as described above under “Components of Compensation—</w:t>
      </w:r>
    </w:p>
    <w:p>
      <w:pPr>
        <w:spacing w:after="0" w:line="49" w:lineRule="exact"/>
        <w:rPr>
          <w:rFonts w:ascii="Times New Roman" w:cs="Times New Roman" w:eastAsia="Times New Roman" w:hAnsi="Times New Roman"/>
          <w:sz w:val="18"/>
          <w:szCs w:val="18"/>
          <w:color w:val="auto"/>
        </w:rPr>
      </w:pPr>
    </w:p>
    <w:p>
      <w:pPr>
        <w:jc w:val="both"/>
        <w:ind w:left="328"/>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Stock-Based Compensation”) with respect to the emerging revenue growth metric measured over a one-year performance period consisting of the Company’s fiscal year 2024, assuming achievement at 61% of the “target” level of performance. One hundred percent (100%) of</w:t>
      </w:r>
    </w:p>
    <w:p>
      <w:pPr>
        <w:spacing w:after="0" w:line="1" w:lineRule="exact"/>
        <w:rPr>
          <w:rFonts w:ascii="Times New Roman" w:cs="Times New Roman" w:eastAsia="Times New Roman" w:hAnsi="Times New Roman"/>
          <w:sz w:val="18"/>
          <w:szCs w:val="18"/>
          <w:color w:val="auto"/>
        </w:rPr>
      </w:pPr>
    </w:p>
    <w:p>
      <w:pPr>
        <w:ind w:left="328"/>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to be earned under the FY24 PSAs with respect to this metric will be issued on November 7, 2025, to the extent earned and provided that the executive meets the continued employment condition.</w:t>
      </w:r>
    </w:p>
    <w:p>
      <w:pPr>
        <w:spacing w:after="0" w:line="1" w:lineRule="exact"/>
        <w:rPr>
          <w:rFonts w:ascii="Times New Roman" w:cs="Times New Roman" w:eastAsia="Times New Roman" w:hAnsi="Times New Roman"/>
          <w:sz w:val="18"/>
          <w:szCs w:val="18"/>
          <w:color w:val="auto"/>
        </w:rPr>
      </w:pPr>
    </w:p>
    <w:p>
      <w:pPr>
        <w:jc w:val="both"/>
        <w:ind w:left="328" w:hanging="328"/>
        <w:spacing w:after="0" w:line="286" w:lineRule="auto"/>
        <w:tabs>
          <w:tab w:leader="none" w:pos="32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issuable under the fiscal year 2022 PSAs (the “FY22 PSAs”) with respect to the TSR percentile ranking metric, assuming achievement at the “threshold” level of performance. This portion of the FY22 PSAs, which was subject to a three-year performance period, would have been issued on November 10, 2024, had it been achieved.</w:t>
      </w:r>
    </w:p>
    <w:p>
      <w:pPr>
        <w:spacing w:after="0" w:line="2" w:lineRule="exact"/>
        <w:rPr>
          <w:rFonts w:ascii="Times New Roman" w:cs="Times New Roman" w:eastAsia="Times New Roman" w:hAnsi="Times New Roman"/>
          <w:sz w:val="18"/>
          <w:szCs w:val="18"/>
          <w:color w:val="auto"/>
        </w:rPr>
      </w:pPr>
    </w:p>
    <w:p>
      <w:pPr>
        <w:ind w:left="308" w:hanging="308"/>
        <w:spacing w:after="0"/>
        <w:tabs>
          <w:tab w:leader="none" w:pos="30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issuable under the FY23 PSAs with respect to the TSR percentile ranking metric, assuming achievement at the “target” level of</w:t>
      </w:r>
    </w:p>
    <w:p>
      <w:pPr>
        <w:spacing w:after="0" w:line="49" w:lineRule="exact"/>
        <w:rPr>
          <w:rFonts w:ascii="Times New Roman" w:cs="Times New Roman" w:eastAsia="Times New Roman" w:hAnsi="Times New Roman"/>
          <w:sz w:val="18"/>
          <w:szCs w:val="18"/>
          <w:color w:val="auto"/>
        </w:rPr>
      </w:pPr>
    </w:p>
    <w:p>
      <w:pPr>
        <w:ind w:left="328"/>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This portion of the FY23 PSAs, which is subject to a three-year performance period, will be issued on November 8, 2025, to the extent earned and provided that the executive meets the continued employment condition.</w:t>
      </w:r>
    </w:p>
    <w:p>
      <w:pPr>
        <w:spacing w:after="0" w:line="1" w:lineRule="exact"/>
        <w:rPr>
          <w:rFonts w:ascii="Times New Roman" w:cs="Times New Roman" w:eastAsia="Times New Roman" w:hAnsi="Times New Roman"/>
          <w:sz w:val="18"/>
          <w:szCs w:val="18"/>
          <w:color w:val="auto"/>
        </w:rPr>
      </w:pPr>
    </w:p>
    <w:p>
      <w:pPr>
        <w:jc w:val="both"/>
        <w:ind w:left="328" w:hanging="328"/>
        <w:spacing w:after="0" w:line="289" w:lineRule="auto"/>
        <w:tabs>
          <w:tab w:leader="none" w:pos="31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issuable under the FY24 PSAs (awarded on November 7, 2023, as described above under “Components of Compensation— Long-Term Stock-Based Compensation”) with respect to the TSR percentile ranking metric, assuming achievement at the “threshold” level of</w:t>
      </w:r>
    </w:p>
    <w:p>
      <w:pPr>
        <w:spacing w:after="0" w:line="1" w:lineRule="exact"/>
        <w:rPr>
          <w:rFonts w:ascii="Times New Roman" w:cs="Times New Roman" w:eastAsia="Times New Roman" w:hAnsi="Times New Roman"/>
          <w:sz w:val="18"/>
          <w:szCs w:val="18"/>
          <w:color w:val="auto"/>
        </w:rPr>
      </w:pPr>
    </w:p>
    <w:p>
      <w:pPr>
        <w:jc w:val="both"/>
        <w:ind w:left="328"/>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This portion of the FY24 PSAs, which is subject to a three-year performance period, will be issued on November 7, 2026, to the extent earned and provided that the executive meets the continued employment condition. Also represents shares issuable under the FY24 PSAs</w:t>
      </w:r>
    </w:p>
    <w:p>
      <w:pPr>
        <w:spacing w:after="0" w:line="1" w:lineRule="exact"/>
        <w:rPr>
          <w:rFonts w:ascii="Times New Roman" w:cs="Times New Roman" w:eastAsia="Times New Roman" w:hAnsi="Times New Roman"/>
          <w:sz w:val="18"/>
          <w:szCs w:val="18"/>
          <w:color w:val="auto"/>
        </w:rPr>
      </w:pPr>
    </w:p>
    <w:p>
      <w:pPr>
        <w:jc w:val="both"/>
        <w:ind w:left="328"/>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EBITDA margin percentile ranking metric measured over a two-year performance period consisting of the Company’s fiscal years 2024 and 2025, assuming achievement at the “target” level of performance. This portion of the FY24 PSAs will be issued on November 7, 2025, to the extent earned and provided that the executive meets the continued employment condition.</w:t>
      </w:r>
    </w:p>
    <w:p>
      <w:pPr>
        <w:spacing w:after="0" w:line="250"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236220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918" w:right="339" w:bottom="1440" w:gutter="0" w:footer="0" w:header="0"/>
        </w:sectPr>
      </w:pPr>
    </w:p>
    <w:bookmarkStart w:id="27" w:name="page28"/>
    <w:bookmarkEnd w:id="27"/>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Option Exercises and Stock Vested Table</w:t>
      </w:r>
    </w:p>
    <w:p>
      <w:pPr>
        <w:spacing w:after="0" w:line="2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Named Executive Officers’ option exercises and stock award vesting during fiscal year 2024.</w:t>
      </w:r>
    </w:p>
    <w:p>
      <w:pPr>
        <w:spacing w:after="0" w:line="313" w:lineRule="exact"/>
        <w:rPr>
          <w:sz w:val="20"/>
          <w:szCs w:val="20"/>
          <w:color w:val="auto"/>
        </w:rPr>
      </w:pPr>
    </w:p>
    <w:tbl>
      <w:tblPr>
        <w:tblLayout w:type="fixed"/>
        <w:tblInd w:w="700" w:type="dxa"/>
        <w:tblCellMar>
          <w:top w:w="0" w:type="dxa"/>
          <w:left w:w="0" w:type="dxa"/>
          <w:bottom w:w="0" w:type="dxa"/>
          <w:right w:w="0" w:type="dxa"/>
        </w:tblCellMar>
      </w:tblPr>
      <w:tr>
        <w:trPr>
          <w:trHeight w:val="190"/>
        </w:trPr>
        <w:tc>
          <w:tcPr>
            <w:tcW w:w="1860" w:type="dxa"/>
            <w:vAlign w:val="bottom"/>
          </w:tcPr>
          <w:p>
            <w:pPr>
              <w:spacing w:after="0"/>
              <w:rPr>
                <w:sz w:val="16"/>
                <w:szCs w:val="16"/>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580" w:type="dxa"/>
            <w:vAlign w:val="bottom"/>
          </w:tcPr>
          <w:p>
            <w:pPr>
              <w:spacing w:after="0"/>
              <w:rPr>
                <w:sz w:val="16"/>
                <w:szCs w:val="16"/>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420" w:type="dxa"/>
            <w:vAlign w:val="bottom"/>
          </w:tcPr>
          <w:p>
            <w:pPr>
              <w:spacing w:after="0"/>
              <w:rPr>
                <w:sz w:val="16"/>
                <w:szCs w:val="16"/>
                <w:color w:val="auto"/>
              </w:rPr>
            </w:pPr>
          </w:p>
        </w:tc>
      </w:tr>
      <w:tr>
        <w:trPr>
          <w:trHeight w:val="201"/>
        </w:trPr>
        <w:tc>
          <w:tcPr>
            <w:tcW w:w="1860" w:type="dxa"/>
            <w:vAlign w:val="bottom"/>
          </w:tcPr>
          <w:p>
            <w:pPr>
              <w:spacing w:after="0"/>
              <w:rPr>
                <w:sz w:val="17"/>
                <w:szCs w:val="17"/>
                <w:color w:val="auto"/>
              </w:rPr>
            </w:pPr>
          </w:p>
        </w:tc>
        <w:tc>
          <w:tcPr>
            <w:tcW w:w="282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580" w:type="dxa"/>
            <w:vAlign w:val="bottom"/>
          </w:tcPr>
          <w:p>
            <w:pPr>
              <w:jc w:val="center"/>
              <w:ind w:right="557"/>
              <w:spacing w:after="0"/>
              <w:rPr>
                <w:sz w:val="20"/>
                <w:szCs w:val="20"/>
                <w:color w:val="auto"/>
              </w:rPr>
            </w:pPr>
            <w:r>
              <w:rPr>
                <w:rFonts w:ascii="Times New Roman" w:cs="Times New Roman" w:eastAsia="Times New Roman" w:hAnsi="Times New Roman"/>
                <w:sz w:val="14"/>
                <w:szCs w:val="14"/>
                <w:b w:val="1"/>
                <w:bCs w:val="1"/>
                <w:color w:val="auto"/>
              </w:rPr>
              <w:t>Value Realized</w:t>
            </w:r>
          </w:p>
        </w:tc>
        <w:tc>
          <w:tcPr>
            <w:tcW w:w="2160" w:type="dxa"/>
            <w:vAlign w:val="bottom"/>
          </w:tcPr>
          <w:p>
            <w:pPr>
              <w:jc w:val="center"/>
              <w:ind w:right="518"/>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20" w:type="dxa"/>
            <w:vAlign w:val="bottom"/>
          </w:tcPr>
          <w:p>
            <w:pPr>
              <w:jc w:val="center"/>
              <w:ind w:right="357"/>
              <w:spacing w:after="0"/>
              <w:rPr>
                <w:sz w:val="20"/>
                <w:szCs w:val="20"/>
                <w:color w:val="auto"/>
              </w:rPr>
            </w:pPr>
            <w:r>
              <w:rPr>
                <w:rFonts w:ascii="Times New Roman" w:cs="Times New Roman" w:eastAsia="Times New Roman" w:hAnsi="Times New Roman"/>
                <w:sz w:val="14"/>
                <w:szCs w:val="14"/>
                <w:b w:val="1"/>
                <w:bCs w:val="1"/>
                <w:color w:val="auto"/>
              </w:rPr>
              <w:t>Value Realized</w:t>
            </w:r>
          </w:p>
        </w:tc>
      </w:tr>
      <w:tr>
        <w:trPr>
          <w:trHeight w:val="148"/>
        </w:trPr>
        <w:tc>
          <w:tcPr>
            <w:tcW w:w="1860" w:type="dxa"/>
            <w:vAlign w:val="bottom"/>
          </w:tcPr>
          <w:p>
            <w:pPr>
              <w:spacing w:after="0"/>
              <w:rPr>
                <w:sz w:val="12"/>
                <w:szCs w:val="12"/>
                <w:color w:val="auto"/>
              </w:rPr>
            </w:pPr>
          </w:p>
        </w:tc>
        <w:tc>
          <w:tcPr>
            <w:tcW w:w="282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Acquired on Exercise</w:t>
            </w:r>
          </w:p>
        </w:tc>
        <w:tc>
          <w:tcPr>
            <w:tcW w:w="1580" w:type="dxa"/>
            <w:vAlign w:val="bottom"/>
          </w:tcPr>
          <w:p>
            <w:pPr>
              <w:jc w:val="center"/>
              <w:ind w:right="557"/>
              <w:spacing w:after="0" w:line="149" w:lineRule="exact"/>
              <w:rPr>
                <w:sz w:val="20"/>
                <w:szCs w:val="20"/>
                <w:color w:val="auto"/>
              </w:rPr>
            </w:pPr>
            <w:r>
              <w:rPr>
                <w:rFonts w:ascii="Times New Roman" w:cs="Times New Roman" w:eastAsia="Times New Roman" w:hAnsi="Times New Roman"/>
                <w:sz w:val="14"/>
                <w:szCs w:val="14"/>
                <w:b w:val="1"/>
                <w:bCs w:val="1"/>
                <w:color w:val="auto"/>
              </w:rPr>
              <w:t>on Exercise</w:t>
            </w:r>
          </w:p>
        </w:tc>
        <w:tc>
          <w:tcPr>
            <w:tcW w:w="2160" w:type="dxa"/>
            <w:vAlign w:val="bottom"/>
          </w:tcPr>
          <w:p>
            <w:pPr>
              <w:jc w:val="center"/>
              <w:ind w:right="518"/>
              <w:spacing w:after="0" w:line="149" w:lineRule="exact"/>
              <w:rPr>
                <w:sz w:val="20"/>
                <w:szCs w:val="20"/>
                <w:color w:val="auto"/>
              </w:rPr>
            </w:pPr>
            <w:r>
              <w:rPr>
                <w:rFonts w:ascii="Times New Roman" w:cs="Times New Roman" w:eastAsia="Times New Roman" w:hAnsi="Times New Roman"/>
                <w:sz w:val="14"/>
                <w:szCs w:val="14"/>
                <w:b w:val="1"/>
                <w:bCs w:val="1"/>
                <w:color w:val="auto"/>
              </w:rPr>
              <w:t>Acquired on Vesting</w:t>
            </w:r>
          </w:p>
        </w:tc>
        <w:tc>
          <w:tcPr>
            <w:tcW w:w="1420" w:type="dxa"/>
            <w:vAlign w:val="bottom"/>
          </w:tcPr>
          <w:p>
            <w:pPr>
              <w:jc w:val="center"/>
              <w:ind w:right="377"/>
              <w:spacing w:after="0" w:line="149" w:lineRule="exact"/>
              <w:rPr>
                <w:sz w:val="20"/>
                <w:szCs w:val="20"/>
                <w:color w:val="auto"/>
              </w:rPr>
            </w:pPr>
            <w:r>
              <w:rPr>
                <w:rFonts w:ascii="Times New Roman" w:cs="Times New Roman" w:eastAsia="Times New Roman" w:hAnsi="Times New Roman"/>
                <w:sz w:val="14"/>
                <w:szCs w:val="14"/>
                <w:b w:val="1"/>
                <w:bCs w:val="1"/>
                <w:color w:val="auto"/>
              </w:rPr>
              <w:t>on Vesting</w:t>
            </w:r>
          </w:p>
        </w:tc>
      </w:tr>
      <w:tr>
        <w:trPr>
          <w:trHeight w:val="217"/>
        </w:trPr>
        <w:tc>
          <w:tcPr>
            <w:tcW w:w="1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82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580" w:type="dxa"/>
            <w:vAlign w:val="bottom"/>
          </w:tcPr>
          <w:p>
            <w:pPr>
              <w:jc w:val="center"/>
              <w:ind w:right="557"/>
              <w:spacing w:after="0"/>
              <w:rPr>
                <w:sz w:val="20"/>
                <w:szCs w:val="20"/>
                <w:color w:val="auto"/>
              </w:rPr>
            </w:pPr>
            <w:r>
              <w:rPr>
                <w:rFonts w:ascii="Times New Roman" w:cs="Times New Roman" w:eastAsia="Times New Roman" w:hAnsi="Times New Roman"/>
                <w:sz w:val="14"/>
                <w:szCs w:val="14"/>
                <w:b w:val="1"/>
                <w:bCs w:val="1"/>
                <w:color w:val="auto"/>
              </w:rPr>
              <w:t>($)(1)</w:t>
            </w:r>
          </w:p>
        </w:tc>
        <w:tc>
          <w:tcPr>
            <w:tcW w:w="2160" w:type="dxa"/>
            <w:vAlign w:val="bottom"/>
          </w:tcPr>
          <w:p>
            <w:pPr>
              <w:jc w:val="center"/>
              <w:ind w:right="51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20" w:type="dxa"/>
            <w:vAlign w:val="bottom"/>
          </w:tcPr>
          <w:p>
            <w:pPr>
              <w:jc w:val="center"/>
              <w:ind w:right="357"/>
              <w:spacing w:after="0"/>
              <w:rPr>
                <w:sz w:val="20"/>
                <w:szCs w:val="20"/>
                <w:color w:val="auto"/>
              </w:rPr>
            </w:pPr>
            <w:r>
              <w:rPr>
                <w:rFonts w:ascii="Times New Roman" w:cs="Times New Roman" w:eastAsia="Times New Roman" w:hAnsi="Times New Roman"/>
                <w:sz w:val="14"/>
                <w:szCs w:val="14"/>
                <w:b w:val="1"/>
                <w:bCs w:val="1"/>
                <w:color w:val="auto"/>
              </w:rPr>
              <w:t>($)(2)</w:t>
            </w:r>
          </w:p>
        </w:tc>
      </w:tr>
      <w:tr>
        <w:trPr>
          <w:trHeight w:val="253"/>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Liam K. Griffin</w:t>
            </w:r>
          </w:p>
        </w:tc>
        <w:tc>
          <w:tcPr>
            <w:tcW w:w="2820" w:type="dxa"/>
            <w:vAlign w:val="bottom"/>
          </w:tcPr>
          <w:p>
            <w:pPr>
              <w:jc w:val="right"/>
              <w:ind w:right="438"/>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jc w:val="right"/>
              <w:ind w:right="378"/>
              <w:spacing w:after="0"/>
              <w:rPr>
                <w:sz w:val="20"/>
                <w:szCs w:val="20"/>
                <w:color w:val="auto"/>
              </w:rPr>
            </w:pPr>
            <w:r>
              <w:rPr>
                <w:rFonts w:ascii="Times New Roman" w:cs="Times New Roman" w:eastAsia="Times New Roman" w:hAnsi="Times New Roman"/>
                <w:sz w:val="18"/>
                <w:szCs w:val="18"/>
                <w:color w:val="auto"/>
              </w:rPr>
              <w:t>80,117</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7,172,834</w:t>
            </w:r>
          </w:p>
        </w:tc>
      </w:tr>
      <w:tr>
        <w:trPr>
          <w:trHeight w:val="229"/>
        </w:trPr>
        <w:tc>
          <w:tcPr>
            <w:tcW w:w="18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Kris Sennesael</w:t>
            </w:r>
          </w:p>
        </w:tc>
        <w:tc>
          <w:tcPr>
            <w:tcW w:w="2820" w:type="dxa"/>
            <w:vAlign w:val="bottom"/>
            <w:shd w:val="clear" w:color="auto" w:fill="DBDBDB"/>
          </w:tcPr>
          <w:p>
            <w:pPr>
              <w:jc w:val="right"/>
              <w:ind w:right="438"/>
              <w:spacing w:after="0"/>
              <w:rPr>
                <w:sz w:val="20"/>
                <w:szCs w:val="20"/>
                <w:color w:val="auto"/>
              </w:rPr>
            </w:pPr>
            <w:r>
              <w:rPr>
                <w:rFonts w:ascii="Times New Roman" w:cs="Times New Roman" w:eastAsia="Times New Roman" w:hAnsi="Times New Roman"/>
                <w:sz w:val="18"/>
                <w:szCs w:val="18"/>
                <w:color w:val="auto"/>
              </w:rPr>
              <w:t>12,770</w:t>
            </w:r>
          </w:p>
        </w:tc>
        <w:tc>
          <w:tcPr>
            <w:tcW w:w="1580" w:type="dxa"/>
            <w:vAlign w:val="bottom"/>
            <w:shd w:val="clear" w:color="auto" w:fill="DBDBDB"/>
          </w:tcPr>
          <w:p>
            <w:pPr>
              <w:jc w:val="right"/>
              <w:ind w:right="77"/>
              <w:spacing w:after="0"/>
              <w:rPr>
                <w:sz w:val="20"/>
                <w:szCs w:val="20"/>
                <w:color w:val="auto"/>
              </w:rPr>
            </w:pPr>
            <w:r>
              <w:rPr>
                <w:rFonts w:ascii="Times New Roman" w:cs="Times New Roman" w:eastAsia="Times New Roman" w:hAnsi="Times New Roman"/>
                <w:sz w:val="18"/>
                <w:szCs w:val="18"/>
                <w:color w:val="auto"/>
              </w:rPr>
              <w:t>157,227</w:t>
            </w:r>
          </w:p>
        </w:tc>
        <w:tc>
          <w:tcPr>
            <w:tcW w:w="2160" w:type="dxa"/>
            <w:vAlign w:val="bottom"/>
            <w:shd w:val="clear" w:color="auto" w:fill="DBDBDB"/>
          </w:tcPr>
          <w:p>
            <w:pPr>
              <w:jc w:val="right"/>
              <w:ind w:right="378"/>
              <w:spacing w:after="0"/>
              <w:rPr>
                <w:sz w:val="20"/>
                <w:szCs w:val="20"/>
                <w:color w:val="auto"/>
              </w:rPr>
            </w:pPr>
            <w:r>
              <w:rPr>
                <w:rFonts w:ascii="Times New Roman" w:cs="Times New Roman" w:eastAsia="Times New Roman" w:hAnsi="Times New Roman"/>
                <w:sz w:val="18"/>
                <w:szCs w:val="18"/>
                <w:color w:val="auto"/>
              </w:rPr>
              <w:t>24,828</w:t>
            </w:r>
          </w:p>
        </w:tc>
        <w:tc>
          <w:tcPr>
            <w:tcW w:w="14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2,223,633</w:t>
            </w:r>
          </w:p>
        </w:tc>
      </w:tr>
      <w:tr>
        <w:trPr>
          <w:trHeight w:val="230"/>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Reza Kasnavi</w:t>
            </w:r>
          </w:p>
        </w:tc>
        <w:tc>
          <w:tcPr>
            <w:tcW w:w="2820" w:type="dxa"/>
            <w:vAlign w:val="bottom"/>
          </w:tcPr>
          <w:p>
            <w:pPr>
              <w:jc w:val="right"/>
              <w:ind w:right="438"/>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jc w:val="right"/>
              <w:ind w:right="378"/>
              <w:spacing w:after="0"/>
              <w:rPr>
                <w:sz w:val="20"/>
                <w:szCs w:val="20"/>
                <w:color w:val="auto"/>
              </w:rPr>
            </w:pPr>
            <w:r>
              <w:rPr>
                <w:rFonts w:ascii="Times New Roman" w:cs="Times New Roman" w:eastAsia="Times New Roman" w:hAnsi="Times New Roman"/>
                <w:sz w:val="18"/>
                <w:szCs w:val="18"/>
                <w:color w:val="auto"/>
              </w:rPr>
              <w:t>24,060</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2,154,078</w:t>
            </w:r>
          </w:p>
        </w:tc>
      </w:tr>
      <w:tr>
        <w:trPr>
          <w:trHeight w:val="229"/>
        </w:trPr>
        <w:tc>
          <w:tcPr>
            <w:tcW w:w="18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Carlos S. Bori</w:t>
            </w:r>
          </w:p>
        </w:tc>
        <w:tc>
          <w:tcPr>
            <w:tcW w:w="2820" w:type="dxa"/>
            <w:vAlign w:val="bottom"/>
            <w:shd w:val="clear" w:color="auto" w:fill="DBDBDB"/>
          </w:tcPr>
          <w:p>
            <w:pPr>
              <w:jc w:val="right"/>
              <w:ind w:right="438"/>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DBDBDB"/>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DBDBDB"/>
          </w:tcPr>
          <w:p>
            <w:pPr>
              <w:jc w:val="right"/>
              <w:ind w:right="378"/>
              <w:spacing w:after="0"/>
              <w:rPr>
                <w:sz w:val="20"/>
                <w:szCs w:val="20"/>
                <w:color w:val="auto"/>
              </w:rPr>
            </w:pPr>
            <w:r>
              <w:rPr>
                <w:rFonts w:ascii="Times New Roman" w:cs="Times New Roman" w:eastAsia="Times New Roman" w:hAnsi="Times New Roman"/>
                <w:sz w:val="18"/>
                <w:szCs w:val="18"/>
                <w:color w:val="auto"/>
              </w:rPr>
              <w:t>23,782</w:t>
            </w:r>
          </w:p>
        </w:tc>
        <w:tc>
          <w:tcPr>
            <w:tcW w:w="14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2,129,361</w:t>
            </w:r>
          </w:p>
        </w:tc>
      </w:tr>
      <w:tr>
        <w:trPr>
          <w:trHeight w:val="234"/>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J. Terry</w:t>
            </w:r>
          </w:p>
        </w:tc>
        <w:tc>
          <w:tcPr>
            <w:tcW w:w="2820" w:type="dxa"/>
            <w:vAlign w:val="bottom"/>
          </w:tcPr>
          <w:p>
            <w:pPr>
              <w:jc w:val="right"/>
              <w:ind w:right="438"/>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jc w:val="right"/>
              <w:ind w:right="378"/>
              <w:spacing w:after="0"/>
              <w:rPr>
                <w:sz w:val="20"/>
                <w:szCs w:val="20"/>
                <w:color w:val="auto"/>
              </w:rPr>
            </w:pPr>
            <w:r>
              <w:rPr>
                <w:rFonts w:ascii="Times New Roman" w:cs="Times New Roman" w:eastAsia="Times New Roman" w:hAnsi="Times New Roman"/>
                <w:sz w:val="18"/>
                <w:szCs w:val="18"/>
                <w:color w:val="auto"/>
              </w:rPr>
              <w:t>20,183</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1,807,159</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50" w:lineRule="exact"/>
        <w:rPr>
          <w:sz w:val="20"/>
          <w:szCs w:val="20"/>
          <w:color w:val="auto"/>
        </w:rPr>
      </w:pPr>
    </w:p>
    <w:p>
      <w:pPr>
        <w:ind w:left="260" w:hanging="252"/>
        <w:spacing w:after="0" w:line="289" w:lineRule="auto"/>
        <w:tabs>
          <w:tab w:leader="none" w:pos="28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realized on exercise is based on the amount by which the market price of a share of the Company’s common stock at the time of exercise exceeded the applicable exercise price per share of the exercised option.</w:t>
      </w:r>
    </w:p>
    <w:p>
      <w:pPr>
        <w:spacing w:after="0" w:line="1" w:lineRule="exact"/>
        <w:rPr>
          <w:rFonts w:ascii="Times New Roman" w:cs="Times New Roman" w:eastAsia="Times New Roman" w:hAnsi="Times New Roman"/>
          <w:sz w:val="18"/>
          <w:szCs w:val="18"/>
          <w:color w:val="auto"/>
        </w:rPr>
      </w:pPr>
    </w:p>
    <w:p>
      <w:pPr>
        <w:ind w:left="260" w:hanging="252"/>
        <w:spacing w:after="0" w:line="313" w:lineRule="auto"/>
        <w:tabs>
          <w:tab w:leader="none" w:pos="27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realized upon vesting is determined by multiplying (a) the number of shares underlying the stock awards that vested, by (b) the closing price of the Company’s common stock on the Nasdaq Global Select Market on the applicable vesting date.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Termination or Change in Control</w:t>
      </w: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Mr. Griffin</w:t>
      </w:r>
    </w:p>
    <w:p>
      <w:pPr>
        <w:spacing w:after="0" w:line="214" w:lineRule="exact"/>
        <w:rPr>
          <w:sz w:val="20"/>
          <w:szCs w:val="20"/>
          <w:color w:val="auto"/>
        </w:rPr>
      </w:pPr>
    </w:p>
    <w:p>
      <w:pPr>
        <w:jc w:val="both"/>
        <w:ind w:firstLine="389"/>
        <w:spacing w:after="0" w:line="291" w:lineRule="auto"/>
        <w:rPr>
          <w:sz w:val="20"/>
          <w:szCs w:val="20"/>
          <w:color w:val="auto"/>
        </w:rPr>
      </w:pPr>
      <w:r>
        <w:rPr>
          <w:rFonts w:ascii="Times New Roman" w:cs="Times New Roman" w:eastAsia="Times New Roman" w:hAnsi="Times New Roman"/>
          <w:sz w:val="18"/>
          <w:szCs w:val="18"/>
          <w:color w:val="auto"/>
        </w:rPr>
        <w:t>On May 10, 2023, in connection with the expiration, in accordance with its terms, of the Amended and Restated Change in Control / Severance Agreement between the Company and Mr. Griffin, the Company entered into a Second Amended and Restated Change in Control / Severance Agreement with Mr. Griffin (the “Griffin Agreement”). The Griffin Agreement sets out severance benefits that become payable if, while employed by the Company, other than following a change in control, Mr. Griffin either (i) is terminated without cause, or (ii) terminates his employment for good reason. The severance benefits provided to Mr. Griffin under either of these circumstances would consist of: (i) a lump-sum payment equal to two (2) times the sum of</w:t>
      </w:r>
    </w:p>
    <w:p>
      <w:pPr>
        <w:spacing w:after="0" w:line="1" w:lineRule="exact"/>
        <w:rPr>
          <w:sz w:val="20"/>
          <w:szCs w:val="20"/>
          <w:color w:val="auto"/>
        </w:rPr>
      </w:pPr>
    </w:p>
    <w:p>
      <w:pPr>
        <w:ind w:left="320" w:hanging="312"/>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then-current annual base salary immediately prior to such termination and (B) the Bonus Amount (as defined below); (ii) full acceleration of the</w:t>
      </w:r>
    </w:p>
    <w:p>
      <w:pPr>
        <w:spacing w:after="0" w:line="49" w:lineRule="exact"/>
        <w:rPr>
          <w:rFonts w:ascii="Times New Roman" w:cs="Times New Roman" w:eastAsia="Times New Roman" w:hAnsi="Times New Roman"/>
          <w:sz w:val="18"/>
          <w:szCs w:val="18"/>
          <w:color w:val="auto"/>
        </w:rPr>
      </w:pPr>
    </w:p>
    <w:p>
      <w:pPr>
        <w:jc w:val="both"/>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of all of Mr. Griffin’s outstanding stock options, which stock options would become exercisable for a period of two (2) years after the termination date (but not beyond the expiration of their respective maximum terms), full acceleration of the vesting of all outstanding restricted stock awards (including</w:t>
      </w:r>
    </w:p>
    <w:p>
      <w:pPr>
        <w:spacing w:after="0" w:line="1" w:lineRule="exact"/>
        <w:rPr>
          <w:rFonts w:ascii="Times New Roman" w:cs="Times New Roman" w:eastAsia="Times New Roman" w:hAnsi="Times New Roman"/>
          <w:sz w:val="18"/>
          <w:szCs w:val="18"/>
          <w:color w:val="auto"/>
        </w:rPr>
      </w:pPr>
    </w:p>
    <w:p>
      <w:pPr>
        <w:jc w:val="both"/>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of restricted stock units), and the right to receive the number of performance shares under outstanding PSAs that are earned but unissued and that he would have earned had he remained employed through the end of the applicable performance period; and (iii) provided he is eligible for and timely elects</w:t>
      </w:r>
    </w:p>
    <w:p>
      <w:pPr>
        <w:spacing w:after="0" w:line="1" w:lineRule="exact"/>
        <w:rPr>
          <w:rFonts w:ascii="Times New Roman" w:cs="Times New Roman" w:eastAsia="Times New Roman" w:hAnsi="Times New Roman"/>
          <w:sz w:val="18"/>
          <w:szCs w:val="18"/>
          <w:color w:val="auto"/>
        </w:rPr>
      </w:pPr>
    </w:p>
    <w:p>
      <w:pPr>
        <w:jc w:val="both"/>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continue receiving group medical coverage (and provided the provision of such payments will not violate any applicable nondiscrimination laws), certain COBRA continuation for him and his eligible dependents (“COBRA continuation”) for up to fifteen (15) months after the termination date. The “Bonus</w:t>
      </w:r>
    </w:p>
    <w:p>
      <w:pPr>
        <w:spacing w:after="0" w:line="1" w:lineRule="exact"/>
        <w:rPr>
          <w:rFonts w:ascii="Times New Roman" w:cs="Times New Roman" w:eastAsia="Times New Roman" w:hAnsi="Times New Roman"/>
          <w:sz w:val="18"/>
          <w:szCs w:val="18"/>
          <w:color w:val="auto"/>
        </w:rPr>
      </w:pPr>
    </w:p>
    <w:p>
      <w:pPr>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is an amount equal to the greater of (x) the average of the short-term cash incentive awards received for the three (3) years prior to the year in which the termination occurs, and (y) the target annual short-term cash incentive award for the year in which the termination occurs.</w:t>
      </w:r>
    </w:p>
    <w:p>
      <w:pPr>
        <w:spacing w:after="0" w:line="203" w:lineRule="exact"/>
        <w:rPr>
          <w:sz w:val="20"/>
          <w:szCs w:val="20"/>
          <w:color w:val="auto"/>
        </w:rPr>
      </w:pPr>
    </w:p>
    <w:p>
      <w:pPr>
        <w:jc w:val="both"/>
        <w:ind w:firstLine="389"/>
        <w:spacing w:after="0" w:line="278" w:lineRule="auto"/>
        <w:rPr>
          <w:sz w:val="20"/>
          <w:szCs w:val="20"/>
          <w:color w:val="auto"/>
        </w:rPr>
      </w:pPr>
      <w:r>
        <w:rPr>
          <w:rFonts w:ascii="Times New Roman" w:cs="Times New Roman" w:eastAsia="Times New Roman" w:hAnsi="Times New Roman"/>
          <w:sz w:val="18"/>
          <w:szCs w:val="18"/>
          <w:color w:val="auto"/>
        </w:rPr>
        <w:t>The Griffin Agreement also sets out severance benefits that become payable if, within the period of time commencing three (3) months prior to and ending two (2) years following a change in control, Mr. Griffin’s employment is either (i) terminated by the Company without cause, or (ii) terminated by him for good reason (a “Qualifying Termination”). The severance benefits provided to Mr. Griffin in such circumstances would consist of the following: (i) a lump-sum payment equal to two and one-half (2</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times the sum of (A) his annual base salary immediately prior to the change in control, and (B) the CIC Bonus Amount (as defined below); (ii) all of Mr. Griffin’s then-outstanding stock options would become exercisable for a period of thirty (30) months after the</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8" w:name="page29"/>
    <w:bookmarkEnd w:id="28"/>
    <w:p>
      <w:pPr>
        <w:jc w:val="both"/>
        <w:spacing w:after="0" w:line="297" w:lineRule="auto"/>
        <w:rPr>
          <w:sz w:val="20"/>
          <w:szCs w:val="20"/>
          <w:color w:val="auto"/>
        </w:rPr>
      </w:pPr>
      <w:r>
        <w:rPr>
          <w:rFonts w:ascii="Times New Roman" w:cs="Times New Roman" w:eastAsia="Times New Roman" w:hAnsi="Times New Roman"/>
          <w:sz w:val="18"/>
          <w:szCs w:val="18"/>
          <w:color w:val="auto"/>
        </w:rPr>
        <w:t>termination date (but not beyond the expiration of their respective maximum terms); and (iii) COBRA continuation for up to eighteen (18) months after the termination date. The “CIC Bonus Amount” is an amount equal to the greater of (x) the average of the annual short-term cash incentive awards received for the three (3) years prior to the year in which the change of control occurs and (y) the target annual short-term cash incentive award for the year in which the change of control occurs.</w:t>
      </w:r>
    </w:p>
    <w:p>
      <w:pPr>
        <w:spacing w:after="0" w:line="217" w:lineRule="exact"/>
        <w:rPr>
          <w:sz w:val="20"/>
          <w:szCs w:val="20"/>
          <w:color w:val="auto"/>
        </w:rPr>
      </w:pPr>
    </w:p>
    <w:p>
      <w:pPr>
        <w:jc w:val="both"/>
        <w:ind w:firstLine="389"/>
        <w:spacing w:after="0" w:line="293" w:lineRule="auto"/>
        <w:rPr>
          <w:sz w:val="20"/>
          <w:szCs w:val="20"/>
          <w:color w:val="auto"/>
        </w:rPr>
      </w:pPr>
      <w:r>
        <w:rPr>
          <w:rFonts w:ascii="Times New Roman" w:cs="Times New Roman" w:eastAsia="Times New Roman" w:hAnsi="Times New Roman"/>
          <w:sz w:val="18"/>
          <w:szCs w:val="18"/>
          <w:color w:val="auto"/>
        </w:rPr>
        <w:t>The Griffin Agreement also provides that in the event of a Qualifying Termination, Mr. Griffin is entitled to full acceleration of the vesting of all of his outstanding equity awards (including stock options, restricted stock awards, RSU awards, and all earned but unissued performance-based equity awards). At the time of a change in control, all such outstanding equity awards would continue to be subject to the same time-based vesting schedule to which the awards were subject prior to the change in control (including performance-based equity awards that are deemed earned at the time of the change in control as described below). For performance-based equity awards where the change in control occurs prior to the end of the applicable performance period, such awards would be deemed earned as to the greater of (i) the target level of shares for such awards, or (ii) if such calculation is determined to be practicable by the Compensation Committee, the number of shares that would have been earned pursuant to the terms of such awards based upon performance up through and including the day prior to the date of the change in control. In the event that the successor or surviving company does not agree to assume, or to substitute for, such outstanding equity awards on substantially similar terms with substantially equivalent economic benefits as exist for such award immediately prior to the change in control, then such awards would accelerate in full as of the change in control.</w:t>
      </w:r>
    </w:p>
    <w:p>
      <w:pPr>
        <w:spacing w:after="0" w:line="214" w:lineRule="exact"/>
        <w:rPr>
          <w:sz w:val="20"/>
          <w:szCs w:val="20"/>
          <w:color w:val="auto"/>
        </w:rPr>
      </w:pPr>
    </w:p>
    <w:p>
      <w:pPr>
        <w:jc w:val="both"/>
        <w:ind w:firstLine="389"/>
        <w:spacing w:after="0" w:line="295" w:lineRule="auto"/>
        <w:rPr>
          <w:sz w:val="20"/>
          <w:szCs w:val="20"/>
          <w:color w:val="auto"/>
        </w:rPr>
      </w:pPr>
      <w:r>
        <w:rPr>
          <w:rFonts w:ascii="Times New Roman" w:cs="Times New Roman" w:eastAsia="Times New Roman" w:hAnsi="Times New Roman"/>
          <w:sz w:val="18"/>
          <w:szCs w:val="18"/>
          <w:color w:val="auto"/>
        </w:rPr>
        <w:t>In the event of Mr. Griffin’s death or permanent disability (within the meaning of Section 22(e)(3) of the IRC), the Griffin Agreement provides for full acceleration of the vesting of all then-outstanding equity awards subject to time-based vesting (including stock options, restricted stock awards, RSU awards, and all performance-based equity awards where the performance period has ended and the shares are earned but unissued). The Griffin Agreement also provides that if Mr. Griffin’s death or permanent disability occurs prior to the end of the performance period of a performance-based equity award, each such award would be deemed earned as to the greater of (i) the target level of shares for such award, or (ii) the number of shares that would have been earned pursuant to the terms of such award had he remained employed through the end of the performance period, and such earned shares would become vested and issuable to him after the performance period ends. In addition, all outstanding stock options would remain exercisable for a period of twelve (12) months following the termination of employment (but not beyond the expiration of their respective maximum terms).</w:t>
      </w:r>
    </w:p>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All of Mr. Griffin’s equity awards that were outstanding as of September 27, 2024, are subject to the terms described above for the Griffin Agreement.</w:t>
      </w:r>
    </w:p>
    <w:p>
      <w:pPr>
        <w:spacing w:after="0" w:line="304" w:lineRule="exact"/>
        <w:rPr>
          <w:sz w:val="20"/>
          <w:szCs w:val="20"/>
          <w:color w:val="auto"/>
        </w:rPr>
      </w:pPr>
    </w:p>
    <w:p>
      <w:pPr>
        <w:jc w:val="both"/>
        <w:ind w:firstLine="389"/>
        <w:spacing w:after="0" w:line="297" w:lineRule="auto"/>
        <w:rPr>
          <w:sz w:val="20"/>
          <w:szCs w:val="20"/>
          <w:color w:val="auto"/>
        </w:rPr>
      </w:pPr>
      <w:r>
        <w:rPr>
          <w:rFonts w:ascii="Times New Roman" w:cs="Times New Roman" w:eastAsia="Times New Roman" w:hAnsi="Times New Roman"/>
          <w:sz w:val="18"/>
          <w:szCs w:val="18"/>
          <w:color w:val="auto"/>
        </w:rPr>
        <w:t>The Griffin Agreement is intended to be exempt from or compliant with Section 409A of the IRC and has an initial two (2) year term from May 10, 2023, and thereafter renews automatically on an annual basis for up to five (5) additional years unless either the Company or Mr. Griffin timely provides a notice of non-renewal to the other prior to the end of the then-current term. The payments due to Mr. Griffin under the Griffin Agreement are subject to potential reduction in the event that such payments would otherwise become subject to excise tax incurred under Section 4999 of the IRC, if such reduction would result in his retaining a larger amount, on an after-tax basis, than if he had received all of the payments due.</w:t>
      </w:r>
    </w:p>
    <w:p>
      <w:pPr>
        <w:spacing w:after="0" w:line="204" w:lineRule="exact"/>
        <w:rPr>
          <w:sz w:val="20"/>
          <w:szCs w:val="20"/>
          <w:color w:val="auto"/>
        </w:rPr>
      </w:pPr>
    </w:p>
    <w:p>
      <w:pPr>
        <w:jc w:val="both"/>
        <w:ind w:firstLine="389"/>
        <w:spacing w:after="0" w:line="313" w:lineRule="auto"/>
        <w:rPr>
          <w:sz w:val="20"/>
          <w:szCs w:val="20"/>
          <w:color w:val="auto"/>
        </w:rPr>
      </w:pPr>
      <w:r>
        <w:rPr>
          <w:rFonts w:ascii="Times New Roman" w:cs="Times New Roman" w:eastAsia="Times New Roman" w:hAnsi="Times New Roman"/>
          <w:sz w:val="18"/>
          <w:szCs w:val="18"/>
          <w:color w:val="auto"/>
        </w:rPr>
        <w:t>Additionally, the Griffin Agreement requires that Mr. Griffin sign a release of claims in favor of the Company before he is eligible to receive any benefits under the Griffin Agreement and contains a non-solicitation provision applicable to Mr. Griffin while he is employed by the Company and for twelve (12) months following the termination of his employment.</w:t>
      </w:r>
    </w:p>
    <w:p>
      <w:pPr>
        <w:spacing w:after="0" w:line="189" w:lineRule="exact"/>
        <w:rPr>
          <w:sz w:val="20"/>
          <w:szCs w:val="20"/>
          <w:color w:val="auto"/>
        </w:rPr>
      </w:pPr>
    </w:p>
    <w:p>
      <w:pPr>
        <w:jc w:val="both"/>
        <w:ind w:firstLine="389"/>
        <w:spacing w:after="0" w:line="329" w:lineRule="auto"/>
        <w:rPr>
          <w:sz w:val="20"/>
          <w:szCs w:val="20"/>
          <w:color w:val="auto"/>
        </w:rPr>
      </w:pPr>
      <w:r>
        <w:rPr>
          <w:rFonts w:ascii="Times New Roman" w:cs="Times New Roman" w:eastAsia="Times New Roman" w:hAnsi="Times New Roman"/>
          <w:sz w:val="18"/>
          <w:szCs w:val="18"/>
          <w:color w:val="auto"/>
        </w:rPr>
        <w:t>The terms “change in control,” “cause,” and “good reason” are each defined in the Griffin Agreement. Change in control means, in summary: (i) the acquisition by a person or a group of 40% or more of the outstanding stock of</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9" w:name="page30"/>
    <w:bookmarkEnd w:id="29"/>
    <w:p>
      <w:pPr>
        <w:jc w:val="both"/>
        <w:spacing w:after="0" w:line="294" w:lineRule="auto"/>
        <w:rPr>
          <w:sz w:val="20"/>
          <w:szCs w:val="20"/>
          <w:color w:val="auto"/>
        </w:rPr>
      </w:pPr>
      <w:r>
        <w:rPr>
          <w:rFonts w:ascii="Times New Roman" w:cs="Times New Roman" w:eastAsia="Times New Roman" w:hAnsi="Times New Roman"/>
          <w:sz w:val="18"/>
          <w:szCs w:val="18"/>
          <w:color w:val="auto"/>
        </w:rPr>
        <w:t>the Company; (ii) a change, without approval by the Board of Directors, of a majority of the Board of Directors of the Company; (iii) the acquisition of the Company by means of a reorganization, merger, consolidation, or asset sale; or (iv) stockholder approval of a liquidation or dissolution of the Company. Cause means, in summary: (i) deliberate dishonesty that is significantly detrimental to the best interests of the Company; (ii) conduct constituting an act of moral turpitude; (iii) willful disloyalty or insubordination; or (iv) incompetent performance or substantial or continuing inattention to or neglect of duties. Good reason means, in summary: (i) a material diminution in his base compensation, authority, duties, responsibilities, or budget over which he retains authority; (ii) a requirement that Mr. Griffin report to a corporate officer or employee instead of reporting directly to the Board of Directors; (iii) a material change in his office location; or (iv) any action or inaction constituting a material breach by the Company of the terms of the agreement.</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Mr. Sennesael, Mr. Kasnavi, Mr. Bori, and Mr. Terry</w:t>
      </w:r>
    </w:p>
    <w:p>
      <w:pPr>
        <w:spacing w:after="0" w:line="227" w:lineRule="exact"/>
        <w:rPr>
          <w:sz w:val="20"/>
          <w:szCs w:val="20"/>
          <w:color w:val="auto"/>
        </w:rPr>
      </w:pPr>
    </w:p>
    <w:p>
      <w:pPr>
        <w:jc w:val="both"/>
        <w:ind w:firstLine="389"/>
        <w:spacing w:after="0" w:line="305" w:lineRule="auto"/>
        <w:rPr>
          <w:sz w:val="20"/>
          <w:szCs w:val="20"/>
          <w:color w:val="auto"/>
        </w:rPr>
      </w:pPr>
      <w:r>
        <w:rPr>
          <w:rFonts w:ascii="Times New Roman" w:cs="Times New Roman" w:eastAsia="Times New Roman" w:hAnsi="Times New Roman"/>
          <w:sz w:val="18"/>
          <w:szCs w:val="18"/>
          <w:color w:val="auto"/>
        </w:rPr>
        <w:t>The Company entered into Amended and Restated Change in Control / Severance Agreements with each of Mr. Sennesael, Mr. Kasnavi, Mr. Bori, and Mr. Terry on May 10, 2023, respectively. Each such Amended and Restated Change in Control / Severance Agreement is referred to herein as a “CIC Agreement.”</w:t>
      </w:r>
    </w:p>
    <w:p>
      <w:pPr>
        <w:spacing w:after="0" w:line="210" w:lineRule="exact"/>
        <w:rPr>
          <w:sz w:val="20"/>
          <w:szCs w:val="20"/>
          <w:color w:val="auto"/>
        </w:rPr>
      </w:pPr>
    </w:p>
    <w:p>
      <w:pPr>
        <w:jc w:val="both"/>
        <w:ind w:firstLine="389"/>
        <w:spacing w:after="0" w:line="278" w:lineRule="auto"/>
        <w:rPr>
          <w:sz w:val="20"/>
          <w:szCs w:val="20"/>
          <w:color w:val="auto"/>
        </w:rPr>
      </w:pPr>
      <w:r>
        <w:rPr>
          <w:rFonts w:ascii="Times New Roman" w:cs="Times New Roman" w:eastAsia="Times New Roman" w:hAnsi="Times New Roman"/>
          <w:sz w:val="18"/>
          <w:szCs w:val="18"/>
          <w:color w:val="auto"/>
        </w:rPr>
        <w:t>Each CIC Agreement sets out severance benefits that become payable if the executive officer experiences a Qualifying Termination. The severance benefits provided to the executive in such circumstances would consist of the following: (i) a lump sum payment equal to one and one-half (1</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times the sum of (A) all of the executive’s annual base salary immediately prior to the change in control, and (B) the CIC Bonus Amount; (ii) all of the executive’s then-outstanding stock options would remain exercisable for a period of eighteen (18) months after the termination date (but not beyond the expiration of their respective maximum terms); and (iii) COBRA continuation for up to eighteen (18) months after the termination date.</w:t>
      </w:r>
    </w:p>
    <w:p>
      <w:pPr>
        <w:spacing w:after="0" w:line="220" w:lineRule="exact"/>
        <w:rPr>
          <w:sz w:val="20"/>
          <w:szCs w:val="20"/>
          <w:color w:val="auto"/>
        </w:rPr>
      </w:pPr>
    </w:p>
    <w:p>
      <w:pPr>
        <w:jc w:val="both"/>
        <w:ind w:firstLine="389"/>
        <w:spacing w:after="0" w:line="293" w:lineRule="auto"/>
        <w:rPr>
          <w:sz w:val="20"/>
          <w:szCs w:val="20"/>
          <w:color w:val="auto"/>
        </w:rPr>
      </w:pPr>
      <w:r>
        <w:rPr>
          <w:rFonts w:ascii="Times New Roman" w:cs="Times New Roman" w:eastAsia="Times New Roman" w:hAnsi="Times New Roman"/>
          <w:sz w:val="18"/>
          <w:szCs w:val="18"/>
          <w:color w:val="auto"/>
        </w:rPr>
        <w:t>Each CIC Agreement also provides that in the event of a Qualifying Termination, the executive is entitled to full acceleration of the vesting of all of his outstanding equity awards (including stock options, restricted stock awards, RSU awards, and all earned but unissued performance-based equity awards). At the time of a change in control, all such outstanding equity awards would continue to be subject to the same time-based vesting schedule to which the awards were subject prior to the change in control (including performance-based equity awards that are deemed earned at the time of the change in control as described below). For performance-based equity awards where the change in control occurs prior to the end of the performance period, such awards would be deemed earned as to the greater of (i) the target level of shares for such awards, or (ii) if such calculation is determined to be practicable by the Compensation Committee, the number of shares that would have been earned pursuant to the terms of such awards based upon performance up through and including the day prior to the date of the change in control. In the event that the successor or surviving company does not agree to assume, or to substitute for, such outstanding equity awards on substantially similar terms with substantially equivalent economic benefits as exist for such award immediately prior to the change in control, then such awards would accelerate in full as of the change in control.</w:t>
      </w:r>
    </w:p>
    <w:p>
      <w:pPr>
        <w:spacing w:after="0" w:line="227" w:lineRule="exact"/>
        <w:rPr>
          <w:sz w:val="20"/>
          <w:szCs w:val="20"/>
          <w:color w:val="auto"/>
        </w:rPr>
      </w:pPr>
    </w:p>
    <w:p>
      <w:pPr>
        <w:jc w:val="both"/>
        <w:ind w:firstLine="389"/>
        <w:spacing w:after="0" w:line="294" w:lineRule="auto"/>
        <w:rPr>
          <w:sz w:val="20"/>
          <w:szCs w:val="20"/>
          <w:color w:val="auto"/>
        </w:rPr>
      </w:pPr>
      <w:r>
        <w:rPr>
          <w:rFonts w:ascii="Times New Roman" w:cs="Times New Roman" w:eastAsia="Times New Roman" w:hAnsi="Times New Roman"/>
          <w:sz w:val="18"/>
          <w:szCs w:val="18"/>
          <w:color w:val="auto"/>
        </w:rPr>
        <w:t>Each CIC Agreement also sets out severance benefits outside a change in control that become payable if the executive’s employment is terminated by the Company without cause. The severance benefits provided to the executive under such circumstance would consist of the following: (i) biweekly compensation continuation payments commencing not more than sixty (60) days after such termination and continuing for a period of twelve (12) months, with each such compensation continuation payment being equal to the aggregate payment amount divided by twenty-six (26), where the aggregate payment is equal to the sum of (x) his then-current annual base salary, and (y) any short-term cash incentive award then due; (ii) all then-vested outstanding stock options would remain exercisable for a period of twelve (12) months after the termination date (but not beyond the expiration of their respective maximum terms); and (iii) COBRA continuation coverage for up to twelve (12) months after the termination date.</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30" w:name="page31"/>
    <w:bookmarkEnd w:id="30"/>
    <w:p>
      <w:pPr>
        <w:jc w:val="both"/>
        <w:ind w:firstLine="389"/>
        <w:spacing w:after="0" w:line="293" w:lineRule="auto"/>
        <w:rPr>
          <w:sz w:val="20"/>
          <w:szCs w:val="20"/>
          <w:color w:val="auto"/>
        </w:rPr>
      </w:pPr>
      <w:r>
        <w:rPr>
          <w:rFonts w:ascii="Times New Roman" w:cs="Times New Roman" w:eastAsia="Times New Roman" w:hAnsi="Times New Roman"/>
          <w:sz w:val="18"/>
          <w:szCs w:val="18"/>
          <w:color w:val="auto"/>
        </w:rPr>
        <w:t>In the event of the executive’s death or permanent disability (within the meaning of Section 22(e)(3) of the IRC), each CIC Agreement provides for full acceleration of the vesting of all then-outstanding equity awards subject to time-based vesting (including stock options, restricted stock awards, RSU awards, and all performance-based equity awards where the performance period has ended and the shares are earned but unissued). Each CIC Agreement also provides that for a performance-based equity award where the executive’s death or permanent disability occurs prior to the end of the performance period, such award would be deemed earned as to the greater of (i) the target level of shares for such award, or (ii) the number of shares that would have been earned pursuant to the terms of such award had the executive remained employed through the end of the performance period, and such earned shares would become vested and issuable to the executive after the performance period ends. In addition, all outstanding stock options would remain exercisable for a period of twelve (12) months following the termination of employment (but not beyond the expiration of their respective maximum terms).</w:t>
      </w:r>
    </w:p>
    <w:p>
      <w:pPr>
        <w:spacing w:after="0" w:line="219" w:lineRule="exact"/>
        <w:rPr>
          <w:sz w:val="20"/>
          <w:szCs w:val="20"/>
          <w:color w:val="auto"/>
        </w:rPr>
      </w:pPr>
    </w:p>
    <w:p>
      <w:pPr>
        <w:jc w:val="both"/>
        <w:ind w:firstLine="389"/>
        <w:spacing w:after="0" w:line="313" w:lineRule="auto"/>
        <w:rPr>
          <w:sz w:val="20"/>
          <w:szCs w:val="20"/>
          <w:color w:val="auto"/>
        </w:rPr>
      </w:pPr>
      <w:r>
        <w:rPr>
          <w:rFonts w:ascii="Times New Roman" w:cs="Times New Roman" w:eastAsia="Times New Roman" w:hAnsi="Times New Roman"/>
          <w:sz w:val="18"/>
          <w:szCs w:val="18"/>
          <w:color w:val="auto"/>
        </w:rPr>
        <w:t>All of the equity awards that are outstanding as of September 27, 2024 for each of Mr. Sennesael, Mr. Kasnavi, Mr. Bori, and Mr. Terry are subject to the terms described above for the CIC Agreements.</w:t>
      </w:r>
    </w:p>
    <w:p>
      <w:pPr>
        <w:spacing w:after="0" w:line="203" w:lineRule="exact"/>
        <w:rPr>
          <w:sz w:val="20"/>
          <w:szCs w:val="20"/>
          <w:color w:val="auto"/>
        </w:rPr>
      </w:pPr>
    </w:p>
    <w:p>
      <w:pPr>
        <w:jc w:val="both"/>
        <w:ind w:firstLine="389"/>
        <w:spacing w:after="0" w:line="297" w:lineRule="auto"/>
        <w:rPr>
          <w:sz w:val="20"/>
          <w:szCs w:val="20"/>
          <w:color w:val="auto"/>
        </w:rPr>
      </w:pPr>
      <w:r>
        <w:rPr>
          <w:rFonts w:ascii="Times New Roman" w:cs="Times New Roman" w:eastAsia="Times New Roman" w:hAnsi="Times New Roman"/>
          <w:sz w:val="18"/>
          <w:szCs w:val="18"/>
          <w:color w:val="auto"/>
        </w:rPr>
        <w:t>Each CIC Agreement is intended to be exempt from or compliant with Section 409A of the IRC and has an initial two (2) year term, and thereafter renews automatically on an annual basis for up to five (5) additional years unless either the Company or the executive timely provides a notice of non-renewal to the other prior to the end of the then-current term. The payments due to each executive under his or her CIC Agreement are subject to potential reduction in the event that such payments would otherwise become subject to excise tax incurred under Section 4999 of the IRC, if such reduction would result in the executive retaining a larger amount, on an after-tax basis, than if he had received all of the payments due.</w:t>
      </w:r>
    </w:p>
    <w:p>
      <w:pPr>
        <w:spacing w:after="0" w:line="218" w:lineRule="exact"/>
        <w:rPr>
          <w:sz w:val="20"/>
          <w:szCs w:val="20"/>
          <w:color w:val="auto"/>
        </w:rPr>
      </w:pPr>
    </w:p>
    <w:p>
      <w:pPr>
        <w:jc w:val="both"/>
        <w:ind w:firstLine="389"/>
        <w:spacing w:after="0" w:line="305" w:lineRule="auto"/>
        <w:rPr>
          <w:sz w:val="20"/>
          <w:szCs w:val="20"/>
          <w:color w:val="auto"/>
        </w:rPr>
      </w:pPr>
      <w:r>
        <w:rPr>
          <w:rFonts w:ascii="Times New Roman" w:cs="Times New Roman" w:eastAsia="Times New Roman" w:hAnsi="Times New Roman"/>
          <w:sz w:val="18"/>
          <w:szCs w:val="18"/>
          <w:color w:val="auto"/>
        </w:rPr>
        <w:t>Additionally, each CIC Agreement requires that the executive sign a release of claims in favor of the Company before he is eligible to receive any benefits under the agreement. Each CIC Agreement also contains non-solicitation provisions applicable to the executive while he is employed by the Company and for a period of twelve (12) months following the termination of his employment.</w:t>
      </w:r>
    </w:p>
    <w:p>
      <w:pPr>
        <w:spacing w:after="0" w:line="196" w:lineRule="exact"/>
        <w:rPr>
          <w:sz w:val="20"/>
          <w:szCs w:val="20"/>
          <w:color w:val="auto"/>
        </w:rPr>
      </w:pPr>
    </w:p>
    <w:p>
      <w:pPr>
        <w:jc w:val="both"/>
        <w:ind w:firstLine="389"/>
        <w:spacing w:after="0" w:line="293" w:lineRule="auto"/>
        <w:rPr>
          <w:sz w:val="20"/>
          <w:szCs w:val="20"/>
          <w:color w:val="auto"/>
        </w:rPr>
      </w:pPr>
      <w:r>
        <w:rPr>
          <w:rFonts w:ascii="Times New Roman" w:cs="Times New Roman" w:eastAsia="Times New Roman" w:hAnsi="Times New Roman"/>
          <w:sz w:val="18"/>
          <w:szCs w:val="18"/>
          <w:color w:val="auto"/>
        </w:rPr>
        <w:t>The terms “change in control,” “cause,” and “good reason” are each defined in the CIC Agreements. Change in control means, in summary: (i) the acquisition by a person or a group of 40% or more of the outstanding stock of the Company; (ii) a change, without approval by the Board of Directors, of a majority of the Board of Directors of the Company; (iii) the acquisition of the Company by means of a reorganization, merger, consolidation, or asset sale; or (iv) stockholder approval of a liquidation or dissolution of the Company. Cause means, in summary: (i) deliberate dishonesty that is significantly detrimental to the best interests of the Company; (ii) conduct constituting an act of moral turpitude; (iii) willful disloyalty or insubordination; or (iv) incompetent performance or substantial or continuing inattention to or neglect of duties. Good reason means, in summary: (i) a material diminution in the executive’s base compensation, authority, duties, or responsibilities; (ii) a material diminution in the authority, duties, or responsibilities of the executive’s supervisor; (iii) a material change in the executive’s office location; or (iv) any action or inaction constituting a material breach by the Company of the terms of the agreement.</w:t>
      </w:r>
    </w:p>
    <w:p>
      <w:pPr>
        <w:spacing w:after="0" w:line="223" w:lineRule="exact"/>
        <w:rPr>
          <w:sz w:val="20"/>
          <w:szCs w:val="20"/>
          <w:color w:val="auto"/>
        </w:rPr>
      </w:pPr>
    </w:p>
    <w:p>
      <w:pPr>
        <w:jc w:val="both"/>
        <w:ind w:right="20" w:firstLine="389"/>
        <w:spacing w:after="0" w:line="313" w:lineRule="auto"/>
        <w:rPr>
          <w:sz w:val="20"/>
          <w:szCs w:val="20"/>
          <w:color w:val="auto"/>
        </w:rPr>
      </w:pPr>
      <w:r>
        <w:rPr>
          <w:rFonts w:ascii="Times New Roman" w:cs="Times New Roman" w:eastAsia="Times New Roman" w:hAnsi="Times New Roman"/>
          <w:sz w:val="18"/>
          <w:szCs w:val="18"/>
          <w:color w:val="auto"/>
        </w:rPr>
        <w:t>The following table summarizes the payments and benefits that would be made by the Company to the Named Executive Officers as of September 27, 2024, in the following circumstances as of such date:</w:t>
      </w:r>
    </w:p>
    <w:p>
      <w:pPr>
        <w:spacing w:after="0" w:line="68"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without cause outside of a change in control;</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without cause or for good reason in connection with a change in control;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termination of employment because of death or disability.</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31" w:name="page32"/>
    <w:bookmarkEnd w:id="31"/>
    <w:p>
      <w:pPr>
        <w:ind w:firstLine="389"/>
        <w:spacing w:after="0" w:line="313" w:lineRule="auto"/>
        <w:rPr>
          <w:sz w:val="20"/>
          <w:szCs w:val="20"/>
          <w:color w:val="auto"/>
        </w:rPr>
      </w:pPr>
      <w:r>
        <w:rPr>
          <w:rFonts w:ascii="Times New Roman" w:cs="Times New Roman" w:eastAsia="Times New Roman" w:hAnsi="Times New Roman"/>
          <w:sz w:val="18"/>
          <w:szCs w:val="18"/>
          <w:color w:val="auto"/>
        </w:rPr>
        <w:t>The accelerated equity values in the table reflect a price of $98.85 per share, which was the closing sale price of the Company’s common stock on the Nasdaq Global Select Market on September 27, 2024. The table does not reflect any equity awards made after September 27, 2024.</w:t>
      </w:r>
    </w:p>
    <w:p>
      <w:pPr>
        <w:spacing w:after="0" w:line="248"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236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02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6"/>
              </w:rPr>
              <w:t>Termination</w:t>
            </w:r>
          </w:p>
        </w:tc>
        <w:tc>
          <w:tcPr>
            <w:tcW w:w="166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Termination</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36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020" w:type="dxa"/>
            <w:vAlign w:val="bottom"/>
            <w:vMerge w:val="continue"/>
          </w:tcPr>
          <w:p>
            <w:pPr>
              <w:spacing w:after="0"/>
              <w:rPr>
                <w:sz w:val="16"/>
                <w:szCs w:val="16"/>
                <w:color w:val="auto"/>
              </w:rPr>
            </w:pPr>
          </w:p>
        </w:tc>
        <w:tc>
          <w:tcPr>
            <w:tcW w:w="1660" w:type="dxa"/>
            <w:vAlign w:val="bottom"/>
          </w:tcPr>
          <w:p>
            <w:pPr>
              <w:jc w:val="center"/>
              <w:ind w:right="2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w/o Cause</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3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02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w/o Cause</w:t>
            </w:r>
          </w:p>
        </w:tc>
        <w:tc>
          <w:tcPr>
            <w:tcW w:w="1660" w:type="dxa"/>
            <w:vAlign w:val="bottom"/>
          </w:tcPr>
          <w:p>
            <w:pPr>
              <w:jc w:val="center"/>
              <w:ind w:right="250"/>
              <w:spacing w:after="0" w:line="176" w:lineRule="exact"/>
              <w:rPr>
                <w:sz w:val="20"/>
                <w:szCs w:val="20"/>
                <w:color w:val="auto"/>
              </w:rPr>
            </w:pPr>
            <w:r>
              <w:rPr>
                <w:rFonts w:ascii="Times New Roman" w:cs="Times New Roman" w:eastAsia="Times New Roman" w:hAnsi="Times New Roman"/>
                <w:sz w:val="18"/>
                <w:szCs w:val="18"/>
                <w:b w:val="1"/>
                <w:bCs w:val="1"/>
                <w:color w:val="auto"/>
              </w:rPr>
              <w:t>or for Good</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02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Outside</w:t>
            </w:r>
          </w:p>
        </w:tc>
        <w:tc>
          <w:tcPr>
            <w:tcW w:w="1660" w:type="dxa"/>
            <w:vAlign w:val="bottom"/>
          </w:tcPr>
          <w:p>
            <w:pPr>
              <w:jc w:val="center"/>
              <w:ind w:right="2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Reason,</w:t>
            </w:r>
          </w:p>
        </w:tc>
        <w:tc>
          <w:tcPr>
            <w:tcW w:w="126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Death/</w:t>
            </w:r>
          </w:p>
        </w:tc>
        <w:tc>
          <w:tcPr>
            <w:tcW w:w="0" w:type="dxa"/>
            <w:vAlign w:val="bottom"/>
          </w:tcPr>
          <w:p>
            <w:pPr>
              <w:spacing w:after="0"/>
              <w:rPr>
                <w:sz w:val="1"/>
                <w:szCs w:val="1"/>
                <w:color w:val="auto"/>
              </w:rPr>
            </w:pPr>
          </w:p>
        </w:tc>
      </w:tr>
      <w:tr>
        <w:trPr>
          <w:trHeight w:val="189"/>
        </w:trPr>
        <w:tc>
          <w:tcPr>
            <w:tcW w:w="236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02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Change in</w:t>
            </w:r>
          </w:p>
        </w:tc>
        <w:tc>
          <w:tcPr>
            <w:tcW w:w="1660" w:type="dxa"/>
            <w:vAlign w:val="bottom"/>
          </w:tcPr>
          <w:p>
            <w:pPr>
              <w:jc w:val="center"/>
              <w:ind w:right="250"/>
              <w:spacing w:after="0" w:line="189" w:lineRule="exact"/>
              <w:rPr>
                <w:sz w:val="20"/>
                <w:szCs w:val="20"/>
                <w:color w:val="auto"/>
              </w:rPr>
            </w:pPr>
            <w:r>
              <w:rPr>
                <w:rFonts w:ascii="Times New Roman" w:cs="Times New Roman" w:eastAsia="Times New Roman" w:hAnsi="Times New Roman"/>
                <w:sz w:val="18"/>
                <w:szCs w:val="18"/>
                <w:b w:val="1"/>
                <w:bCs w:val="1"/>
                <w:color w:val="auto"/>
                <w:w w:val="97"/>
              </w:rPr>
              <w:t>After</w:t>
            </w: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3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02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Control</w:t>
            </w:r>
          </w:p>
        </w:tc>
        <w:tc>
          <w:tcPr>
            <w:tcW w:w="1660" w:type="dxa"/>
            <w:vAlign w:val="bottom"/>
          </w:tcPr>
          <w:p>
            <w:pPr>
              <w:jc w:val="center"/>
              <w:ind w:right="2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Change in</w:t>
            </w:r>
          </w:p>
        </w:tc>
        <w:tc>
          <w:tcPr>
            <w:tcW w:w="126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Disability</w:t>
            </w:r>
          </w:p>
        </w:tc>
        <w:tc>
          <w:tcPr>
            <w:tcW w:w="0" w:type="dxa"/>
            <w:vAlign w:val="bottom"/>
          </w:tcPr>
          <w:p>
            <w:pPr>
              <w:spacing w:after="0"/>
              <w:rPr>
                <w:sz w:val="1"/>
                <w:szCs w:val="1"/>
                <w:color w:val="auto"/>
              </w:rPr>
            </w:pPr>
          </w:p>
        </w:tc>
      </w:tr>
      <w:tr>
        <w:trPr>
          <w:trHeight w:val="265"/>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3520" w:type="dxa"/>
            <w:vAlign w:val="bottom"/>
          </w:tcPr>
          <w:p>
            <w:pPr>
              <w:ind w:left="1480"/>
              <w:spacing w:after="0"/>
              <w:rPr>
                <w:sz w:val="20"/>
                <w:szCs w:val="20"/>
                <w:color w:val="auto"/>
              </w:rPr>
            </w:pPr>
            <w:r>
              <w:rPr>
                <w:rFonts w:ascii="Times New Roman" w:cs="Times New Roman" w:eastAsia="Times New Roman" w:hAnsi="Times New Roman"/>
                <w:sz w:val="18"/>
                <w:szCs w:val="18"/>
                <w:b w:val="1"/>
                <w:bCs w:val="1"/>
                <w:color w:val="auto"/>
              </w:rPr>
              <w:t>Benefit</w:t>
            </w:r>
          </w:p>
        </w:tc>
        <w:tc>
          <w:tcPr>
            <w:tcW w:w="20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($)(1)</w:t>
            </w:r>
          </w:p>
        </w:tc>
        <w:tc>
          <w:tcPr>
            <w:tcW w:w="166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Control ($)</w:t>
            </w: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0" w:type="dxa"/>
            <w:vAlign w:val="bottom"/>
          </w:tcPr>
          <w:p>
            <w:pPr>
              <w:spacing w:after="0"/>
              <w:rPr>
                <w:sz w:val="1"/>
                <w:szCs w:val="1"/>
                <w:color w:val="auto"/>
              </w:rPr>
            </w:pPr>
          </w:p>
        </w:tc>
      </w:tr>
      <w:tr>
        <w:trPr>
          <w:trHeight w:val="234"/>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Liam K. Griffin(2)</w:t>
            </w: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Salary and Short-Term Incentive</w:t>
            </w:r>
          </w:p>
        </w:tc>
        <w:tc>
          <w:tcPr>
            <w:tcW w:w="2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6,119,006(3)</w:t>
            </w:r>
          </w:p>
        </w:tc>
        <w:tc>
          <w:tcPr>
            <w:tcW w:w="1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7,648,758(4)</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360" w:type="dxa"/>
            <w:vAlign w:val="bottom"/>
            <w:shd w:val="clear" w:color="auto" w:fill="DBDBDB"/>
          </w:tcPr>
          <w:p>
            <w:pPr>
              <w:spacing w:after="0"/>
              <w:rPr>
                <w:sz w:val="19"/>
                <w:szCs w:val="19"/>
                <w:color w:val="auto"/>
              </w:rPr>
            </w:pPr>
          </w:p>
        </w:tc>
        <w:tc>
          <w:tcPr>
            <w:tcW w:w="35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Accelerated RSUs</w:t>
            </w:r>
          </w:p>
        </w:tc>
        <w:tc>
          <w:tcPr>
            <w:tcW w:w="2020" w:type="dxa"/>
            <w:vAlign w:val="bottom"/>
            <w:shd w:val="clear" w:color="auto" w:fill="DBDBDB"/>
          </w:tcPr>
          <w:p>
            <w:pPr>
              <w:jc w:val="right"/>
              <w:ind w:right="90"/>
              <w:spacing w:after="0"/>
              <w:rPr>
                <w:sz w:val="20"/>
                <w:szCs w:val="20"/>
                <w:color w:val="auto"/>
              </w:rPr>
            </w:pPr>
            <w:r>
              <w:rPr>
                <w:rFonts w:ascii="Times New Roman" w:cs="Times New Roman" w:eastAsia="Times New Roman" w:hAnsi="Times New Roman"/>
                <w:sz w:val="18"/>
                <w:szCs w:val="18"/>
                <w:color w:val="auto"/>
              </w:rPr>
              <w:t>12,870,863</w:t>
            </w:r>
          </w:p>
        </w:tc>
        <w:tc>
          <w:tcPr>
            <w:tcW w:w="1660" w:type="dxa"/>
            <w:vAlign w:val="bottom"/>
            <w:shd w:val="clear" w:color="auto" w:fill="DBDBDB"/>
          </w:tcPr>
          <w:p>
            <w:pPr>
              <w:jc w:val="right"/>
              <w:ind w:right="110"/>
              <w:spacing w:after="0"/>
              <w:rPr>
                <w:sz w:val="20"/>
                <w:szCs w:val="20"/>
                <w:color w:val="auto"/>
              </w:rPr>
            </w:pPr>
            <w:r>
              <w:rPr>
                <w:rFonts w:ascii="Times New Roman" w:cs="Times New Roman" w:eastAsia="Times New Roman" w:hAnsi="Times New Roman"/>
                <w:sz w:val="18"/>
                <w:szCs w:val="18"/>
                <w:color w:val="auto"/>
              </w:rPr>
              <w:t>12,870,863</w:t>
            </w:r>
          </w:p>
        </w:tc>
        <w:tc>
          <w:tcPr>
            <w:tcW w:w="12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12,870,863</w:t>
            </w:r>
          </w:p>
        </w:tc>
        <w:tc>
          <w:tcPr>
            <w:tcW w:w="0" w:type="dxa"/>
            <w:vAlign w:val="bottom"/>
          </w:tcPr>
          <w:p>
            <w:pPr>
              <w:spacing w:after="0"/>
              <w:rPr>
                <w:sz w:val="1"/>
                <w:szCs w:val="1"/>
                <w:color w:val="auto"/>
              </w:rPr>
            </w:pPr>
          </w:p>
        </w:tc>
      </w:tr>
      <w:tr>
        <w:trPr>
          <w:trHeight w:val="230"/>
        </w:trPr>
        <w:tc>
          <w:tcPr>
            <w:tcW w:w="2360" w:type="dxa"/>
            <w:vAlign w:val="bottom"/>
          </w:tcPr>
          <w:p>
            <w:pPr>
              <w:spacing w:after="0"/>
              <w:rPr>
                <w:sz w:val="19"/>
                <w:szCs w:val="19"/>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Accelerated PSAs (5)</w:t>
            </w:r>
          </w:p>
        </w:tc>
        <w:tc>
          <w:tcPr>
            <w:tcW w:w="2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23,064,671</w:t>
            </w:r>
          </w:p>
        </w:tc>
        <w:tc>
          <w:tcPr>
            <w:tcW w:w="1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23,064,671</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23,064,671</w:t>
            </w:r>
          </w:p>
        </w:tc>
        <w:tc>
          <w:tcPr>
            <w:tcW w:w="0" w:type="dxa"/>
            <w:vAlign w:val="bottom"/>
          </w:tcPr>
          <w:p>
            <w:pPr>
              <w:spacing w:after="0"/>
              <w:rPr>
                <w:sz w:val="1"/>
                <w:szCs w:val="1"/>
                <w:color w:val="auto"/>
              </w:rPr>
            </w:pPr>
          </w:p>
        </w:tc>
      </w:tr>
      <w:tr>
        <w:trPr>
          <w:trHeight w:val="229"/>
        </w:trPr>
        <w:tc>
          <w:tcPr>
            <w:tcW w:w="2360" w:type="dxa"/>
            <w:vAlign w:val="bottom"/>
            <w:shd w:val="clear" w:color="auto" w:fill="DBDBDB"/>
          </w:tcPr>
          <w:p>
            <w:pPr>
              <w:spacing w:after="0"/>
              <w:rPr>
                <w:sz w:val="19"/>
                <w:szCs w:val="19"/>
                <w:color w:val="auto"/>
              </w:rPr>
            </w:pPr>
          </w:p>
        </w:tc>
        <w:tc>
          <w:tcPr>
            <w:tcW w:w="35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Medical</w:t>
            </w:r>
          </w:p>
        </w:tc>
        <w:tc>
          <w:tcPr>
            <w:tcW w:w="2020" w:type="dxa"/>
            <w:vAlign w:val="bottom"/>
            <w:tcBorders>
              <w:bottom w:val="single" w:sz="8" w:color="auto"/>
            </w:tcBorders>
            <w:shd w:val="clear" w:color="auto" w:fill="DBDBDB"/>
          </w:tcPr>
          <w:p>
            <w:pPr>
              <w:jc w:val="right"/>
              <w:ind w:right="90"/>
              <w:spacing w:after="0"/>
              <w:rPr>
                <w:sz w:val="20"/>
                <w:szCs w:val="20"/>
                <w:color w:val="auto"/>
              </w:rPr>
            </w:pPr>
            <w:r>
              <w:rPr>
                <w:rFonts w:ascii="Times New Roman" w:cs="Times New Roman" w:eastAsia="Times New Roman" w:hAnsi="Times New Roman"/>
                <w:sz w:val="18"/>
                <w:szCs w:val="18"/>
                <w:color w:val="auto"/>
              </w:rPr>
              <w:t>37,903</w:t>
            </w:r>
          </w:p>
        </w:tc>
        <w:tc>
          <w:tcPr>
            <w:tcW w:w="1660" w:type="dxa"/>
            <w:vAlign w:val="bottom"/>
            <w:tcBorders>
              <w:bottom w:val="single" w:sz="8" w:color="auto"/>
            </w:tcBorders>
            <w:shd w:val="clear" w:color="auto" w:fill="DBDBDB"/>
          </w:tcPr>
          <w:p>
            <w:pPr>
              <w:jc w:val="right"/>
              <w:ind w:right="110"/>
              <w:spacing w:after="0"/>
              <w:rPr>
                <w:sz w:val="20"/>
                <w:szCs w:val="20"/>
                <w:color w:val="auto"/>
              </w:rPr>
            </w:pPr>
            <w:r>
              <w:rPr>
                <w:rFonts w:ascii="Times New Roman" w:cs="Times New Roman" w:eastAsia="Times New Roman" w:hAnsi="Times New Roman"/>
                <w:sz w:val="18"/>
                <w:szCs w:val="18"/>
                <w:color w:val="auto"/>
              </w:rPr>
              <w:t>45,483</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360" w:type="dxa"/>
            <w:vAlign w:val="bottom"/>
          </w:tcPr>
          <w:p>
            <w:pPr>
              <w:spacing w:after="0"/>
              <w:rPr>
                <w:sz w:val="19"/>
                <w:szCs w:val="19"/>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42,092,443</w:t>
            </w:r>
          </w:p>
        </w:tc>
        <w:tc>
          <w:tcPr>
            <w:tcW w:w="16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43,629,775</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35,935,534</w:t>
            </w:r>
          </w:p>
        </w:tc>
        <w:tc>
          <w:tcPr>
            <w:tcW w:w="0" w:type="dxa"/>
            <w:vAlign w:val="bottom"/>
          </w:tcPr>
          <w:p>
            <w:pPr>
              <w:spacing w:after="0"/>
              <w:rPr>
                <w:sz w:val="1"/>
                <w:szCs w:val="1"/>
                <w:color w:val="auto"/>
              </w:rPr>
            </w:pPr>
          </w:p>
        </w:tc>
      </w:tr>
      <w:tr>
        <w:trPr>
          <w:trHeight w:val="20"/>
        </w:trPr>
        <w:tc>
          <w:tcPr>
            <w:tcW w:w="2360" w:type="dxa"/>
            <w:vAlign w:val="bottom"/>
            <w:tcBorders>
              <w:bottom w:val="single" w:sz="8" w:color="DBDBDB"/>
            </w:tcBorders>
          </w:tcPr>
          <w:p>
            <w:pPr>
              <w:spacing w:after="0" w:line="20" w:lineRule="exact"/>
              <w:rPr>
                <w:sz w:val="1"/>
                <w:szCs w:val="1"/>
                <w:color w:val="auto"/>
              </w:rPr>
            </w:pPr>
          </w:p>
        </w:tc>
        <w:tc>
          <w:tcPr>
            <w:tcW w:w="3520" w:type="dxa"/>
            <w:vAlign w:val="bottom"/>
            <w:tcBorders>
              <w:bottom w:val="single" w:sz="8" w:color="DBDBDB"/>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360" w:type="dxa"/>
            <w:vAlign w:val="bottom"/>
            <w:shd w:val="clear" w:color="auto" w:fill="DBDBDB"/>
          </w:tcPr>
          <w:p>
            <w:pPr>
              <w:spacing w:after="0"/>
              <w:rPr>
                <w:sz w:val="20"/>
                <w:szCs w:val="20"/>
                <w:color w:val="auto"/>
              </w:rPr>
            </w:pPr>
            <w:r>
              <w:rPr>
                <w:rFonts w:ascii="Times New Roman" w:cs="Times New Roman" w:eastAsia="Times New Roman" w:hAnsi="Times New Roman"/>
                <w:sz w:val="18"/>
                <w:szCs w:val="18"/>
                <w:color w:val="auto"/>
              </w:rPr>
              <w:t>Kris Sennesael(2)</w:t>
            </w:r>
          </w:p>
        </w:tc>
        <w:tc>
          <w:tcPr>
            <w:tcW w:w="35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Salary and Short-Term Incentive</w:t>
            </w:r>
          </w:p>
        </w:tc>
        <w:tc>
          <w:tcPr>
            <w:tcW w:w="2020" w:type="dxa"/>
            <w:vAlign w:val="bottom"/>
            <w:shd w:val="clear" w:color="auto" w:fill="DBDBDB"/>
          </w:tcPr>
          <w:p>
            <w:pPr>
              <w:jc w:val="right"/>
              <w:ind w:right="90"/>
              <w:spacing w:after="0"/>
              <w:rPr>
                <w:sz w:val="20"/>
                <w:szCs w:val="20"/>
                <w:color w:val="auto"/>
              </w:rPr>
            </w:pPr>
            <w:r>
              <w:rPr>
                <w:rFonts w:ascii="Times New Roman" w:cs="Times New Roman" w:eastAsia="Times New Roman" w:hAnsi="Times New Roman"/>
                <w:sz w:val="18"/>
                <w:szCs w:val="18"/>
                <w:color w:val="auto"/>
              </w:rPr>
              <w:t>630,000(6)</w:t>
            </w:r>
          </w:p>
        </w:tc>
        <w:tc>
          <w:tcPr>
            <w:tcW w:w="1660" w:type="dxa"/>
            <w:vAlign w:val="bottom"/>
            <w:shd w:val="clear" w:color="auto" w:fill="DBDBDB"/>
          </w:tcPr>
          <w:p>
            <w:pPr>
              <w:jc w:val="right"/>
              <w:ind w:right="110"/>
              <w:spacing w:after="0"/>
              <w:rPr>
                <w:sz w:val="20"/>
                <w:szCs w:val="20"/>
                <w:color w:val="auto"/>
              </w:rPr>
            </w:pPr>
            <w:r>
              <w:rPr>
                <w:rFonts w:ascii="Times New Roman" w:cs="Times New Roman" w:eastAsia="Times New Roman" w:hAnsi="Times New Roman"/>
                <w:sz w:val="18"/>
                <w:szCs w:val="18"/>
                <w:color w:val="auto"/>
              </w:rPr>
              <w:t>1,890,000(7)</w:t>
            </w:r>
          </w:p>
        </w:tc>
        <w:tc>
          <w:tcPr>
            <w:tcW w:w="12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360" w:type="dxa"/>
            <w:vAlign w:val="bottom"/>
          </w:tcPr>
          <w:p>
            <w:pPr>
              <w:spacing w:after="0"/>
              <w:rPr>
                <w:sz w:val="19"/>
                <w:szCs w:val="19"/>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Accelerated RSUs</w:t>
            </w:r>
          </w:p>
        </w:tc>
        <w:tc>
          <w:tcPr>
            <w:tcW w:w="2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3,648,751</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3,648,751</w:t>
            </w:r>
          </w:p>
        </w:tc>
        <w:tc>
          <w:tcPr>
            <w:tcW w:w="0" w:type="dxa"/>
            <w:vAlign w:val="bottom"/>
          </w:tcPr>
          <w:p>
            <w:pPr>
              <w:spacing w:after="0"/>
              <w:rPr>
                <w:sz w:val="1"/>
                <w:szCs w:val="1"/>
                <w:color w:val="auto"/>
              </w:rPr>
            </w:pPr>
          </w:p>
        </w:tc>
      </w:tr>
      <w:tr>
        <w:trPr>
          <w:trHeight w:val="229"/>
        </w:trPr>
        <w:tc>
          <w:tcPr>
            <w:tcW w:w="2360" w:type="dxa"/>
            <w:vAlign w:val="bottom"/>
            <w:shd w:val="clear" w:color="auto" w:fill="DBDBDB"/>
          </w:tcPr>
          <w:p>
            <w:pPr>
              <w:spacing w:after="0"/>
              <w:rPr>
                <w:sz w:val="19"/>
                <w:szCs w:val="19"/>
                <w:color w:val="auto"/>
              </w:rPr>
            </w:pPr>
          </w:p>
        </w:tc>
        <w:tc>
          <w:tcPr>
            <w:tcW w:w="35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Accelerated PSAs (5)</w:t>
            </w:r>
          </w:p>
        </w:tc>
        <w:tc>
          <w:tcPr>
            <w:tcW w:w="2020" w:type="dxa"/>
            <w:vAlign w:val="bottom"/>
            <w:shd w:val="clear" w:color="auto" w:fill="DBDBDB"/>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DBDBDB"/>
          </w:tcPr>
          <w:p>
            <w:pPr>
              <w:jc w:val="right"/>
              <w:ind w:right="110"/>
              <w:spacing w:after="0"/>
              <w:rPr>
                <w:sz w:val="20"/>
                <w:szCs w:val="20"/>
                <w:color w:val="auto"/>
              </w:rPr>
            </w:pPr>
            <w:r>
              <w:rPr>
                <w:rFonts w:ascii="Times New Roman" w:cs="Times New Roman" w:eastAsia="Times New Roman" w:hAnsi="Times New Roman"/>
                <w:sz w:val="18"/>
                <w:szCs w:val="18"/>
                <w:color w:val="auto"/>
              </w:rPr>
              <w:t>6,515,302</w:t>
            </w:r>
          </w:p>
        </w:tc>
        <w:tc>
          <w:tcPr>
            <w:tcW w:w="12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6,515,302</w:t>
            </w:r>
          </w:p>
        </w:tc>
        <w:tc>
          <w:tcPr>
            <w:tcW w:w="0" w:type="dxa"/>
            <w:vAlign w:val="bottom"/>
          </w:tcPr>
          <w:p>
            <w:pPr>
              <w:spacing w:after="0"/>
              <w:rPr>
                <w:sz w:val="1"/>
                <w:szCs w:val="1"/>
                <w:color w:val="auto"/>
              </w:rPr>
            </w:pPr>
          </w:p>
        </w:tc>
      </w:tr>
      <w:tr>
        <w:trPr>
          <w:trHeight w:val="230"/>
        </w:trPr>
        <w:tc>
          <w:tcPr>
            <w:tcW w:w="2360" w:type="dxa"/>
            <w:vAlign w:val="bottom"/>
            <w:tcBorders>
              <w:bottom w:val="single" w:sz="8" w:color="DBDBDB"/>
            </w:tcBorders>
          </w:tcPr>
          <w:p>
            <w:pPr>
              <w:spacing w:after="0"/>
              <w:rPr>
                <w:sz w:val="19"/>
                <w:szCs w:val="19"/>
                <w:color w:val="auto"/>
              </w:rPr>
            </w:pPr>
          </w:p>
        </w:tc>
        <w:tc>
          <w:tcPr>
            <w:tcW w:w="3520" w:type="dxa"/>
            <w:vAlign w:val="bottom"/>
            <w:tcBorders>
              <w:bottom w:val="single" w:sz="8" w:color="DBDBDB"/>
            </w:tcBorders>
          </w:tcPr>
          <w:p>
            <w:pPr>
              <w:ind w:left="20"/>
              <w:spacing w:after="0"/>
              <w:rPr>
                <w:sz w:val="20"/>
                <w:szCs w:val="20"/>
                <w:color w:val="auto"/>
              </w:rPr>
            </w:pPr>
            <w:r>
              <w:rPr>
                <w:rFonts w:ascii="Times New Roman" w:cs="Times New Roman" w:eastAsia="Times New Roman" w:hAnsi="Times New Roman"/>
                <w:sz w:val="18"/>
                <w:szCs w:val="18"/>
                <w:color w:val="auto"/>
              </w:rPr>
              <w:t>Medical</w:t>
            </w:r>
          </w:p>
        </w:tc>
        <w:tc>
          <w:tcPr>
            <w:tcW w:w="2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19,569</w:t>
            </w:r>
          </w:p>
        </w:tc>
        <w:tc>
          <w:tcPr>
            <w:tcW w:w="16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29,354</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360" w:type="dxa"/>
            <w:vAlign w:val="bottom"/>
            <w:tcBorders>
              <w:bottom w:val="single" w:sz="8" w:color="DBDBDB"/>
            </w:tcBorders>
            <w:shd w:val="clear" w:color="auto" w:fill="DBDBDB"/>
          </w:tcPr>
          <w:p>
            <w:pPr>
              <w:spacing w:after="0"/>
              <w:rPr>
                <w:sz w:val="21"/>
                <w:szCs w:val="21"/>
                <w:color w:val="auto"/>
              </w:rPr>
            </w:pPr>
          </w:p>
        </w:tc>
        <w:tc>
          <w:tcPr>
            <w:tcW w:w="352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20" w:type="dxa"/>
            <w:vAlign w:val="bottom"/>
            <w:tcBorders>
              <w:bottom w:val="single" w:sz="8" w:color="auto"/>
            </w:tcBorders>
            <w:shd w:val="clear" w:color="auto" w:fill="DBDBDB"/>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649,569</w:t>
            </w:r>
          </w:p>
        </w:tc>
        <w:tc>
          <w:tcPr>
            <w:tcW w:w="1660" w:type="dxa"/>
            <w:vAlign w:val="bottom"/>
            <w:tcBorders>
              <w:bottom w:val="single" w:sz="8" w:color="auto"/>
            </w:tcBorders>
            <w:shd w:val="clear" w:color="auto" w:fill="DBDBDB"/>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12,083,407</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b w:val="1"/>
                <w:bCs w:val="1"/>
                <w:color w:val="auto"/>
              </w:rPr>
              <w:t>10,164,053</w:t>
            </w:r>
          </w:p>
        </w:tc>
        <w:tc>
          <w:tcPr>
            <w:tcW w:w="0" w:type="dxa"/>
            <w:vAlign w:val="bottom"/>
          </w:tcPr>
          <w:p>
            <w:pPr>
              <w:spacing w:after="0"/>
              <w:rPr>
                <w:sz w:val="1"/>
                <w:szCs w:val="1"/>
                <w:color w:val="auto"/>
              </w:rPr>
            </w:pPr>
          </w:p>
        </w:tc>
      </w:tr>
      <w:tr>
        <w:trPr>
          <w:trHeight w:val="20"/>
        </w:trPr>
        <w:tc>
          <w:tcPr>
            <w:tcW w:w="2360" w:type="dxa"/>
            <w:vAlign w:val="bottom"/>
            <w:tcBorders>
              <w:top w:val="single" w:sz="8" w:color="DBDBDB"/>
              <w:bottom w:val="single" w:sz="8" w:color="DBDBDB"/>
            </w:tcBorders>
            <w:vMerge w:val="restart"/>
          </w:tcPr>
          <w:p>
            <w:pPr>
              <w:spacing w:after="0"/>
              <w:rPr>
                <w:sz w:val="20"/>
                <w:szCs w:val="20"/>
                <w:color w:val="auto"/>
              </w:rPr>
            </w:pPr>
            <w:r>
              <w:rPr>
                <w:rFonts w:ascii="Times New Roman" w:cs="Times New Roman" w:eastAsia="Times New Roman" w:hAnsi="Times New Roman"/>
                <w:sz w:val="18"/>
                <w:szCs w:val="18"/>
                <w:color w:val="auto"/>
              </w:rPr>
              <w:t>Reza Kasnavi(2)</w:t>
            </w:r>
          </w:p>
        </w:tc>
        <w:tc>
          <w:tcPr>
            <w:tcW w:w="3520" w:type="dxa"/>
            <w:vAlign w:val="bottom"/>
            <w:tcBorders>
              <w:top w:val="single" w:sz="8" w:color="DBDBDB"/>
              <w:bottom w:val="single" w:sz="8" w:color="DBDBDB"/>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Salary and Short-Term Incentive</w:t>
            </w:r>
          </w:p>
        </w:tc>
        <w:tc>
          <w:tcPr>
            <w:tcW w:w="2020" w:type="dxa"/>
            <w:vAlign w:val="bottom"/>
            <w:tcBorders>
              <w:top w:val="single" w:sz="8" w:color="DBDBDB"/>
              <w:bottom w:val="single" w:sz="8" w:color="auto"/>
            </w:tcBorders>
          </w:tcPr>
          <w:p>
            <w:pPr>
              <w:spacing w:after="0" w:line="20" w:lineRule="exact"/>
              <w:rPr>
                <w:sz w:val="1"/>
                <w:szCs w:val="1"/>
                <w:color w:val="auto"/>
              </w:rPr>
            </w:pPr>
          </w:p>
        </w:tc>
        <w:tc>
          <w:tcPr>
            <w:tcW w:w="166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360" w:type="dxa"/>
            <w:vAlign w:val="bottom"/>
            <w:vMerge w:val="continue"/>
          </w:tcPr>
          <w:p>
            <w:pPr>
              <w:spacing w:after="0"/>
              <w:rPr>
                <w:sz w:val="17"/>
                <w:szCs w:val="17"/>
                <w:color w:val="auto"/>
              </w:rPr>
            </w:pPr>
          </w:p>
        </w:tc>
        <w:tc>
          <w:tcPr>
            <w:tcW w:w="3520" w:type="dxa"/>
            <w:vAlign w:val="bottom"/>
            <w:vMerge w:val="continue"/>
          </w:tcPr>
          <w:p>
            <w:pPr>
              <w:spacing w:after="0"/>
              <w:rPr>
                <w:sz w:val="17"/>
                <w:szCs w:val="17"/>
                <w:color w:val="auto"/>
              </w:rPr>
            </w:pPr>
          </w:p>
        </w:tc>
        <w:tc>
          <w:tcPr>
            <w:tcW w:w="2020" w:type="dxa"/>
            <w:vAlign w:val="bottom"/>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600,000(6)</w:t>
            </w:r>
          </w:p>
        </w:tc>
        <w:tc>
          <w:tcPr>
            <w:tcW w:w="1660" w:type="dxa"/>
            <w:vAlign w:val="bottom"/>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1,620,000(7)</w:t>
            </w:r>
          </w:p>
        </w:tc>
        <w:tc>
          <w:tcPr>
            <w:tcW w:w="12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360" w:type="dxa"/>
            <w:vAlign w:val="bottom"/>
            <w:shd w:val="clear" w:color="auto" w:fill="DBDBDB"/>
          </w:tcPr>
          <w:p>
            <w:pPr>
              <w:spacing w:after="0"/>
              <w:rPr>
                <w:sz w:val="19"/>
                <w:szCs w:val="19"/>
                <w:color w:val="auto"/>
              </w:rPr>
            </w:pPr>
          </w:p>
        </w:tc>
        <w:tc>
          <w:tcPr>
            <w:tcW w:w="35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Accelerated RSUs</w:t>
            </w:r>
          </w:p>
        </w:tc>
        <w:tc>
          <w:tcPr>
            <w:tcW w:w="2020" w:type="dxa"/>
            <w:vAlign w:val="bottom"/>
            <w:shd w:val="clear" w:color="auto" w:fill="DBDBDB"/>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DBDBDB"/>
          </w:tcPr>
          <w:p>
            <w:pPr>
              <w:jc w:val="right"/>
              <w:ind w:right="110"/>
              <w:spacing w:after="0"/>
              <w:rPr>
                <w:sz w:val="20"/>
                <w:szCs w:val="20"/>
                <w:color w:val="auto"/>
              </w:rPr>
            </w:pPr>
            <w:r>
              <w:rPr>
                <w:rFonts w:ascii="Times New Roman" w:cs="Times New Roman" w:eastAsia="Times New Roman" w:hAnsi="Times New Roman"/>
                <w:sz w:val="18"/>
                <w:szCs w:val="18"/>
                <w:color w:val="auto"/>
              </w:rPr>
              <w:t>3,786,548</w:t>
            </w:r>
          </w:p>
        </w:tc>
        <w:tc>
          <w:tcPr>
            <w:tcW w:w="12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3,786,548</w:t>
            </w:r>
          </w:p>
        </w:tc>
        <w:tc>
          <w:tcPr>
            <w:tcW w:w="0" w:type="dxa"/>
            <w:vAlign w:val="bottom"/>
          </w:tcPr>
          <w:p>
            <w:pPr>
              <w:spacing w:after="0"/>
              <w:rPr>
                <w:sz w:val="1"/>
                <w:szCs w:val="1"/>
                <w:color w:val="auto"/>
              </w:rPr>
            </w:pPr>
          </w:p>
        </w:tc>
      </w:tr>
      <w:tr>
        <w:trPr>
          <w:trHeight w:val="229"/>
        </w:trPr>
        <w:tc>
          <w:tcPr>
            <w:tcW w:w="2360" w:type="dxa"/>
            <w:vAlign w:val="bottom"/>
          </w:tcPr>
          <w:p>
            <w:pPr>
              <w:spacing w:after="0"/>
              <w:rPr>
                <w:sz w:val="19"/>
                <w:szCs w:val="19"/>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Accelerated PSAs (5)</w:t>
            </w:r>
          </w:p>
        </w:tc>
        <w:tc>
          <w:tcPr>
            <w:tcW w:w="2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6,810,963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6,810,963</w:t>
            </w:r>
          </w:p>
        </w:tc>
        <w:tc>
          <w:tcPr>
            <w:tcW w:w="0" w:type="dxa"/>
            <w:vAlign w:val="bottom"/>
          </w:tcPr>
          <w:p>
            <w:pPr>
              <w:spacing w:after="0"/>
              <w:rPr>
                <w:sz w:val="1"/>
                <w:szCs w:val="1"/>
                <w:color w:val="auto"/>
              </w:rPr>
            </w:pPr>
          </w:p>
        </w:tc>
      </w:tr>
      <w:tr>
        <w:trPr>
          <w:trHeight w:val="230"/>
        </w:trPr>
        <w:tc>
          <w:tcPr>
            <w:tcW w:w="2360" w:type="dxa"/>
            <w:vAlign w:val="bottom"/>
            <w:shd w:val="clear" w:color="auto" w:fill="DBDBDB"/>
          </w:tcPr>
          <w:p>
            <w:pPr>
              <w:spacing w:after="0"/>
              <w:rPr>
                <w:sz w:val="19"/>
                <w:szCs w:val="19"/>
                <w:color w:val="auto"/>
              </w:rPr>
            </w:pPr>
          </w:p>
        </w:tc>
        <w:tc>
          <w:tcPr>
            <w:tcW w:w="35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Medical</w:t>
            </w:r>
          </w:p>
        </w:tc>
        <w:tc>
          <w:tcPr>
            <w:tcW w:w="2020" w:type="dxa"/>
            <w:vAlign w:val="bottom"/>
            <w:tcBorders>
              <w:bottom w:val="single" w:sz="8" w:color="auto"/>
            </w:tcBorders>
            <w:shd w:val="clear" w:color="auto" w:fill="DBDBDB"/>
          </w:tcPr>
          <w:p>
            <w:pPr>
              <w:jc w:val="right"/>
              <w:ind w:right="90"/>
              <w:spacing w:after="0"/>
              <w:rPr>
                <w:sz w:val="20"/>
                <w:szCs w:val="20"/>
                <w:color w:val="auto"/>
              </w:rPr>
            </w:pPr>
            <w:r>
              <w:rPr>
                <w:rFonts w:ascii="Times New Roman" w:cs="Times New Roman" w:eastAsia="Times New Roman" w:hAnsi="Times New Roman"/>
                <w:sz w:val="18"/>
                <w:szCs w:val="18"/>
                <w:color w:val="auto"/>
              </w:rPr>
              <w:t>9,485</w:t>
            </w:r>
          </w:p>
        </w:tc>
        <w:tc>
          <w:tcPr>
            <w:tcW w:w="1660" w:type="dxa"/>
            <w:vAlign w:val="bottom"/>
            <w:tcBorders>
              <w:bottom w:val="single" w:sz="8" w:color="auto"/>
            </w:tcBorders>
            <w:shd w:val="clear" w:color="auto" w:fill="DBDBDB"/>
          </w:tcPr>
          <w:p>
            <w:pPr>
              <w:jc w:val="right"/>
              <w:ind w:right="110"/>
              <w:spacing w:after="0"/>
              <w:rPr>
                <w:sz w:val="20"/>
                <w:szCs w:val="20"/>
                <w:color w:val="auto"/>
              </w:rPr>
            </w:pPr>
            <w:r>
              <w:rPr>
                <w:rFonts w:ascii="Times New Roman" w:cs="Times New Roman" w:eastAsia="Times New Roman" w:hAnsi="Times New Roman"/>
                <w:sz w:val="18"/>
                <w:szCs w:val="18"/>
                <w:color w:val="auto"/>
              </w:rPr>
              <w:t>14,227</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360" w:type="dxa"/>
            <w:vAlign w:val="bottom"/>
          </w:tcPr>
          <w:p>
            <w:pPr>
              <w:spacing w:after="0"/>
              <w:rPr>
                <w:sz w:val="19"/>
                <w:szCs w:val="19"/>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609,485</w:t>
            </w:r>
          </w:p>
        </w:tc>
        <w:tc>
          <w:tcPr>
            <w:tcW w:w="16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12,231,738</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10,597,511</w:t>
            </w:r>
          </w:p>
        </w:tc>
        <w:tc>
          <w:tcPr>
            <w:tcW w:w="0" w:type="dxa"/>
            <w:vAlign w:val="bottom"/>
          </w:tcPr>
          <w:p>
            <w:pPr>
              <w:spacing w:after="0"/>
              <w:rPr>
                <w:sz w:val="1"/>
                <w:szCs w:val="1"/>
                <w:color w:val="auto"/>
              </w:rPr>
            </w:pPr>
          </w:p>
        </w:tc>
      </w:tr>
      <w:tr>
        <w:trPr>
          <w:trHeight w:val="20"/>
        </w:trPr>
        <w:tc>
          <w:tcPr>
            <w:tcW w:w="2360" w:type="dxa"/>
            <w:vAlign w:val="bottom"/>
            <w:tcBorders>
              <w:bottom w:val="single" w:sz="8" w:color="DBDBDB"/>
            </w:tcBorders>
          </w:tcPr>
          <w:p>
            <w:pPr>
              <w:spacing w:after="0" w:line="20" w:lineRule="exact"/>
              <w:rPr>
                <w:sz w:val="1"/>
                <w:szCs w:val="1"/>
                <w:color w:val="auto"/>
              </w:rPr>
            </w:pPr>
          </w:p>
        </w:tc>
        <w:tc>
          <w:tcPr>
            <w:tcW w:w="3520" w:type="dxa"/>
            <w:vAlign w:val="bottom"/>
            <w:tcBorders>
              <w:bottom w:val="single" w:sz="8" w:color="DBDBDB"/>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360" w:type="dxa"/>
            <w:vAlign w:val="bottom"/>
            <w:shd w:val="clear" w:color="auto" w:fill="DBDBDB"/>
          </w:tcPr>
          <w:p>
            <w:pPr>
              <w:spacing w:after="0"/>
              <w:rPr>
                <w:sz w:val="20"/>
                <w:szCs w:val="20"/>
                <w:color w:val="auto"/>
              </w:rPr>
            </w:pPr>
            <w:r>
              <w:rPr>
                <w:rFonts w:ascii="Times New Roman" w:cs="Times New Roman" w:eastAsia="Times New Roman" w:hAnsi="Times New Roman"/>
                <w:sz w:val="18"/>
                <w:szCs w:val="18"/>
                <w:color w:val="auto"/>
              </w:rPr>
              <w:t>Carlos S. Bori(2)</w:t>
            </w:r>
          </w:p>
        </w:tc>
        <w:tc>
          <w:tcPr>
            <w:tcW w:w="35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Salary and Short-Term Incentive</w:t>
            </w:r>
          </w:p>
        </w:tc>
        <w:tc>
          <w:tcPr>
            <w:tcW w:w="2020" w:type="dxa"/>
            <w:vAlign w:val="bottom"/>
            <w:shd w:val="clear" w:color="auto" w:fill="DBDBDB"/>
          </w:tcPr>
          <w:p>
            <w:pPr>
              <w:jc w:val="right"/>
              <w:ind w:right="90"/>
              <w:spacing w:after="0"/>
              <w:rPr>
                <w:sz w:val="20"/>
                <w:szCs w:val="20"/>
                <w:color w:val="auto"/>
              </w:rPr>
            </w:pPr>
            <w:r>
              <w:rPr>
                <w:rFonts w:ascii="Times New Roman" w:cs="Times New Roman" w:eastAsia="Times New Roman" w:hAnsi="Times New Roman"/>
                <w:sz w:val="18"/>
                <w:szCs w:val="18"/>
                <w:color w:val="auto"/>
              </w:rPr>
              <w:t>600,000(6)</w:t>
            </w:r>
          </w:p>
        </w:tc>
        <w:tc>
          <w:tcPr>
            <w:tcW w:w="1660" w:type="dxa"/>
            <w:vAlign w:val="bottom"/>
            <w:shd w:val="clear" w:color="auto" w:fill="DBDBDB"/>
          </w:tcPr>
          <w:p>
            <w:pPr>
              <w:jc w:val="right"/>
              <w:ind w:right="110"/>
              <w:spacing w:after="0"/>
              <w:rPr>
                <w:sz w:val="20"/>
                <w:szCs w:val="20"/>
                <w:color w:val="auto"/>
              </w:rPr>
            </w:pPr>
            <w:r>
              <w:rPr>
                <w:rFonts w:ascii="Times New Roman" w:cs="Times New Roman" w:eastAsia="Times New Roman" w:hAnsi="Times New Roman"/>
                <w:sz w:val="18"/>
                <w:szCs w:val="18"/>
                <w:color w:val="auto"/>
              </w:rPr>
              <w:t>1,620,000(7)</w:t>
            </w:r>
          </w:p>
        </w:tc>
        <w:tc>
          <w:tcPr>
            <w:tcW w:w="12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360" w:type="dxa"/>
            <w:vAlign w:val="bottom"/>
          </w:tcPr>
          <w:p>
            <w:pPr>
              <w:spacing w:after="0"/>
              <w:rPr>
                <w:sz w:val="19"/>
                <w:szCs w:val="19"/>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Accelerated RSUs</w:t>
            </w:r>
          </w:p>
        </w:tc>
        <w:tc>
          <w:tcPr>
            <w:tcW w:w="2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3,759,068</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3,759,068</w:t>
            </w:r>
          </w:p>
        </w:tc>
        <w:tc>
          <w:tcPr>
            <w:tcW w:w="0" w:type="dxa"/>
            <w:vAlign w:val="bottom"/>
          </w:tcPr>
          <w:p>
            <w:pPr>
              <w:spacing w:after="0"/>
              <w:rPr>
                <w:sz w:val="1"/>
                <w:szCs w:val="1"/>
                <w:color w:val="auto"/>
              </w:rPr>
            </w:pPr>
          </w:p>
        </w:tc>
      </w:tr>
      <w:tr>
        <w:trPr>
          <w:trHeight w:val="229"/>
        </w:trPr>
        <w:tc>
          <w:tcPr>
            <w:tcW w:w="2360" w:type="dxa"/>
            <w:vAlign w:val="bottom"/>
            <w:shd w:val="clear" w:color="auto" w:fill="D9D9D9"/>
          </w:tcPr>
          <w:p>
            <w:pPr>
              <w:spacing w:after="0"/>
              <w:rPr>
                <w:sz w:val="19"/>
                <w:szCs w:val="19"/>
                <w:color w:val="auto"/>
              </w:rPr>
            </w:pPr>
          </w:p>
        </w:tc>
        <w:tc>
          <w:tcPr>
            <w:tcW w:w="35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Accelerated PSAs (5)</w:t>
            </w:r>
          </w:p>
        </w:tc>
        <w:tc>
          <w:tcPr>
            <w:tcW w:w="2020" w:type="dxa"/>
            <w:vAlign w:val="bottom"/>
            <w:shd w:val="clear" w:color="auto" w:fill="DBDBDB"/>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DBDBDB"/>
          </w:tcPr>
          <w:p>
            <w:pPr>
              <w:jc w:val="right"/>
              <w:ind w:right="110"/>
              <w:spacing w:after="0"/>
              <w:rPr>
                <w:sz w:val="20"/>
                <w:szCs w:val="20"/>
                <w:color w:val="auto"/>
              </w:rPr>
            </w:pPr>
            <w:r>
              <w:rPr>
                <w:rFonts w:ascii="Times New Roman" w:cs="Times New Roman" w:eastAsia="Times New Roman" w:hAnsi="Times New Roman"/>
                <w:sz w:val="18"/>
                <w:szCs w:val="18"/>
                <w:color w:val="auto"/>
              </w:rPr>
              <w:t>6,810,963</w:t>
            </w:r>
          </w:p>
        </w:tc>
        <w:tc>
          <w:tcPr>
            <w:tcW w:w="12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6,810,963</w:t>
            </w:r>
          </w:p>
        </w:tc>
        <w:tc>
          <w:tcPr>
            <w:tcW w:w="0" w:type="dxa"/>
            <w:vAlign w:val="bottom"/>
          </w:tcPr>
          <w:p>
            <w:pPr>
              <w:spacing w:after="0"/>
              <w:rPr>
                <w:sz w:val="1"/>
                <w:szCs w:val="1"/>
                <w:color w:val="auto"/>
              </w:rPr>
            </w:pPr>
          </w:p>
        </w:tc>
      </w:tr>
      <w:tr>
        <w:trPr>
          <w:trHeight w:val="230"/>
        </w:trPr>
        <w:tc>
          <w:tcPr>
            <w:tcW w:w="2360" w:type="dxa"/>
            <w:vAlign w:val="bottom"/>
            <w:tcBorders>
              <w:bottom w:val="single" w:sz="8" w:color="DBDBDB"/>
            </w:tcBorders>
          </w:tcPr>
          <w:p>
            <w:pPr>
              <w:spacing w:after="0"/>
              <w:rPr>
                <w:sz w:val="19"/>
                <w:szCs w:val="19"/>
                <w:color w:val="auto"/>
              </w:rPr>
            </w:pPr>
          </w:p>
        </w:tc>
        <w:tc>
          <w:tcPr>
            <w:tcW w:w="3520" w:type="dxa"/>
            <w:vAlign w:val="bottom"/>
            <w:tcBorders>
              <w:bottom w:val="single" w:sz="8" w:color="DBDBDB"/>
            </w:tcBorders>
          </w:tcPr>
          <w:p>
            <w:pPr>
              <w:ind w:left="20"/>
              <w:spacing w:after="0"/>
              <w:rPr>
                <w:sz w:val="20"/>
                <w:szCs w:val="20"/>
                <w:color w:val="auto"/>
              </w:rPr>
            </w:pPr>
            <w:r>
              <w:rPr>
                <w:rFonts w:ascii="Times New Roman" w:cs="Times New Roman" w:eastAsia="Times New Roman" w:hAnsi="Times New Roman"/>
                <w:sz w:val="18"/>
                <w:szCs w:val="18"/>
                <w:color w:val="auto"/>
              </w:rPr>
              <w:t>Medical</w:t>
            </w:r>
          </w:p>
        </w:tc>
        <w:tc>
          <w:tcPr>
            <w:tcW w:w="2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30,322</w:t>
            </w:r>
          </w:p>
        </w:tc>
        <w:tc>
          <w:tcPr>
            <w:tcW w:w="16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45,483</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360" w:type="dxa"/>
            <w:vAlign w:val="bottom"/>
            <w:tcBorders>
              <w:bottom w:val="single" w:sz="8" w:color="DBDBDB"/>
            </w:tcBorders>
            <w:shd w:val="clear" w:color="auto" w:fill="DBDBDB"/>
          </w:tcPr>
          <w:p>
            <w:pPr>
              <w:spacing w:after="0"/>
              <w:rPr>
                <w:sz w:val="21"/>
                <w:szCs w:val="21"/>
                <w:color w:val="auto"/>
              </w:rPr>
            </w:pPr>
          </w:p>
        </w:tc>
        <w:tc>
          <w:tcPr>
            <w:tcW w:w="352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20" w:type="dxa"/>
            <w:vAlign w:val="bottom"/>
            <w:tcBorders>
              <w:bottom w:val="single" w:sz="8" w:color="auto"/>
            </w:tcBorders>
            <w:shd w:val="clear" w:color="auto" w:fill="DBDBDB"/>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630,322</w:t>
            </w:r>
          </w:p>
        </w:tc>
        <w:tc>
          <w:tcPr>
            <w:tcW w:w="1660" w:type="dxa"/>
            <w:vAlign w:val="bottom"/>
            <w:tcBorders>
              <w:bottom w:val="single" w:sz="8" w:color="auto"/>
            </w:tcBorders>
            <w:shd w:val="clear" w:color="auto" w:fill="DBDBDB"/>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12,235,514</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b w:val="1"/>
                <w:bCs w:val="1"/>
                <w:color w:val="auto"/>
              </w:rPr>
              <w:t>10,570,031</w:t>
            </w:r>
          </w:p>
        </w:tc>
        <w:tc>
          <w:tcPr>
            <w:tcW w:w="0" w:type="dxa"/>
            <w:vAlign w:val="bottom"/>
          </w:tcPr>
          <w:p>
            <w:pPr>
              <w:spacing w:after="0"/>
              <w:rPr>
                <w:sz w:val="1"/>
                <w:szCs w:val="1"/>
                <w:color w:val="auto"/>
              </w:rPr>
            </w:pPr>
          </w:p>
        </w:tc>
      </w:tr>
      <w:tr>
        <w:trPr>
          <w:trHeight w:val="20"/>
        </w:trPr>
        <w:tc>
          <w:tcPr>
            <w:tcW w:w="2360" w:type="dxa"/>
            <w:vAlign w:val="bottom"/>
            <w:tcBorders>
              <w:top w:val="single" w:sz="8" w:color="DBDBDB"/>
              <w:bottom w:val="single" w:sz="8" w:color="DBDBDB"/>
            </w:tcBorders>
            <w:vMerge w:val="restart"/>
          </w:tcPr>
          <w:p>
            <w:pPr>
              <w:spacing w:after="0"/>
              <w:rPr>
                <w:sz w:val="20"/>
                <w:szCs w:val="20"/>
                <w:color w:val="auto"/>
              </w:rPr>
            </w:pPr>
            <w:r>
              <w:rPr>
                <w:rFonts w:ascii="Times New Roman" w:cs="Times New Roman" w:eastAsia="Times New Roman" w:hAnsi="Times New Roman"/>
                <w:sz w:val="18"/>
                <w:szCs w:val="18"/>
                <w:color w:val="auto"/>
              </w:rPr>
              <w:t>Robert J. Terry(2)</w:t>
            </w:r>
          </w:p>
        </w:tc>
        <w:tc>
          <w:tcPr>
            <w:tcW w:w="3520" w:type="dxa"/>
            <w:vAlign w:val="bottom"/>
            <w:tcBorders>
              <w:top w:val="single" w:sz="8" w:color="DBDBDB"/>
              <w:bottom w:val="single" w:sz="8" w:color="DBDBDB"/>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Salary and Short-Term Incentive</w:t>
            </w:r>
          </w:p>
        </w:tc>
        <w:tc>
          <w:tcPr>
            <w:tcW w:w="2020" w:type="dxa"/>
            <w:vAlign w:val="bottom"/>
            <w:tcBorders>
              <w:top w:val="single" w:sz="8" w:color="DBDBDB"/>
              <w:bottom w:val="single" w:sz="8" w:color="auto"/>
            </w:tcBorders>
          </w:tcPr>
          <w:p>
            <w:pPr>
              <w:spacing w:after="0" w:line="20" w:lineRule="exact"/>
              <w:rPr>
                <w:sz w:val="1"/>
                <w:szCs w:val="1"/>
                <w:color w:val="auto"/>
              </w:rPr>
            </w:pPr>
          </w:p>
        </w:tc>
        <w:tc>
          <w:tcPr>
            <w:tcW w:w="166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360" w:type="dxa"/>
            <w:vAlign w:val="bottom"/>
            <w:vMerge w:val="continue"/>
          </w:tcPr>
          <w:p>
            <w:pPr>
              <w:spacing w:after="0"/>
              <w:rPr>
                <w:sz w:val="17"/>
                <w:szCs w:val="17"/>
                <w:color w:val="auto"/>
              </w:rPr>
            </w:pPr>
          </w:p>
        </w:tc>
        <w:tc>
          <w:tcPr>
            <w:tcW w:w="3520" w:type="dxa"/>
            <w:vAlign w:val="bottom"/>
            <w:vMerge w:val="continue"/>
          </w:tcPr>
          <w:p>
            <w:pPr>
              <w:spacing w:after="0"/>
              <w:rPr>
                <w:sz w:val="17"/>
                <w:szCs w:val="17"/>
                <w:color w:val="auto"/>
              </w:rPr>
            </w:pPr>
          </w:p>
        </w:tc>
        <w:tc>
          <w:tcPr>
            <w:tcW w:w="2020" w:type="dxa"/>
            <w:vAlign w:val="bottom"/>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562,000(6)</w:t>
            </w:r>
          </w:p>
        </w:tc>
        <w:tc>
          <w:tcPr>
            <w:tcW w:w="1660" w:type="dxa"/>
            <w:vAlign w:val="bottom"/>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1,517,400(7)</w:t>
            </w:r>
          </w:p>
        </w:tc>
        <w:tc>
          <w:tcPr>
            <w:tcW w:w="12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360" w:type="dxa"/>
            <w:vAlign w:val="bottom"/>
            <w:shd w:val="clear" w:color="auto" w:fill="DBDBDB"/>
          </w:tcPr>
          <w:p>
            <w:pPr>
              <w:spacing w:after="0"/>
              <w:rPr>
                <w:sz w:val="19"/>
                <w:szCs w:val="19"/>
                <w:color w:val="auto"/>
              </w:rPr>
            </w:pPr>
          </w:p>
        </w:tc>
        <w:tc>
          <w:tcPr>
            <w:tcW w:w="35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Accelerated RSUs</w:t>
            </w:r>
          </w:p>
        </w:tc>
        <w:tc>
          <w:tcPr>
            <w:tcW w:w="2020" w:type="dxa"/>
            <w:vAlign w:val="bottom"/>
            <w:shd w:val="clear" w:color="auto" w:fill="DBDBDB"/>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DBDBDB"/>
          </w:tcPr>
          <w:p>
            <w:pPr>
              <w:jc w:val="right"/>
              <w:ind w:right="110"/>
              <w:spacing w:after="0"/>
              <w:rPr>
                <w:sz w:val="20"/>
                <w:szCs w:val="20"/>
                <w:color w:val="auto"/>
              </w:rPr>
            </w:pPr>
            <w:r>
              <w:rPr>
                <w:rFonts w:ascii="Times New Roman" w:cs="Times New Roman" w:eastAsia="Times New Roman" w:hAnsi="Times New Roman"/>
                <w:sz w:val="18"/>
                <w:szCs w:val="18"/>
                <w:color w:val="auto"/>
              </w:rPr>
              <w:t>3,119,508</w:t>
            </w:r>
          </w:p>
        </w:tc>
        <w:tc>
          <w:tcPr>
            <w:tcW w:w="12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3,119,508</w:t>
            </w:r>
          </w:p>
        </w:tc>
        <w:tc>
          <w:tcPr>
            <w:tcW w:w="0" w:type="dxa"/>
            <w:vAlign w:val="bottom"/>
          </w:tcPr>
          <w:p>
            <w:pPr>
              <w:spacing w:after="0"/>
              <w:rPr>
                <w:sz w:val="1"/>
                <w:szCs w:val="1"/>
                <w:color w:val="auto"/>
              </w:rPr>
            </w:pPr>
          </w:p>
        </w:tc>
      </w:tr>
      <w:tr>
        <w:trPr>
          <w:trHeight w:val="230"/>
        </w:trPr>
        <w:tc>
          <w:tcPr>
            <w:tcW w:w="2360" w:type="dxa"/>
            <w:vAlign w:val="bottom"/>
          </w:tcPr>
          <w:p>
            <w:pPr>
              <w:spacing w:after="0"/>
              <w:rPr>
                <w:sz w:val="19"/>
                <w:szCs w:val="19"/>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Accelerated PSAs (5)</w:t>
            </w:r>
          </w:p>
        </w:tc>
        <w:tc>
          <w:tcPr>
            <w:tcW w:w="2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5,613,098</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5,613,098</w:t>
            </w:r>
          </w:p>
        </w:tc>
        <w:tc>
          <w:tcPr>
            <w:tcW w:w="0" w:type="dxa"/>
            <w:vAlign w:val="bottom"/>
          </w:tcPr>
          <w:p>
            <w:pPr>
              <w:spacing w:after="0"/>
              <w:rPr>
                <w:sz w:val="1"/>
                <w:szCs w:val="1"/>
                <w:color w:val="auto"/>
              </w:rPr>
            </w:pPr>
          </w:p>
        </w:tc>
      </w:tr>
      <w:tr>
        <w:trPr>
          <w:trHeight w:val="230"/>
        </w:trPr>
        <w:tc>
          <w:tcPr>
            <w:tcW w:w="2360" w:type="dxa"/>
            <w:vAlign w:val="bottom"/>
            <w:shd w:val="clear" w:color="auto" w:fill="DBDBDB"/>
          </w:tcPr>
          <w:p>
            <w:pPr>
              <w:spacing w:after="0"/>
              <w:rPr>
                <w:sz w:val="19"/>
                <w:szCs w:val="19"/>
                <w:color w:val="auto"/>
              </w:rPr>
            </w:pPr>
          </w:p>
        </w:tc>
        <w:tc>
          <w:tcPr>
            <w:tcW w:w="35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Medical</w:t>
            </w:r>
          </w:p>
        </w:tc>
        <w:tc>
          <w:tcPr>
            <w:tcW w:w="2020" w:type="dxa"/>
            <w:vAlign w:val="bottom"/>
            <w:tcBorders>
              <w:bottom w:val="single" w:sz="8" w:color="auto"/>
            </w:tcBorders>
            <w:shd w:val="clear" w:color="auto" w:fill="DBDBDB"/>
          </w:tcPr>
          <w:p>
            <w:pPr>
              <w:jc w:val="right"/>
              <w:ind w:right="90"/>
              <w:spacing w:after="0"/>
              <w:rPr>
                <w:sz w:val="20"/>
                <w:szCs w:val="20"/>
                <w:color w:val="auto"/>
              </w:rPr>
            </w:pPr>
            <w:r>
              <w:rPr>
                <w:rFonts w:ascii="Times New Roman" w:cs="Times New Roman" w:eastAsia="Times New Roman" w:hAnsi="Times New Roman"/>
                <w:sz w:val="18"/>
                <w:szCs w:val="18"/>
                <w:color w:val="auto"/>
              </w:rPr>
              <w:t>30,322</w:t>
            </w:r>
          </w:p>
        </w:tc>
        <w:tc>
          <w:tcPr>
            <w:tcW w:w="1660" w:type="dxa"/>
            <w:vAlign w:val="bottom"/>
            <w:tcBorders>
              <w:bottom w:val="single" w:sz="8" w:color="auto"/>
            </w:tcBorders>
            <w:shd w:val="clear" w:color="auto" w:fill="DBDBDB"/>
          </w:tcPr>
          <w:p>
            <w:pPr>
              <w:jc w:val="right"/>
              <w:ind w:right="110"/>
              <w:spacing w:after="0"/>
              <w:rPr>
                <w:sz w:val="20"/>
                <w:szCs w:val="20"/>
                <w:color w:val="auto"/>
              </w:rPr>
            </w:pPr>
            <w:r>
              <w:rPr>
                <w:rFonts w:ascii="Times New Roman" w:cs="Times New Roman" w:eastAsia="Times New Roman" w:hAnsi="Times New Roman"/>
                <w:sz w:val="18"/>
                <w:szCs w:val="18"/>
                <w:color w:val="auto"/>
              </w:rPr>
              <w:t>45,483</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360" w:type="dxa"/>
            <w:vAlign w:val="bottom"/>
          </w:tcPr>
          <w:p>
            <w:pPr>
              <w:spacing w:after="0"/>
              <w:rPr>
                <w:sz w:val="19"/>
                <w:szCs w:val="19"/>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592,322</w:t>
            </w:r>
          </w:p>
        </w:tc>
        <w:tc>
          <w:tcPr>
            <w:tcW w:w="16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10,295,489</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8,732,606</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50" w:lineRule="exact"/>
        <w:rPr>
          <w:sz w:val="20"/>
          <w:szCs w:val="20"/>
          <w:color w:val="auto"/>
        </w:rPr>
      </w:pPr>
    </w:p>
    <w:p>
      <w:pPr>
        <w:ind w:left="260" w:hanging="252"/>
        <w:spacing w:after="0"/>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Griffin, includes amounts payable pursuant to a termination for good reason outside of a change in control.</w:t>
      </w:r>
    </w:p>
    <w:p>
      <w:pPr>
        <w:spacing w:after="0" w:line="3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the value of accrued vacation/paid time off required by law to be paid upon termination.</w:t>
      </w:r>
    </w:p>
    <w:p>
      <w:pPr>
        <w:spacing w:after="0" w:line="49" w:lineRule="exact"/>
        <w:rPr>
          <w:rFonts w:ascii="Times New Roman" w:cs="Times New Roman" w:eastAsia="Times New Roman" w:hAnsi="Times New Roman"/>
          <w:sz w:val="18"/>
          <w:szCs w:val="18"/>
          <w:color w:val="auto"/>
        </w:rPr>
      </w:pPr>
    </w:p>
    <w:p>
      <w:pPr>
        <w:jc w:val="both"/>
        <w:ind w:left="260" w:hanging="252"/>
        <w:spacing w:after="0" w:line="289" w:lineRule="auto"/>
        <w:tabs>
          <w:tab w:leader="none" w:pos="29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amount equal to two (2) times the sum of (A) Mr. Griffin’s annual base salary as of September 27, 2024, and (B) an Incentive Plan payment, which is equal to the three (3) year average of the actual incentive payments made to Mr. Griffin for the Company’s fiscal year ended October 1, 2021 (“fiscal year 2021”), fiscal year 2022, and fiscal year 2023, since such average is greater than the “target” short-term cash incentive award for fiscal year 2024.</w:t>
      </w:r>
    </w:p>
    <w:p>
      <w:pPr>
        <w:spacing w:after="0" w:line="2"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amount equal to two and one-half (2½) times the sum of (A) Mr. Griffin’s annual base salary as of September 27, 2024, and (B) an</w:t>
      </w:r>
    </w:p>
    <w:p>
      <w:pPr>
        <w:spacing w:after="0" w:line="49" w:lineRule="exact"/>
        <w:rPr>
          <w:rFonts w:ascii="Times New Roman" w:cs="Times New Roman" w:eastAsia="Times New Roman" w:hAnsi="Times New Roman"/>
          <w:sz w:val="18"/>
          <w:szCs w:val="18"/>
          <w:color w:val="auto"/>
        </w:rPr>
      </w:pPr>
    </w:p>
    <w:p>
      <w:pPr>
        <w:ind w:left="26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Plan payment, which is equal to the three (3) year average of the actual incentive payments made to Mr. Griffin for fiscal years 2021, 2022, and 2023, since such average is greater than the “target” short-term cash incentive award for fiscal year 2024.</w:t>
      </w:r>
    </w:p>
    <w:p>
      <w:pPr>
        <w:spacing w:after="0" w:line="1" w:lineRule="exact"/>
        <w:rPr>
          <w:rFonts w:ascii="Times New Roman" w:cs="Times New Roman" w:eastAsia="Times New Roman" w:hAnsi="Times New Roman"/>
          <w:sz w:val="18"/>
          <w:szCs w:val="18"/>
          <w:color w:val="auto"/>
        </w:rPr>
      </w:pPr>
    </w:p>
    <w:p>
      <w:pPr>
        <w:ind w:left="260" w:hanging="252"/>
        <w:spacing w:after="0" w:line="313" w:lineRule="auto"/>
        <w:tabs>
          <w:tab w:leader="none" w:pos="28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value of PSAs that were unvested and outstanding as of September 27, 2024, in accordance with Item 402(j) of Regulation S-K, using the following assumptions: (a) achievement at the “target” level of</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32" w:name="page33"/>
    <w:bookmarkEnd w:id="32"/>
    <w:p>
      <w:pPr>
        <w:jc w:val="both"/>
        <w:ind w:left="260"/>
        <w:spacing w:after="0" w:line="290" w:lineRule="auto"/>
        <w:rPr>
          <w:sz w:val="20"/>
          <w:szCs w:val="20"/>
          <w:color w:val="auto"/>
        </w:rPr>
      </w:pPr>
      <w:r>
        <w:rPr>
          <w:rFonts w:ascii="Times New Roman" w:cs="Times New Roman" w:eastAsia="Times New Roman" w:hAnsi="Times New Roman"/>
          <w:sz w:val="18"/>
          <w:szCs w:val="18"/>
          <w:color w:val="auto"/>
        </w:rPr>
        <w:t>performance for the FY22 PSAs (3-year TSR percentile ranking metric) scheduled to vest on November 10, 2024, based on the Company’s TSR relative to the applicable peer group for fiscal years 2022 and 2023 tracking below the “target” level of performance; (b) achievement at 200% of the “target” level of performance for the FY23 PSAs emerging revenue growth metric scheduled to vest on November 8, 2024, based on the Company’s actual achievement at the “maximum” level of performance with respect to the performance metric measured over a one-year performance period consisting of the Company’s fiscal year 2023; (c) achievement at 125% of the “target” level of performance for the FY23 PSAs EBITDA margin percentile ranking metric scheduled to vest on November 8, 2024, based on the Company’s tracking of achievement between the “target” and “maximum” levels of performance with respect to the metric measured over a two-year performance period consisting of the Company’s fiscal year 2023 and fiscal year 2024; (d) achievement at the “target” level of performance for the FY23 PSAs (3-year TSR percentile ranking metric) scheduled to vest on November 8, 2025, based on the Company’s TSR relative to the applicable peer group for fiscal year 2023 tracking below the “target” level of performance; (e) achievement at 100% of the “target” level of performance for the FY24 PSAs emerging revenue growth metric scheduled to vest on November 7, 2025, based on the Company’s actual achievement at 61% of the “target” level of performance with respect to the performance metric measured over a one-year performance period consisting of the Company’s fiscal year 2024; (f) achievement at 100% of the “target” level of performance for the FY24 PSAs (EBITDA margin percentile ranking metric) scheduled to vest on November 7, 2025, based on the Company’s tracking of achievement between the “threshold” and “target” levels of performance with respect to the metric measured over a two-year performance period consisting of the Company’s fiscal year 2024 and fiscal year 2025; and (g) achievement at the “target” level of performance for the FY24 PSAs (3-year TSR percentile ranking metric) scheduled to vest on November 7, 2026, based on the Company’s TSR relative to the applicable peer group for fiscal year 2024 tracking below the “target” level of performance.</w:t>
      </w:r>
    </w:p>
    <w:p>
      <w:pPr>
        <w:spacing w:after="0" w:line="1" w:lineRule="exact"/>
        <w:rPr>
          <w:sz w:val="20"/>
          <w:szCs w:val="20"/>
          <w:color w:val="auto"/>
        </w:rPr>
      </w:pPr>
    </w:p>
    <w:p>
      <w:pPr>
        <w:ind w:left="260" w:hanging="252"/>
        <w:spacing w:after="0"/>
        <w:tabs>
          <w:tab w:leader="none" w:pos="2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amount equal to the Named Executive Officer’s annual base salary as of September 27, 2024.</w:t>
      </w:r>
    </w:p>
    <w:p>
      <w:pPr>
        <w:spacing w:after="0" w:line="3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amount equal to one and one-half (1½) times the sum of (A) the Named Executive Officer’s annual base salary as of September 27, 2024,</w:t>
      </w:r>
    </w:p>
    <w:p>
      <w:pPr>
        <w:spacing w:after="0" w:line="49" w:lineRule="exact"/>
        <w:rPr>
          <w:rFonts w:ascii="Times New Roman" w:cs="Times New Roman" w:eastAsia="Times New Roman" w:hAnsi="Times New Roman"/>
          <w:sz w:val="18"/>
          <w:szCs w:val="18"/>
          <w:color w:val="auto"/>
        </w:rPr>
      </w:pPr>
    </w:p>
    <w:p>
      <w:pPr>
        <w:jc w:val="both"/>
        <w:ind w:left="26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 an Incentive Plan payment, which is equal to the Named Executive Officer’s “target” short-term cash incentive award for fiscal year 2024, since such amount is greater than the three (3) year average of the actual incentive payments made to the Named Executive Officer for fiscal years 2021, 2022, and 2023.</w:t>
      </w:r>
    </w:p>
    <w:p>
      <w:pPr>
        <w:spacing w:after="0" w:line="1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CEO Pay Ratio</w:t>
      </w:r>
    </w:p>
    <w:p>
      <w:pPr>
        <w:spacing w:after="0" w:line="270" w:lineRule="exact"/>
        <w:rPr>
          <w:sz w:val="20"/>
          <w:szCs w:val="20"/>
          <w:color w:val="auto"/>
        </w:rPr>
      </w:pPr>
    </w:p>
    <w:p>
      <w:pPr>
        <w:ind w:firstLine="389"/>
        <w:spacing w:after="0" w:line="313" w:lineRule="auto"/>
        <w:rPr>
          <w:sz w:val="20"/>
          <w:szCs w:val="20"/>
          <w:color w:val="auto"/>
        </w:rPr>
      </w:pPr>
      <w:r>
        <w:rPr>
          <w:rFonts w:ascii="Times New Roman" w:cs="Times New Roman" w:eastAsia="Times New Roman" w:hAnsi="Times New Roman"/>
          <w:sz w:val="18"/>
          <w:szCs w:val="18"/>
          <w:color w:val="auto"/>
        </w:rPr>
        <w:t>Following is an estimate, prepared under applicable SEC rules, of the ratio of the annual total compensation of our Chief Executive Officer to the median of the annual total compensation of our other employees. For fiscal year 2024:</w:t>
      </w:r>
    </w:p>
    <w:p>
      <w:pPr>
        <w:spacing w:after="0" w:line="68"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total compensation of our Chief Executive Officer was $18,096,527.</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total compensation of our median compensated employee was $31,541.</w:t>
      </w:r>
    </w:p>
    <w:p>
      <w:pPr>
        <w:spacing w:after="0" w:line="184" w:lineRule="exact"/>
        <w:rPr>
          <w:rFonts w:ascii="Times New Roman" w:cs="Times New Roman" w:eastAsia="Times New Roman" w:hAnsi="Times New Roman"/>
          <w:sz w:val="18"/>
          <w:szCs w:val="18"/>
          <w:color w:val="auto"/>
        </w:rPr>
      </w:pPr>
    </w:p>
    <w:p>
      <w:pPr>
        <w:ind w:left="660" w:right="20" w:hanging="328"/>
        <w:spacing w:after="0" w:line="329"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foregoing, we estimate that our Chief Executive Officer’s total annual compensation was approximately 574 times that of our median employee.</w:t>
      </w:r>
    </w:p>
    <w:p>
      <w:pPr>
        <w:spacing w:after="0" w:line="1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To determine the median of the annual total compensation of our employees, we applied the following methodology and material assumptions:</w:t>
      </w:r>
    </w:p>
    <w:p>
      <w:pPr>
        <w:spacing w:after="0" w:line="158" w:lineRule="exact"/>
        <w:rPr>
          <w:sz w:val="20"/>
          <w:szCs w:val="20"/>
          <w:color w:val="auto"/>
        </w:rPr>
      </w:pPr>
    </w:p>
    <w:p>
      <w:pPr>
        <w:jc w:val="both"/>
        <w:ind w:left="660" w:hanging="328"/>
        <w:spacing w:after="0" w:line="289"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use the de minimis exception to exclude any non-U.S. employees. We have a globally diverse workforce with total headcount of approximately 10,100 as of September 27, 2024, of which approximately 75% are located outside the United States, primarily in locations</w:t>
      </w:r>
    </w:p>
    <w:p>
      <w:pPr>
        <w:spacing w:after="0" w:line="1" w:lineRule="exact"/>
        <w:rPr>
          <w:rFonts w:ascii="Times New Roman" w:cs="Times New Roman" w:eastAsia="Times New Roman" w:hAnsi="Times New Roman"/>
          <w:sz w:val="18"/>
          <w:szCs w:val="18"/>
          <w:color w:val="auto"/>
        </w:rPr>
      </w:pPr>
    </w:p>
    <w:p>
      <w:pPr>
        <w:jc w:val="both"/>
        <w:ind w:left="66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employing large direct labor forces such as Mexico and Singapore where wages are significantly lower than in the United States. The median employee within our employee population was identified, consistent with prior years, as of the last day of our fiscal year, or September 27, 2024, and is a full-time employee in our Mexicali, Mexico facility.</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33" w:name="page34"/>
    <w:bookmarkEnd w:id="33"/>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identify the median employee, we used a consistently applied compensation measure that included total taxable earnings paid to our employees</w:t>
      </w:r>
    </w:p>
    <w:p>
      <w:pPr>
        <w:spacing w:after="0" w:line="49" w:lineRule="exact"/>
        <w:rPr>
          <w:rFonts w:ascii="Times New Roman" w:cs="Times New Roman" w:eastAsia="Times New Roman" w:hAnsi="Times New Roman"/>
          <w:sz w:val="18"/>
          <w:szCs w:val="18"/>
          <w:color w:val="auto"/>
        </w:rPr>
      </w:pPr>
    </w:p>
    <w:p>
      <w:pPr>
        <w:jc w:val="both"/>
        <w:ind w:left="66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most recently completed taxable year in their respective jurisdictions. This included base salary, overtime pay, shift premiums, recognition bonuses, annual cash incentive awards, and long-term stock-based incentive awards. We annualized the compensation of permanent, full-time, and part-time employees who were hired after the beginning of the most recently completed taxable year in their respective jurisdictions.</w:t>
      </w:r>
    </w:p>
    <w:p>
      <w:pPr>
        <w:spacing w:after="0" w:line="101" w:lineRule="exact"/>
        <w:rPr>
          <w:rFonts w:ascii="Times New Roman" w:cs="Times New Roman" w:eastAsia="Times New Roman" w:hAnsi="Times New Roman"/>
          <w:sz w:val="18"/>
          <w:szCs w:val="18"/>
          <w:color w:val="auto"/>
        </w:rPr>
      </w:pPr>
    </w:p>
    <w:p>
      <w:pPr>
        <w:ind w:left="660" w:hanging="328"/>
        <w:spacing w:after="0" w:line="329"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this consistently applied compensation measure, we identified an employee at the median and calculated such employee’s total compensation for fiscal year 2024 in accordance with Item 402(c)(2)(x) of Regulation S-K.</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use any cost-of-living adjustments in identifying the median employee.</w:t>
      </w:r>
    </w:p>
    <w:p>
      <w:pPr>
        <w:spacing w:after="0" w:line="184" w:lineRule="exact"/>
        <w:rPr>
          <w:rFonts w:ascii="Times New Roman" w:cs="Times New Roman" w:eastAsia="Times New Roman" w:hAnsi="Times New Roman"/>
          <w:sz w:val="18"/>
          <w:szCs w:val="18"/>
          <w:color w:val="auto"/>
        </w:rPr>
      </w:pPr>
    </w:p>
    <w:p>
      <w:pPr>
        <w:ind w:left="660" w:hanging="328"/>
        <w:spacing w:after="0" w:line="313"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total compensation of our Chief Executive Officer is the amount reported in the “Total” column of our Summary Compensation Table for fiscal year 2024.</w:t>
      </w:r>
    </w:p>
    <w:p>
      <w:pPr>
        <w:spacing w:after="0" w:line="203" w:lineRule="exact"/>
        <w:rPr>
          <w:sz w:val="20"/>
          <w:szCs w:val="20"/>
          <w:color w:val="auto"/>
        </w:rPr>
      </w:pPr>
    </w:p>
    <w:p>
      <w:pPr>
        <w:jc w:val="both"/>
        <w:ind w:firstLine="389"/>
        <w:spacing w:after="0" w:line="297" w:lineRule="auto"/>
        <w:rPr>
          <w:sz w:val="20"/>
          <w:szCs w:val="20"/>
          <w:color w:val="auto"/>
        </w:rPr>
      </w:pPr>
      <w:r>
        <w:rPr>
          <w:rFonts w:ascii="Times New Roman" w:cs="Times New Roman" w:eastAsia="Times New Roman" w:hAnsi="Times New Roman"/>
          <w:sz w:val="18"/>
          <w:szCs w:val="18"/>
          <w:color w:val="auto"/>
        </w:rPr>
        <w:t>We believe our pay ratio presented above is a reasonable estimate calculated in a manner consistent with Item 402(u) of Regulation S-K. The SEC rules for identifying the median compensated employee and calculating the pay ratio based on that employee’s annual total compensation allow companies to adopt a variety of methodologies, to apply certain exclusions, and to make reasonable estimates and assumptions. As a result,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Director Compensation</w:t>
      </w:r>
    </w:p>
    <w:p>
      <w:pPr>
        <w:spacing w:after="0" w:line="260" w:lineRule="exact"/>
        <w:rPr>
          <w:sz w:val="20"/>
          <w:szCs w:val="20"/>
          <w:color w:val="auto"/>
        </w:rPr>
      </w:pPr>
    </w:p>
    <w:p>
      <w:pPr>
        <w:jc w:val="both"/>
        <w:ind w:firstLine="389"/>
        <w:spacing w:after="0" w:line="297" w:lineRule="auto"/>
        <w:rPr>
          <w:sz w:val="20"/>
          <w:szCs w:val="20"/>
          <w:color w:val="auto"/>
        </w:rPr>
      </w:pPr>
      <w:r>
        <w:rPr>
          <w:rFonts w:ascii="Times New Roman" w:cs="Times New Roman" w:eastAsia="Times New Roman" w:hAnsi="Times New Roman"/>
          <w:sz w:val="18"/>
          <w:szCs w:val="18"/>
          <w:color w:val="auto"/>
        </w:rPr>
        <w:t>The Board of Directors sets the compensation for the Company’s non-employee directors, after receiving the recommendations of the Compensation Committee. In formulating its recommendations, the Compensation Committee seeks and receives input from Aon related to the amounts, terms, and conditions of director cash compensation and stock-based compensation awards, with the goal of establishing non-employee director compensation that is similar to, and competitive with, the compensation of non-employee directors at peer companies in the semiconductor industry.</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Compensation</w:t>
      </w:r>
    </w:p>
    <w:p>
      <w:pPr>
        <w:spacing w:after="0" w:line="270" w:lineRule="exact"/>
        <w:rPr>
          <w:sz w:val="20"/>
          <w:szCs w:val="20"/>
          <w:color w:val="auto"/>
        </w:rPr>
      </w:pPr>
    </w:p>
    <w:p>
      <w:pPr>
        <w:jc w:val="both"/>
        <w:ind w:firstLine="389"/>
        <w:spacing w:after="0" w:line="294" w:lineRule="auto"/>
        <w:rPr>
          <w:sz w:val="20"/>
          <w:szCs w:val="20"/>
          <w:color w:val="auto"/>
        </w:rPr>
      </w:pPr>
      <w:r>
        <w:rPr>
          <w:rFonts w:ascii="Times New Roman" w:cs="Times New Roman" w:eastAsia="Times New Roman" w:hAnsi="Times New Roman"/>
          <w:sz w:val="18"/>
          <w:szCs w:val="18"/>
          <w:color w:val="auto"/>
        </w:rPr>
        <w:t>Non-employee directors are paid, in quarterly installments, an annual retainer of $90,000. Additional annual retainers for Chairman, Lead Independent Director, and/or committee service (paid in quarterly installments) are as follows: any non-employee Chairman of the Board ($130,000); the Lead Independent Director, if one has been appointed ($50,000); the Chairman of the Audit Committee ($30,000); the Chairman of the Compensation Committee ($20,000); the Chairman of the Nominating and Corporate Governance Committee ($15,000); non-chair member of Audit Committee ($15,000); non-chair member of Compensation Committee ($10,000); and non-chair member of Nominating and Corporate Governance Committee ($7,500). In addition, the Compensation Committee continues to retain discretion to recommend to the full Board of Directors that additional cash payments be made to a non-employee director for extraordinary service during a fiscal year.</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270" w:lineRule="exact"/>
        <w:rPr>
          <w:sz w:val="20"/>
          <w:szCs w:val="20"/>
          <w:color w:val="auto"/>
        </w:rPr>
      </w:pPr>
    </w:p>
    <w:p>
      <w:pPr>
        <w:jc w:val="both"/>
        <w:ind w:firstLine="389"/>
        <w:spacing w:after="0" w:line="297" w:lineRule="auto"/>
        <w:rPr>
          <w:sz w:val="20"/>
          <w:szCs w:val="20"/>
          <w:color w:val="auto"/>
        </w:rPr>
      </w:pPr>
      <w:r>
        <w:rPr>
          <w:rFonts w:ascii="Times New Roman" w:cs="Times New Roman" w:eastAsia="Times New Roman" w:hAnsi="Times New Roman"/>
          <w:sz w:val="18"/>
          <w:szCs w:val="18"/>
          <w:color w:val="auto"/>
        </w:rPr>
        <w:t>Currently, following each annual meeting of stockholders, each non-employee director who is reelected will receive a grant of RSUs having a value of approximately $225,000. Any newly appointed non-employee director will receive an initial equity grant of RSUs having a value of approximately $225,000. The number of shares subject to a non-employee director’s initial RSU award or annual award is determined by dividing the approximate value of</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34" w:name="page35"/>
    <w:bookmarkEnd w:id="34"/>
    <w:p>
      <w:pPr>
        <w:jc w:val="both"/>
        <w:spacing w:after="0" w:line="294" w:lineRule="auto"/>
        <w:rPr>
          <w:sz w:val="20"/>
          <w:szCs w:val="20"/>
          <w:color w:val="auto"/>
        </w:rPr>
      </w:pPr>
      <w:r>
        <w:rPr>
          <w:rFonts w:ascii="Times New Roman" w:cs="Times New Roman" w:eastAsia="Times New Roman" w:hAnsi="Times New Roman"/>
          <w:sz w:val="18"/>
          <w:szCs w:val="18"/>
          <w:color w:val="auto"/>
        </w:rPr>
        <w:t>the award, as stated above, by the average closing price per share of the Company’s common stock as reported on the Nasdaq Global Select Market (or if the common stock is not then traded on such market, such other market on which the common stock is traded) for each trading day during the 30 consecutive trading day period ending on, and including, the grant date. Unless otherwise determined by the Board of Directors, (a) a non-employee director’s initial equity grant of RSUs will vest in three (3) equal annual installments on the first three anniversaries of the date of grant, and (b) a non-employee director’s annual equity grant of RSUs will vest on the first anniversary of the date of grant. In the event of a change in control of the Company, any outstanding options and RSUs awarded under the 2008 Director Long-Term Incentive Plan will become fully exercisable and deemed fully vested, respectively.</w:t>
      </w:r>
    </w:p>
    <w:p>
      <w:pPr>
        <w:spacing w:after="0" w:line="210" w:lineRule="exact"/>
        <w:rPr>
          <w:sz w:val="20"/>
          <w:szCs w:val="20"/>
          <w:color w:val="auto"/>
        </w:rPr>
      </w:pPr>
    </w:p>
    <w:p>
      <w:pPr>
        <w:jc w:val="both"/>
        <w:ind w:firstLine="389"/>
        <w:spacing w:after="0" w:line="329" w:lineRule="auto"/>
        <w:rPr>
          <w:sz w:val="20"/>
          <w:szCs w:val="20"/>
          <w:color w:val="auto"/>
        </w:rPr>
      </w:pPr>
      <w:r>
        <w:rPr>
          <w:rFonts w:ascii="Times New Roman" w:cs="Times New Roman" w:eastAsia="Times New Roman" w:hAnsi="Times New Roman"/>
          <w:sz w:val="18"/>
          <w:szCs w:val="18"/>
          <w:color w:val="auto"/>
        </w:rPr>
        <w:t>No director who is also an employee receives separate compensation for services rendered as a director. Mr. Griffin is currently the only director who is also an employee of the Company.</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 Table</w:t>
      </w:r>
    </w:p>
    <w:p>
      <w:pPr>
        <w:spacing w:after="0" w:line="2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compensation paid to the Company’s non-employee directors for fiscal year 2024.</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80" w:type="dxa"/>
            <w:vAlign w:val="bottom"/>
          </w:tcPr>
          <w:p>
            <w:pPr>
              <w:spacing w:after="0"/>
              <w:rPr>
                <w:sz w:val="17"/>
                <w:szCs w:val="17"/>
                <w:color w:val="auto"/>
              </w:rPr>
            </w:pPr>
          </w:p>
        </w:tc>
        <w:tc>
          <w:tcPr>
            <w:tcW w:w="352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rPr>
              <w:t>Fees Earned</w:t>
            </w:r>
          </w:p>
        </w:tc>
        <w:tc>
          <w:tcPr>
            <w:tcW w:w="160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4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9"/>
        </w:trPr>
        <w:tc>
          <w:tcPr>
            <w:tcW w:w="4880" w:type="dxa"/>
            <w:vAlign w:val="bottom"/>
          </w:tcPr>
          <w:p>
            <w:pPr>
              <w:spacing w:after="0"/>
              <w:rPr>
                <w:sz w:val="16"/>
                <w:szCs w:val="16"/>
                <w:color w:val="auto"/>
              </w:rPr>
            </w:pPr>
          </w:p>
        </w:tc>
        <w:tc>
          <w:tcPr>
            <w:tcW w:w="3520" w:type="dxa"/>
            <w:vAlign w:val="bottom"/>
          </w:tcPr>
          <w:p>
            <w:pPr>
              <w:jc w:val="center"/>
              <w:ind w:left="1110"/>
              <w:spacing w:after="0" w:line="189" w:lineRule="exact"/>
              <w:rPr>
                <w:sz w:val="20"/>
                <w:szCs w:val="20"/>
                <w:color w:val="auto"/>
              </w:rPr>
            </w:pPr>
            <w:r>
              <w:rPr>
                <w:rFonts w:ascii="Times New Roman" w:cs="Times New Roman" w:eastAsia="Times New Roman" w:hAnsi="Times New Roman"/>
                <w:sz w:val="18"/>
                <w:szCs w:val="18"/>
                <w:b w:val="1"/>
                <w:bCs w:val="1"/>
                <w:color w:val="auto"/>
              </w:rPr>
              <w:t>or Paid in Cash</w:t>
            </w:r>
          </w:p>
        </w:tc>
        <w:tc>
          <w:tcPr>
            <w:tcW w:w="1600" w:type="dxa"/>
            <w:vAlign w:val="bottom"/>
          </w:tcPr>
          <w:p>
            <w:pPr>
              <w:jc w:val="center"/>
              <w:ind w:right="410"/>
              <w:spacing w:after="0" w:line="189" w:lineRule="exact"/>
              <w:rPr>
                <w:sz w:val="20"/>
                <w:szCs w:val="20"/>
                <w:color w:val="auto"/>
              </w:rPr>
            </w:pPr>
            <w:r>
              <w:rPr>
                <w:rFonts w:ascii="Times New Roman" w:cs="Times New Roman" w:eastAsia="Times New Roman" w:hAnsi="Times New Roman"/>
                <w:sz w:val="18"/>
                <w:szCs w:val="18"/>
                <w:b w:val="1"/>
                <w:bCs w:val="1"/>
                <w:color w:val="auto"/>
                <w:w w:val="96"/>
              </w:rPr>
              <w:t>Awards</w:t>
            </w: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52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60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8"/>
              </w:rPr>
              <w:t>($)(1)(2)</w:t>
            </w:r>
          </w:p>
        </w:tc>
        <w:tc>
          <w:tcPr>
            <w:tcW w:w="12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Christine King, Lead Independent Director</w:t>
            </w:r>
          </w:p>
        </w:tc>
        <w:tc>
          <w:tcPr>
            <w:tcW w:w="35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172,500</w:t>
            </w: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225,042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397,542</w:t>
            </w:r>
          </w:p>
        </w:tc>
        <w:tc>
          <w:tcPr>
            <w:tcW w:w="0" w:type="dxa"/>
            <w:vAlign w:val="bottom"/>
          </w:tcPr>
          <w:p>
            <w:pPr>
              <w:spacing w:after="0"/>
              <w:rPr>
                <w:sz w:val="1"/>
                <w:szCs w:val="1"/>
                <w:color w:val="auto"/>
              </w:rPr>
            </w:pPr>
          </w:p>
        </w:tc>
      </w:tr>
      <w:tr>
        <w:trPr>
          <w:trHeight w:val="230"/>
        </w:trPr>
        <w:tc>
          <w:tcPr>
            <w:tcW w:w="4880" w:type="dxa"/>
            <w:vAlign w:val="bottom"/>
            <w:shd w:val="clear" w:color="auto" w:fill="D9D9D9"/>
          </w:tcPr>
          <w:p>
            <w:pPr>
              <w:ind w:left="20"/>
              <w:spacing w:after="0"/>
              <w:rPr>
                <w:sz w:val="20"/>
                <w:szCs w:val="20"/>
                <w:color w:val="auto"/>
              </w:rPr>
            </w:pPr>
            <w:r>
              <w:rPr>
                <w:rFonts w:ascii="Times New Roman" w:cs="Times New Roman" w:eastAsia="Times New Roman" w:hAnsi="Times New Roman"/>
                <w:sz w:val="18"/>
                <w:szCs w:val="18"/>
                <w:color w:val="auto"/>
              </w:rPr>
              <w:t>Alan S. Batey</w:t>
            </w:r>
          </w:p>
        </w:tc>
        <w:tc>
          <w:tcPr>
            <w:tcW w:w="3520" w:type="dxa"/>
            <w:vAlign w:val="bottom"/>
            <w:shd w:val="clear" w:color="auto" w:fill="D9D9D9"/>
          </w:tcPr>
          <w:p>
            <w:pPr>
              <w:jc w:val="right"/>
              <w:ind w:right="150"/>
              <w:spacing w:after="0"/>
              <w:rPr>
                <w:sz w:val="20"/>
                <w:szCs w:val="20"/>
                <w:color w:val="auto"/>
              </w:rPr>
            </w:pPr>
            <w:r>
              <w:rPr>
                <w:rFonts w:ascii="Times New Roman" w:cs="Times New Roman" w:eastAsia="Times New Roman" w:hAnsi="Times New Roman"/>
                <w:sz w:val="18"/>
                <w:szCs w:val="18"/>
                <w:color w:val="auto"/>
              </w:rPr>
              <w:t>97,500</w:t>
            </w:r>
          </w:p>
        </w:tc>
        <w:tc>
          <w:tcPr>
            <w:tcW w:w="1600" w:type="dxa"/>
            <w:vAlign w:val="bottom"/>
            <w:shd w:val="clear" w:color="auto" w:fill="D9D9D9"/>
          </w:tcPr>
          <w:p>
            <w:pPr>
              <w:jc w:val="right"/>
              <w:ind w:right="210"/>
              <w:spacing w:after="0"/>
              <w:rPr>
                <w:sz w:val="20"/>
                <w:szCs w:val="20"/>
                <w:color w:val="auto"/>
              </w:rPr>
            </w:pPr>
            <w:r>
              <w:rPr>
                <w:rFonts w:ascii="Times New Roman" w:cs="Times New Roman" w:eastAsia="Times New Roman" w:hAnsi="Times New Roman"/>
                <w:sz w:val="18"/>
                <w:szCs w:val="18"/>
                <w:color w:val="auto"/>
              </w:rPr>
              <w:t>225,042</w:t>
            </w:r>
          </w:p>
        </w:tc>
        <w:tc>
          <w:tcPr>
            <w:tcW w:w="124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322,542</w:t>
            </w:r>
          </w:p>
        </w:tc>
        <w:tc>
          <w:tcPr>
            <w:tcW w:w="0" w:type="dxa"/>
            <w:vAlign w:val="bottom"/>
          </w:tcPr>
          <w:p>
            <w:pPr>
              <w:spacing w:after="0"/>
              <w:rPr>
                <w:sz w:val="1"/>
                <w:szCs w:val="1"/>
                <w:color w:val="auto"/>
              </w:rPr>
            </w:pPr>
          </w:p>
        </w:tc>
      </w:tr>
      <w:tr>
        <w:trPr>
          <w:trHeight w:val="22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L. Beebe</w:t>
            </w:r>
          </w:p>
        </w:tc>
        <w:tc>
          <w:tcPr>
            <w:tcW w:w="35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102,500</w:t>
            </w: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225,042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327,542</w:t>
            </w:r>
          </w:p>
        </w:tc>
        <w:tc>
          <w:tcPr>
            <w:tcW w:w="0" w:type="dxa"/>
            <w:vAlign w:val="bottom"/>
          </w:tcPr>
          <w:p>
            <w:pPr>
              <w:spacing w:after="0"/>
              <w:rPr>
                <w:sz w:val="1"/>
                <w:szCs w:val="1"/>
                <w:color w:val="auto"/>
              </w:rPr>
            </w:pPr>
          </w:p>
        </w:tc>
      </w:tr>
      <w:tr>
        <w:trPr>
          <w:trHeight w:val="229"/>
        </w:trPr>
        <w:tc>
          <w:tcPr>
            <w:tcW w:w="4880" w:type="dxa"/>
            <w:vAlign w:val="bottom"/>
            <w:shd w:val="clear" w:color="auto" w:fill="D9D9D9"/>
          </w:tcPr>
          <w:p>
            <w:pPr>
              <w:ind w:left="20"/>
              <w:spacing w:after="0"/>
              <w:rPr>
                <w:sz w:val="20"/>
                <w:szCs w:val="20"/>
                <w:color w:val="auto"/>
              </w:rPr>
            </w:pPr>
            <w:r>
              <w:rPr>
                <w:rFonts w:ascii="Times New Roman" w:cs="Times New Roman" w:eastAsia="Times New Roman" w:hAnsi="Times New Roman"/>
                <w:sz w:val="18"/>
                <w:szCs w:val="18"/>
                <w:color w:val="auto"/>
              </w:rPr>
              <w:t>Eric J. Guerin</w:t>
            </w:r>
          </w:p>
        </w:tc>
        <w:tc>
          <w:tcPr>
            <w:tcW w:w="3520" w:type="dxa"/>
            <w:vAlign w:val="bottom"/>
            <w:shd w:val="clear" w:color="auto" w:fill="D9D9D9"/>
          </w:tcPr>
          <w:p>
            <w:pPr>
              <w:jc w:val="right"/>
              <w:ind w:right="150"/>
              <w:spacing w:after="0"/>
              <w:rPr>
                <w:sz w:val="20"/>
                <w:szCs w:val="20"/>
                <w:color w:val="auto"/>
              </w:rPr>
            </w:pPr>
            <w:r>
              <w:rPr>
                <w:rFonts w:ascii="Times New Roman" w:cs="Times New Roman" w:eastAsia="Times New Roman" w:hAnsi="Times New Roman"/>
                <w:sz w:val="18"/>
                <w:szCs w:val="18"/>
                <w:color w:val="auto"/>
              </w:rPr>
              <w:t>102,500</w:t>
            </w:r>
          </w:p>
        </w:tc>
        <w:tc>
          <w:tcPr>
            <w:tcW w:w="1600" w:type="dxa"/>
            <w:vAlign w:val="bottom"/>
            <w:shd w:val="clear" w:color="auto" w:fill="D9D9D9"/>
          </w:tcPr>
          <w:p>
            <w:pPr>
              <w:jc w:val="right"/>
              <w:ind w:right="210"/>
              <w:spacing w:after="0"/>
              <w:rPr>
                <w:sz w:val="20"/>
                <w:szCs w:val="20"/>
                <w:color w:val="auto"/>
              </w:rPr>
            </w:pPr>
            <w:r>
              <w:rPr>
                <w:rFonts w:ascii="Times New Roman" w:cs="Times New Roman" w:eastAsia="Times New Roman" w:hAnsi="Times New Roman"/>
                <w:sz w:val="18"/>
                <w:szCs w:val="18"/>
                <w:color w:val="auto"/>
              </w:rPr>
              <w:t>225,042</w:t>
            </w:r>
          </w:p>
        </w:tc>
        <w:tc>
          <w:tcPr>
            <w:tcW w:w="124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327,542</w:t>
            </w:r>
          </w:p>
        </w:tc>
        <w:tc>
          <w:tcPr>
            <w:tcW w:w="0" w:type="dxa"/>
            <w:vAlign w:val="bottom"/>
          </w:tcPr>
          <w:p>
            <w:pPr>
              <w:spacing w:after="0"/>
              <w:rPr>
                <w:sz w:val="1"/>
                <w:szCs w:val="1"/>
                <w:color w:val="auto"/>
              </w:rPr>
            </w:pP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Suzanne E. McBride</w:t>
            </w:r>
          </w:p>
        </w:tc>
        <w:tc>
          <w:tcPr>
            <w:tcW w:w="35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95,000</w:t>
            </w: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225,042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320,042</w:t>
            </w:r>
          </w:p>
        </w:tc>
        <w:tc>
          <w:tcPr>
            <w:tcW w:w="0" w:type="dxa"/>
            <w:vAlign w:val="bottom"/>
          </w:tcPr>
          <w:p>
            <w:pPr>
              <w:spacing w:after="0"/>
              <w:rPr>
                <w:sz w:val="1"/>
                <w:szCs w:val="1"/>
                <w:color w:val="auto"/>
              </w:rPr>
            </w:pPr>
          </w:p>
        </w:tc>
      </w:tr>
      <w:tr>
        <w:trPr>
          <w:trHeight w:val="229"/>
        </w:trPr>
        <w:tc>
          <w:tcPr>
            <w:tcW w:w="4880" w:type="dxa"/>
            <w:vAlign w:val="bottom"/>
            <w:shd w:val="clear" w:color="auto" w:fill="D9D9D9"/>
          </w:tcPr>
          <w:p>
            <w:pPr>
              <w:ind w:left="20"/>
              <w:spacing w:after="0"/>
              <w:rPr>
                <w:sz w:val="20"/>
                <w:szCs w:val="20"/>
                <w:color w:val="auto"/>
              </w:rPr>
            </w:pPr>
            <w:r>
              <w:rPr>
                <w:rFonts w:ascii="Times New Roman" w:cs="Times New Roman" w:eastAsia="Times New Roman" w:hAnsi="Times New Roman"/>
                <w:sz w:val="18"/>
                <w:szCs w:val="18"/>
                <w:color w:val="auto"/>
              </w:rPr>
              <w:t>David P. McGlade</w:t>
            </w:r>
          </w:p>
        </w:tc>
        <w:tc>
          <w:tcPr>
            <w:tcW w:w="3520" w:type="dxa"/>
            <w:vAlign w:val="bottom"/>
            <w:shd w:val="clear" w:color="auto" w:fill="D9D9D9"/>
          </w:tcPr>
          <w:p>
            <w:pPr>
              <w:jc w:val="right"/>
              <w:ind w:right="150"/>
              <w:spacing w:after="0"/>
              <w:rPr>
                <w:sz w:val="20"/>
                <w:szCs w:val="20"/>
                <w:color w:val="auto"/>
              </w:rPr>
            </w:pPr>
            <w:r>
              <w:rPr>
                <w:rFonts w:ascii="Times New Roman" w:cs="Times New Roman" w:eastAsia="Times New Roman" w:hAnsi="Times New Roman"/>
                <w:sz w:val="18"/>
                <w:szCs w:val="18"/>
                <w:color w:val="auto"/>
              </w:rPr>
              <w:t>125,000</w:t>
            </w:r>
          </w:p>
        </w:tc>
        <w:tc>
          <w:tcPr>
            <w:tcW w:w="1600" w:type="dxa"/>
            <w:vAlign w:val="bottom"/>
            <w:shd w:val="clear" w:color="auto" w:fill="D9D9D9"/>
          </w:tcPr>
          <w:p>
            <w:pPr>
              <w:jc w:val="right"/>
              <w:ind w:right="210"/>
              <w:spacing w:after="0"/>
              <w:rPr>
                <w:sz w:val="20"/>
                <w:szCs w:val="20"/>
                <w:color w:val="auto"/>
              </w:rPr>
            </w:pPr>
            <w:r>
              <w:rPr>
                <w:rFonts w:ascii="Times New Roman" w:cs="Times New Roman" w:eastAsia="Times New Roman" w:hAnsi="Times New Roman"/>
                <w:sz w:val="18"/>
                <w:szCs w:val="18"/>
                <w:color w:val="auto"/>
              </w:rPr>
              <w:t>225,042</w:t>
            </w:r>
          </w:p>
        </w:tc>
        <w:tc>
          <w:tcPr>
            <w:tcW w:w="124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350,042</w:t>
            </w:r>
          </w:p>
        </w:tc>
        <w:tc>
          <w:tcPr>
            <w:tcW w:w="0" w:type="dxa"/>
            <w:vAlign w:val="bottom"/>
          </w:tcPr>
          <w:p>
            <w:pPr>
              <w:spacing w:after="0"/>
              <w:rPr>
                <w:sz w:val="1"/>
                <w:szCs w:val="1"/>
                <w:color w:val="auto"/>
              </w:rPr>
            </w:pP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A. Schriesheim</w:t>
            </w:r>
          </w:p>
        </w:tc>
        <w:tc>
          <w:tcPr>
            <w:tcW w:w="35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112,500</w:t>
            </w: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225,042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337,542</w:t>
            </w:r>
          </w:p>
        </w:tc>
        <w:tc>
          <w:tcPr>
            <w:tcW w:w="0" w:type="dxa"/>
            <w:vAlign w:val="bottom"/>
          </w:tcPr>
          <w:p>
            <w:pPr>
              <w:spacing w:after="0"/>
              <w:rPr>
                <w:sz w:val="1"/>
                <w:szCs w:val="1"/>
                <w:color w:val="auto"/>
              </w:rPr>
            </w:pPr>
          </w:p>
        </w:tc>
      </w:tr>
      <w:tr>
        <w:trPr>
          <w:trHeight w:val="230"/>
        </w:trPr>
        <w:tc>
          <w:tcPr>
            <w:tcW w:w="4880" w:type="dxa"/>
            <w:vAlign w:val="bottom"/>
            <w:shd w:val="clear" w:color="auto" w:fill="D9D9D9"/>
          </w:tcPr>
          <w:p>
            <w:pPr>
              <w:ind w:left="20"/>
              <w:spacing w:after="0"/>
              <w:rPr>
                <w:sz w:val="20"/>
                <w:szCs w:val="20"/>
                <w:color w:val="auto"/>
              </w:rPr>
            </w:pPr>
            <w:r>
              <w:rPr>
                <w:rFonts w:ascii="Times New Roman" w:cs="Times New Roman" w:eastAsia="Times New Roman" w:hAnsi="Times New Roman"/>
                <w:sz w:val="18"/>
                <w:szCs w:val="18"/>
                <w:color w:val="auto"/>
              </w:rPr>
              <w:t>Maryann Turcke</w:t>
            </w:r>
          </w:p>
        </w:tc>
        <w:tc>
          <w:tcPr>
            <w:tcW w:w="3520" w:type="dxa"/>
            <w:vAlign w:val="bottom"/>
            <w:shd w:val="clear" w:color="auto" w:fill="D9D9D9"/>
          </w:tcPr>
          <w:p>
            <w:pPr>
              <w:jc w:val="right"/>
              <w:ind w:right="150"/>
              <w:spacing w:after="0"/>
              <w:rPr>
                <w:sz w:val="20"/>
                <w:szCs w:val="20"/>
                <w:color w:val="auto"/>
              </w:rPr>
            </w:pPr>
            <w:r>
              <w:rPr>
                <w:rFonts w:ascii="Times New Roman" w:cs="Times New Roman" w:eastAsia="Times New Roman" w:hAnsi="Times New Roman"/>
                <w:sz w:val="18"/>
                <w:szCs w:val="18"/>
                <w:color w:val="auto"/>
              </w:rPr>
              <w:t>95,000</w:t>
            </w:r>
          </w:p>
        </w:tc>
        <w:tc>
          <w:tcPr>
            <w:tcW w:w="1600" w:type="dxa"/>
            <w:vAlign w:val="bottom"/>
            <w:shd w:val="clear" w:color="auto" w:fill="D9D9D9"/>
          </w:tcPr>
          <w:p>
            <w:pPr>
              <w:jc w:val="right"/>
              <w:ind w:right="210"/>
              <w:spacing w:after="0"/>
              <w:rPr>
                <w:sz w:val="20"/>
                <w:szCs w:val="20"/>
                <w:color w:val="auto"/>
              </w:rPr>
            </w:pPr>
            <w:r>
              <w:rPr>
                <w:rFonts w:ascii="Times New Roman" w:cs="Times New Roman" w:eastAsia="Times New Roman" w:hAnsi="Times New Roman"/>
                <w:sz w:val="18"/>
                <w:szCs w:val="18"/>
                <w:color w:val="auto"/>
              </w:rPr>
              <w:t>225,042</w:t>
            </w:r>
          </w:p>
        </w:tc>
        <w:tc>
          <w:tcPr>
            <w:tcW w:w="124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320,042</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50" w:lineRule="exact"/>
        <w:rPr>
          <w:sz w:val="20"/>
          <w:szCs w:val="20"/>
          <w:color w:val="auto"/>
        </w:rPr>
      </w:pPr>
    </w:p>
    <w:p>
      <w:pPr>
        <w:ind w:left="260" w:hanging="252"/>
        <w:spacing w:after="0" w:line="313" w:lineRule="auto"/>
        <w:tabs>
          <w:tab w:leader="none" w:pos="27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non-employee members of the Board of Directors who were directors on September 27, 2024 held the following aggregate number of unexercised stock options and unvested RSU awards as of such date: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8"/>
                <w:szCs w:val="18"/>
                <w:color w:val="auto"/>
              </w:rPr>
            </w:pPr>
          </w:p>
        </w:tc>
        <w:tc>
          <w:tcPr>
            <w:tcW w:w="402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r>
      <w:tr>
        <w:trPr>
          <w:trHeight w:val="184"/>
        </w:trPr>
        <w:tc>
          <w:tcPr>
            <w:tcW w:w="5200" w:type="dxa"/>
            <w:vAlign w:val="bottom"/>
          </w:tcPr>
          <w:p>
            <w:pPr>
              <w:spacing w:after="0"/>
              <w:rPr>
                <w:sz w:val="16"/>
                <w:szCs w:val="16"/>
                <w:color w:val="auto"/>
              </w:rPr>
            </w:pPr>
          </w:p>
        </w:tc>
        <w:tc>
          <w:tcPr>
            <w:tcW w:w="4020" w:type="dxa"/>
            <w:vAlign w:val="bottom"/>
          </w:tcPr>
          <w:p>
            <w:pPr>
              <w:jc w:val="center"/>
              <w:ind w:left="1730"/>
              <w:spacing w:after="0" w:line="184" w:lineRule="exact"/>
              <w:rPr>
                <w:sz w:val="20"/>
                <w:szCs w:val="20"/>
                <w:color w:val="auto"/>
              </w:rPr>
            </w:pPr>
            <w:r>
              <w:rPr>
                <w:rFonts w:ascii="Times New Roman" w:cs="Times New Roman" w:eastAsia="Times New Roman" w:hAnsi="Times New Roman"/>
                <w:sz w:val="18"/>
                <w:szCs w:val="18"/>
                <w:b w:val="1"/>
                <w:bCs w:val="1"/>
                <w:color w:val="auto"/>
              </w:rPr>
              <w:t>Securities Underlying</w:t>
            </w:r>
          </w:p>
        </w:tc>
        <w:tc>
          <w:tcPr>
            <w:tcW w:w="20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8"/>
              </w:rPr>
              <w:t>Subject to</w:t>
            </w:r>
          </w:p>
        </w:tc>
      </w:tr>
      <w:tr>
        <w:trPr>
          <w:trHeight w:val="265"/>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02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rPr>
              <w:t>Unexercised Options</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Unvested RSUs</w:t>
            </w:r>
          </w:p>
        </w:tc>
      </w:tr>
      <w:tr>
        <w:trPr>
          <w:trHeight w:val="23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Christine King, Lead Independent Director</w:t>
            </w:r>
          </w:p>
        </w:tc>
        <w:tc>
          <w:tcPr>
            <w:tcW w:w="4020" w:type="dxa"/>
            <w:vAlign w:val="bottom"/>
          </w:tcPr>
          <w:p>
            <w:pPr>
              <w:jc w:val="center"/>
              <w:ind w:left="1750"/>
              <w:spacing w:after="0"/>
              <w:rPr>
                <w:sz w:val="20"/>
                <w:szCs w:val="20"/>
                <w:color w:val="auto"/>
              </w:rPr>
            </w:pPr>
            <w:r>
              <w:rPr>
                <w:rFonts w:ascii="Times New Roman" w:cs="Times New Roman" w:eastAsia="Times New Roman" w:hAnsi="Times New Roman"/>
                <w:sz w:val="18"/>
                <w:szCs w:val="18"/>
                <w:color w:val="auto"/>
                <w:w w:val="99"/>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2,272</w:t>
            </w:r>
          </w:p>
        </w:tc>
      </w:tr>
      <w:tr>
        <w:trPr>
          <w:trHeight w:val="230"/>
        </w:trPr>
        <w:tc>
          <w:tcPr>
            <w:tcW w:w="52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Alan S. Batey</w:t>
            </w:r>
          </w:p>
        </w:tc>
        <w:tc>
          <w:tcPr>
            <w:tcW w:w="4020" w:type="dxa"/>
            <w:vAlign w:val="bottom"/>
            <w:shd w:val="clear" w:color="auto" w:fill="DBDBDB"/>
          </w:tcPr>
          <w:p>
            <w:pPr>
              <w:jc w:val="center"/>
              <w:ind w:left="1750"/>
              <w:spacing w:after="0"/>
              <w:rPr>
                <w:sz w:val="20"/>
                <w:szCs w:val="20"/>
                <w:color w:val="auto"/>
              </w:rPr>
            </w:pPr>
            <w:r>
              <w:rPr>
                <w:rFonts w:ascii="Times New Roman" w:cs="Times New Roman" w:eastAsia="Times New Roman" w:hAnsi="Times New Roman"/>
                <w:sz w:val="18"/>
                <w:szCs w:val="18"/>
                <w:color w:val="auto"/>
                <w:w w:val="99"/>
              </w:rPr>
              <w:t>—</w:t>
            </w:r>
          </w:p>
        </w:tc>
        <w:tc>
          <w:tcPr>
            <w:tcW w:w="20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8"/>
              </w:rPr>
              <w:t>2,272</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L. Beebe</w:t>
            </w:r>
          </w:p>
        </w:tc>
        <w:tc>
          <w:tcPr>
            <w:tcW w:w="4020" w:type="dxa"/>
            <w:vAlign w:val="bottom"/>
          </w:tcPr>
          <w:p>
            <w:pPr>
              <w:jc w:val="center"/>
              <w:ind w:left="1750"/>
              <w:spacing w:after="0"/>
              <w:rPr>
                <w:sz w:val="20"/>
                <w:szCs w:val="20"/>
                <w:color w:val="auto"/>
              </w:rPr>
            </w:pPr>
            <w:r>
              <w:rPr>
                <w:rFonts w:ascii="Times New Roman" w:cs="Times New Roman" w:eastAsia="Times New Roman" w:hAnsi="Times New Roman"/>
                <w:sz w:val="18"/>
                <w:szCs w:val="18"/>
                <w:color w:val="auto"/>
                <w:w w:val="99"/>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2,272</w:t>
            </w:r>
          </w:p>
        </w:tc>
      </w:tr>
      <w:tr>
        <w:trPr>
          <w:trHeight w:val="230"/>
        </w:trPr>
        <w:tc>
          <w:tcPr>
            <w:tcW w:w="52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Eric J. Guerin</w:t>
            </w:r>
          </w:p>
        </w:tc>
        <w:tc>
          <w:tcPr>
            <w:tcW w:w="4020" w:type="dxa"/>
            <w:vAlign w:val="bottom"/>
            <w:shd w:val="clear" w:color="auto" w:fill="DBDBDB"/>
          </w:tcPr>
          <w:p>
            <w:pPr>
              <w:jc w:val="center"/>
              <w:ind w:left="1750"/>
              <w:spacing w:after="0"/>
              <w:rPr>
                <w:sz w:val="20"/>
                <w:szCs w:val="20"/>
                <w:color w:val="auto"/>
              </w:rPr>
            </w:pPr>
            <w:r>
              <w:rPr>
                <w:rFonts w:ascii="Times New Roman" w:cs="Times New Roman" w:eastAsia="Times New Roman" w:hAnsi="Times New Roman"/>
                <w:sz w:val="18"/>
                <w:szCs w:val="18"/>
                <w:color w:val="auto"/>
                <w:w w:val="99"/>
              </w:rPr>
              <w:t>—</w:t>
            </w:r>
          </w:p>
        </w:tc>
        <w:tc>
          <w:tcPr>
            <w:tcW w:w="20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8"/>
              </w:rPr>
              <w:t>2,718</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Suzanne E. McBride</w:t>
            </w:r>
          </w:p>
        </w:tc>
        <w:tc>
          <w:tcPr>
            <w:tcW w:w="4020" w:type="dxa"/>
            <w:vAlign w:val="bottom"/>
          </w:tcPr>
          <w:p>
            <w:pPr>
              <w:jc w:val="center"/>
              <w:ind w:left="1750"/>
              <w:spacing w:after="0"/>
              <w:rPr>
                <w:sz w:val="20"/>
                <w:szCs w:val="20"/>
                <w:color w:val="auto"/>
              </w:rPr>
            </w:pPr>
            <w:r>
              <w:rPr>
                <w:rFonts w:ascii="Times New Roman" w:cs="Times New Roman" w:eastAsia="Times New Roman" w:hAnsi="Times New Roman"/>
                <w:sz w:val="18"/>
                <w:szCs w:val="18"/>
                <w:color w:val="auto"/>
                <w:w w:val="99"/>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2,721</w:t>
            </w:r>
          </w:p>
        </w:tc>
      </w:tr>
      <w:tr>
        <w:trPr>
          <w:trHeight w:val="229"/>
        </w:trPr>
        <w:tc>
          <w:tcPr>
            <w:tcW w:w="52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David P. McGlade</w:t>
            </w:r>
          </w:p>
        </w:tc>
        <w:tc>
          <w:tcPr>
            <w:tcW w:w="4020" w:type="dxa"/>
            <w:vAlign w:val="bottom"/>
            <w:shd w:val="clear" w:color="auto" w:fill="DBDBDB"/>
          </w:tcPr>
          <w:p>
            <w:pPr>
              <w:jc w:val="center"/>
              <w:ind w:left="1750"/>
              <w:spacing w:after="0"/>
              <w:rPr>
                <w:sz w:val="20"/>
                <w:szCs w:val="20"/>
                <w:color w:val="auto"/>
              </w:rPr>
            </w:pPr>
            <w:r>
              <w:rPr>
                <w:rFonts w:ascii="Times New Roman" w:cs="Times New Roman" w:eastAsia="Times New Roman" w:hAnsi="Times New Roman"/>
                <w:sz w:val="18"/>
                <w:szCs w:val="18"/>
                <w:color w:val="auto"/>
                <w:w w:val="99"/>
              </w:rPr>
              <w:t>—</w:t>
            </w:r>
          </w:p>
        </w:tc>
        <w:tc>
          <w:tcPr>
            <w:tcW w:w="20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8"/>
              </w:rPr>
              <w:t>2,272</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A. Schriesheim</w:t>
            </w:r>
          </w:p>
        </w:tc>
        <w:tc>
          <w:tcPr>
            <w:tcW w:w="4020" w:type="dxa"/>
            <w:vAlign w:val="bottom"/>
          </w:tcPr>
          <w:p>
            <w:pPr>
              <w:jc w:val="center"/>
              <w:ind w:left="1750"/>
              <w:spacing w:after="0"/>
              <w:rPr>
                <w:sz w:val="20"/>
                <w:szCs w:val="20"/>
                <w:color w:val="auto"/>
              </w:rPr>
            </w:pPr>
            <w:r>
              <w:rPr>
                <w:rFonts w:ascii="Times New Roman" w:cs="Times New Roman" w:eastAsia="Times New Roman" w:hAnsi="Times New Roman"/>
                <w:sz w:val="18"/>
                <w:szCs w:val="18"/>
                <w:color w:val="auto"/>
                <w:w w:val="99"/>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2,272</w:t>
            </w:r>
          </w:p>
        </w:tc>
      </w:tr>
      <w:tr>
        <w:trPr>
          <w:trHeight w:val="230"/>
        </w:trPr>
        <w:tc>
          <w:tcPr>
            <w:tcW w:w="5200" w:type="dxa"/>
            <w:vAlign w:val="bottom"/>
            <w:shd w:val="clear" w:color="auto" w:fill="D9D9D9"/>
          </w:tcPr>
          <w:p>
            <w:pPr>
              <w:ind w:left="20"/>
              <w:spacing w:after="0"/>
              <w:rPr>
                <w:sz w:val="20"/>
                <w:szCs w:val="20"/>
                <w:color w:val="auto"/>
              </w:rPr>
            </w:pPr>
            <w:r>
              <w:rPr>
                <w:rFonts w:ascii="Times New Roman" w:cs="Times New Roman" w:eastAsia="Times New Roman" w:hAnsi="Times New Roman"/>
                <w:sz w:val="18"/>
                <w:szCs w:val="18"/>
                <w:color w:val="auto"/>
              </w:rPr>
              <w:t>Maryann Turcke</w:t>
            </w:r>
          </w:p>
        </w:tc>
        <w:tc>
          <w:tcPr>
            <w:tcW w:w="4020" w:type="dxa"/>
            <w:vAlign w:val="bottom"/>
            <w:shd w:val="clear" w:color="auto" w:fill="D9D9D9"/>
          </w:tcPr>
          <w:p>
            <w:pPr>
              <w:jc w:val="center"/>
              <w:ind w:left="1750"/>
              <w:spacing w:after="0"/>
              <w:rPr>
                <w:sz w:val="20"/>
                <w:szCs w:val="20"/>
                <w:color w:val="auto"/>
              </w:rPr>
            </w:pPr>
            <w:r>
              <w:rPr>
                <w:rFonts w:ascii="Times New Roman" w:cs="Times New Roman" w:eastAsia="Times New Roman" w:hAnsi="Times New Roman"/>
                <w:sz w:val="18"/>
                <w:szCs w:val="18"/>
                <w:color w:val="auto"/>
                <w:w w:val="99"/>
              </w:rPr>
              <w:t>—</w:t>
            </w:r>
          </w:p>
        </w:tc>
        <w:tc>
          <w:tcPr>
            <w:tcW w:w="202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8"/>
              </w:rPr>
              <w:t>3,656</w:t>
            </w:r>
          </w:p>
        </w:tc>
      </w:tr>
    </w:tbl>
    <w:p>
      <w:pPr>
        <w:spacing w:after="0" w:line="319" w:lineRule="exact"/>
        <w:rPr>
          <w:sz w:val="20"/>
          <w:szCs w:val="20"/>
          <w:color w:val="auto"/>
        </w:rPr>
      </w:pPr>
    </w:p>
    <w:p>
      <w:pPr>
        <w:ind w:left="260" w:hanging="252"/>
        <w:spacing w:after="0" w:line="329" w:lineRule="auto"/>
        <w:tabs>
          <w:tab w:leader="none" w:pos="29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for each non-employee director elected at the 2024 Annual Meeting of Stockholders (i.e., Mses. King, McBride, and Turcke and Messrs. Batey, Beebe, Guerin, McGlade, and Schriesheim), the grant date fair value of</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35" w:name="page36"/>
    <w:bookmarkEnd w:id="35"/>
    <w:p>
      <w:pPr>
        <w:ind w:left="260"/>
        <w:spacing w:after="0"/>
        <w:rPr>
          <w:sz w:val="20"/>
          <w:szCs w:val="20"/>
          <w:color w:val="auto"/>
        </w:rPr>
      </w:pPr>
      <w:r>
        <w:rPr>
          <w:rFonts w:ascii="Times New Roman" w:cs="Times New Roman" w:eastAsia="Times New Roman" w:hAnsi="Times New Roman"/>
          <w:sz w:val="18"/>
          <w:szCs w:val="18"/>
          <w:color w:val="auto"/>
        </w:rPr>
        <w:t>2,272 RSUs granted on May 14, 2024, computed in accordance with the provisions of ASC 718 using a price of $99.05 per share.</w:t>
      </w:r>
    </w:p>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Director Stock Ownership Requirements</w:t>
      </w:r>
    </w:p>
    <w:p>
      <w:pPr>
        <w:spacing w:after="0" w:line="270" w:lineRule="exact"/>
        <w:rPr>
          <w:sz w:val="20"/>
          <w:szCs w:val="20"/>
          <w:color w:val="auto"/>
        </w:rPr>
      </w:pPr>
    </w:p>
    <w:p>
      <w:pPr>
        <w:jc w:val="both"/>
        <w:ind w:firstLine="389"/>
        <w:spacing w:after="0" w:line="293" w:lineRule="auto"/>
        <w:rPr>
          <w:sz w:val="20"/>
          <w:szCs w:val="20"/>
          <w:color w:val="auto"/>
        </w:rPr>
      </w:pPr>
      <w:r>
        <w:rPr>
          <w:rFonts w:ascii="Times New Roman" w:cs="Times New Roman" w:eastAsia="Times New Roman" w:hAnsi="Times New Roman"/>
          <w:sz w:val="18"/>
          <w:szCs w:val="18"/>
          <w:color w:val="auto"/>
        </w:rPr>
        <w:t>We have adopted Director Stock Ownership guidelines with the objective of more closely aligning the interests of our directors with those of our stockholders. The minimum number of shares of the Company’s common stock that the Director Stock Ownership guidelines require non-employee directors to hold while serving in their capacity as directors is the director base compensation (currently $90,000) multiplied by five (5), divided by the fair market value of the Company’s common stock (rounded to the nearest 100 shares). For purposes of the Director Stock Ownership guidelines, the fair market value of the Company’s common stock is the average closing price per share of the Company’s common stock as reported on the Nasdaq Global Select Market (or if the common stock is not then traded on such market, such other market on which the common stock is traded) for the twelve (12) month period ending with the determination date. All of our directors have met the stock ownership guidelines as of the date hereof (with the exception of Ms. Turcke who is not required to comply with the guidelines until the fifth anniversary of her appointment to the Board of Directors).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Compensation Committee Interlocks and Insider Participation</w:t>
      </w:r>
    </w:p>
    <w:p>
      <w:pPr>
        <w:spacing w:after="0" w:line="260" w:lineRule="exact"/>
        <w:rPr>
          <w:sz w:val="20"/>
          <w:szCs w:val="20"/>
          <w:color w:val="auto"/>
        </w:rPr>
      </w:pPr>
    </w:p>
    <w:p>
      <w:pPr>
        <w:jc w:val="both"/>
        <w:ind w:firstLine="389"/>
        <w:spacing w:after="0" w:line="297" w:lineRule="auto"/>
        <w:rPr>
          <w:sz w:val="20"/>
          <w:szCs w:val="20"/>
          <w:color w:val="auto"/>
        </w:rPr>
      </w:pPr>
      <w:r>
        <w:rPr>
          <w:rFonts w:ascii="Times New Roman" w:cs="Times New Roman" w:eastAsia="Times New Roman" w:hAnsi="Times New Roman"/>
          <w:sz w:val="18"/>
          <w:szCs w:val="18"/>
          <w:color w:val="auto"/>
        </w:rPr>
        <w:t>The Compensation Committee of the Board of Directors currently consists of Ms. King (Chairman), Mr. Batey, and Mr. Schriesheim. No member of this committee was at any time during fiscal year 2024 an officer or employee of the Company, was formerly an officer of the Company or any of its subsidiaries, or had any employment relationship with the Company or any of its subsidiaries. No executive officer of the Company has served as a director or member of the compensation committee (or other committee serving an equivalent function) of any other entity, where one of such entity’s executive officers served as a director of the Company or a member of the Compensation Committee.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Compensation Committee Report</w:t>
      </w:r>
    </w:p>
    <w:p>
      <w:pPr>
        <w:spacing w:after="0" w:line="260" w:lineRule="exact"/>
        <w:rPr>
          <w:sz w:val="20"/>
          <w:szCs w:val="20"/>
          <w:color w:val="auto"/>
        </w:rPr>
      </w:pPr>
    </w:p>
    <w:p>
      <w:pPr>
        <w:jc w:val="both"/>
        <w:ind w:firstLine="389"/>
        <w:spacing w:after="0" w:line="305" w:lineRule="auto"/>
        <w:rPr>
          <w:sz w:val="20"/>
          <w:szCs w:val="20"/>
          <w:color w:val="auto"/>
        </w:rPr>
      </w:pPr>
      <w:r>
        <w:rPr>
          <w:rFonts w:ascii="Times New Roman" w:cs="Times New Roman" w:eastAsia="Times New Roman" w:hAnsi="Times New Roman"/>
          <w:sz w:val="18"/>
          <w:szCs w:val="18"/>
          <w:color w:val="auto"/>
        </w:rPr>
        <w:t>The Compensation Committee has reviewed and discussed the Compensation Discussion and Analysis included herein with management, and based on the review and discussions, the Compensation Committee recommended to the Board of Directors that the Compensation Discussion and Analysis be included in the annual report on this Form 10-K for the year ended September 27, 2024.</w:t>
      </w:r>
    </w:p>
    <w:p>
      <w:pPr>
        <w:spacing w:after="0" w:line="21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THE COMPENSATION COMMITTEE</w:t>
      </w:r>
    </w:p>
    <w:p>
      <w:pPr>
        <w:spacing w:after="0" w:line="3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Christine King, Chairman</w:t>
      </w:r>
    </w:p>
    <w:p>
      <w:pPr>
        <w:spacing w:after="0" w:line="5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Alan S. Batey</w:t>
      </w:r>
    </w:p>
    <w:p>
      <w:pPr>
        <w:spacing w:after="0" w:line="3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Robert A. Schriesheim</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36" w:name="page37"/>
    <w:bookmarkEnd w:id="36"/>
    <w:p>
      <w:pPr>
        <w:ind w:right="560"/>
        <w:spacing w:after="0" w:line="318"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Security Ownership of Certain Beneficial Owners and Management</w:t>
      </w:r>
    </w:p>
    <w:p>
      <w:pPr>
        <w:spacing w:after="0" w:line="260" w:lineRule="exact"/>
        <w:rPr>
          <w:sz w:val="20"/>
          <w:szCs w:val="20"/>
          <w:color w:val="auto"/>
        </w:rPr>
      </w:pPr>
    </w:p>
    <w:p>
      <w:pPr>
        <w:jc w:val="both"/>
        <w:ind w:firstLine="389"/>
        <w:spacing w:after="0" w:line="297" w:lineRule="auto"/>
        <w:rPr>
          <w:sz w:val="20"/>
          <w:szCs w:val="20"/>
          <w:color w:val="auto"/>
        </w:rPr>
      </w:pPr>
      <w:r>
        <w:rPr>
          <w:rFonts w:ascii="Times New Roman" w:cs="Times New Roman" w:eastAsia="Times New Roman" w:hAnsi="Times New Roman"/>
          <w:sz w:val="18"/>
          <w:szCs w:val="18"/>
          <w:color w:val="auto"/>
        </w:rPr>
        <w:t>To the Company’s knowledge, the following table sets forth the beneficial ownership of the Company’s common stock as of January 17, 2025, by the following individuals or entities: (i) each person or entity who beneficially owns five percent (5%) or more of the outstanding shares of the Company’s common stock as of January 17, 2025; (ii) the Named Executive Officers (as defined above in Item 11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(iii) each director and nominee for director; and (iv) all current executive officers and directors of the Company, as a group.</w:t>
      </w:r>
    </w:p>
    <w:p>
      <w:pPr>
        <w:spacing w:after="0" w:line="217" w:lineRule="exact"/>
        <w:rPr>
          <w:sz w:val="20"/>
          <w:szCs w:val="20"/>
          <w:color w:val="auto"/>
        </w:rPr>
      </w:pPr>
    </w:p>
    <w:p>
      <w:pPr>
        <w:jc w:val="both"/>
        <w:ind w:firstLine="389"/>
        <w:spacing w:after="0" w:line="305"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is not necessarily indicative of beneficial ownership for any other purpose, and does not constitute an admission that the named stockholder is a direct or indirect beneficial owner of those shares. As of January 17, 2025, there were 160,741,022 shares of the Company’s common stock outstanding.</w:t>
      </w:r>
    </w:p>
    <w:p>
      <w:pPr>
        <w:spacing w:after="0" w:line="210" w:lineRule="exact"/>
        <w:rPr>
          <w:sz w:val="20"/>
          <w:szCs w:val="20"/>
          <w:color w:val="auto"/>
        </w:rPr>
      </w:pPr>
    </w:p>
    <w:p>
      <w:pPr>
        <w:jc w:val="both"/>
        <w:ind w:firstLine="389"/>
        <w:spacing w:after="0" w:line="297" w:lineRule="auto"/>
        <w:rPr>
          <w:sz w:val="20"/>
          <w:szCs w:val="20"/>
          <w:color w:val="auto"/>
        </w:rPr>
      </w:pPr>
      <w:r>
        <w:rPr>
          <w:rFonts w:ascii="Times New Roman" w:cs="Times New Roman" w:eastAsia="Times New Roman" w:hAnsi="Times New Roman"/>
          <w:sz w:val="18"/>
          <w:szCs w:val="18"/>
          <w:color w:val="auto"/>
        </w:rPr>
        <w:t>In computing the number of shares of Company common stock beneficially owned by a person and the percentage ownership of that person, shares of Company common stock that are subject to stock options or other rights held by that person that are currently exercisable or that will become exercisable within sixty (60) days of January 17, 2025, are deemed outstanding. These shares are not, however, deemed outstanding for the purpose of computing the percentage ownership of any other person.</w:t>
      </w:r>
    </w:p>
    <w:p>
      <w:pPr>
        <w:spacing w:after="0" w:line="263"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5100" w:type="dxa"/>
            <w:vAlign w:val="bottom"/>
          </w:tcPr>
          <w:p>
            <w:pPr>
              <w:spacing w:after="0"/>
              <w:rPr>
                <w:sz w:val="17"/>
                <w:szCs w:val="17"/>
                <w:color w:val="auto"/>
              </w:rPr>
            </w:pPr>
          </w:p>
        </w:tc>
        <w:tc>
          <w:tcPr>
            <w:tcW w:w="258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280" w:type="dxa"/>
            <w:vAlign w:val="bottom"/>
          </w:tcPr>
          <w:p>
            <w:pPr>
              <w:spacing w:after="0"/>
              <w:rPr>
                <w:sz w:val="17"/>
                <w:szCs w:val="17"/>
                <w:color w:val="auto"/>
              </w:rPr>
            </w:pPr>
          </w:p>
        </w:tc>
      </w:tr>
      <w:tr>
        <w:trPr>
          <w:trHeight w:val="265"/>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Names and Addresses of Beneficial Owners(1)</w:t>
            </w:r>
          </w:p>
        </w:tc>
        <w:tc>
          <w:tcPr>
            <w:tcW w:w="25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Beneficially Owned(2)</w:t>
            </w:r>
          </w:p>
        </w:tc>
        <w:tc>
          <w:tcPr>
            <w:tcW w:w="228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Percent of Class</w:t>
            </w:r>
          </w:p>
        </w:tc>
      </w:tr>
      <w:tr>
        <w:trPr>
          <w:trHeight w:val="270"/>
        </w:trPr>
        <w:tc>
          <w:tcPr>
            <w:tcW w:w="51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The Vanguard Group, Inc.</w:t>
            </w:r>
          </w:p>
        </w:tc>
        <w:tc>
          <w:tcPr>
            <w:tcW w:w="2580" w:type="dxa"/>
            <w:vAlign w:val="bottom"/>
            <w:shd w:val="clear" w:color="auto" w:fill="DBDBDB"/>
          </w:tcPr>
          <w:p>
            <w:pPr>
              <w:jc w:val="right"/>
              <w:ind w:right="270"/>
              <w:spacing w:after="0"/>
              <w:rPr>
                <w:sz w:val="20"/>
                <w:szCs w:val="20"/>
                <w:color w:val="auto"/>
              </w:rPr>
            </w:pPr>
            <w:r>
              <w:rPr>
                <w:rFonts w:ascii="Times New Roman" w:cs="Times New Roman" w:eastAsia="Times New Roman" w:hAnsi="Times New Roman"/>
                <w:sz w:val="18"/>
                <w:szCs w:val="18"/>
                <w:color w:val="auto"/>
              </w:rPr>
              <w:t>18,656,173(3)</w:t>
            </w:r>
          </w:p>
        </w:tc>
        <w:tc>
          <w:tcPr>
            <w:tcW w:w="22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11.6 %</w:t>
            </w:r>
          </w:p>
        </w:tc>
      </w:tr>
      <w:tr>
        <w:trPr>
          <w:trHeight w:val="27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BlackRock, Inc.</w:t>
            </w:r>
          </w:p>
        </w:tc>
        <w:tc>
          <w:tcPr>
            <w:tcW w:w="25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16,129,698(4)</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9"/>
        </w:trPr>
        <w:tc>
          <w:tcPr>
            <w:tcW w:w="51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Alan S. Batey</w:t>
            </w:r>
          </w:p>
        </w:tc>
        <w:tc>
          <w:tcPr>
            <w:tcW w:w="2580" w:type="dxa"/>
            <w:vAlign w:val="bottom"/>
            <w:shd w:val="clear" w:color="auto" w:fill="DBDBDB"/>
          </w:tcPr>
          <w:p>
            <w:pPr>
              <w:jc w:val="right"/>
              <w:ind w:right="270"/>
              <w:spacing w:after="0"/>
              <w:rPr>
                <w:sz w:val="20"/>
                <w:szCs w:val="20"/>
                <w:color w:val="auto"/>
              </w:rPr>
            </w:pPr>
            <w:r>
              <w:rPr>
                <w:rFonts w:ascii="Times New Roman" w:cs="Times New Roman" w:eastAsia="Times New Roman" w:hAnsi="Times New Roman"/>
                <w:sz w:val="18"/>
                <w:szCs w:val="18"/>
                <w:color w:val="auto"/>
              </w:rPr>
              <w:t>9,723</w:t>
            </w:r>
          </w:p>
        </w:tc>
        <w:tc>
          <w:tcPr>
            <w:tcW w:w="22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L. Beebe</w:t>
            </w:r>
          </w:p>
        </w:tc>
        <w:tc>
          <w:tcPr>
            <w:tcW w:w="25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50,733</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Carlos S. Bori</w:t>
            </w:r>
          </w:p>
        </w:tc>
        <w:tc>
          <w:tcPr>
            <w:tcW w:w="2580" w:type="dxa"/>
            <w:vAlign w:val="bottom"/>
            <w:shd w:val="clear" w:color="auto" w:fill="DBDBDB"/>
          </w:tcPr>
          <w:p>
            <w:pPr>
              <w:jc w:val="right"/>
              <w:ind w:right="270"/>
              <w:spacing w:after="0"/>
              <w:rPr>
                <w:sz w:val="20"/>
                <w:szCs w:val="20"/>
                <w:color w:val="auto"/>
              </w:rPr>
            </w:pPr>
            <w:r>
              <w:rPr>
                <w:rFonts w:ascii="Times New Roman" w:cs="Times New Roman" w:eastAsia="Times New Roman" w:hAnsi="Times New Roman"/>
                <w:sz w:val="18"/>
                <w:szCs w:val="18"/>
                <w:color w:val="auto"/>
              </w:rPr>
              <w:t>45,961(5)</w:t>
            </w:r>
          </w:p>
        </w:tc>
        <w:tc>
          <w:tcPr>
            <w:tcW w:w="22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Eric J. Guerin</w:t>
            </w:r>
          </w:p>
        </w:tc>
        <w:tc>
          <w:tcPr>
            <w:tcW w:w="25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5,318</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Liam K. Griffin</w:t>
            </w:r>
          </w:p>
        </w:tc>
        <w:tc>
          <w:tcPr>
            <w:tcW w:w="2580" w:type="dxa"/>
            <w:vAlign w:val="bottom"/>
            <w:shd w:val="clear" w:color="auto" w:fill="DBDBDB"/>
          </w:tcPr>
          <w:p>
            <w:pPr>
              <w:jc w:val="right"/>
              <w:ind w:right="270"/>
              <w:spacing w:after="0"/>
              <w:rPr>
                <w:sz w:val="20"/>
                <w:szCs w:val="20"/>
                <w:color w:val="auto"/>
              </w:rPr>
            </w:pPr>
            <w:r>
              <w:rPr>
                <w:rFonts w:ascii="Times New Roman" w:cs="Times New Roman" w:eastAsia="Times New Roman" w:hAnsi="Times New Roman"/>
                <w:sz w:val="18"/>
                <w:szCs w:val="18"/>
                <w:color w:val="auto"/>
              </w:rPr>
              <w:t>211,681(5)</w:t>
            </w:r>
          </w:p>
        </w:tc>
        <w:tc>
          <w:tcPr>
            <w:tcW w:w="22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Reza Kasnavi</w:t>
            </w:r>
          </w:p>
        </w:tc>
        <w:tc>
          <w:tcPr>
            <w:tcW w:w="25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20,911(5)</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Christine King</w:t>
            </w:r>
          </w:p>
        </w:tc>
        <w:tc>
          <w:tcPr>
            <w:tcW w:w="2580" w:type="dxa"/>
            <w:vAlign w:val="bottom"/>
            <w:shd w:val="clear" w:color="auto" w:fill="DBDBDB"/>
          </w:tcPr>
          <w:p>
            <w:pPr>
              <w:jc w:val="right"/>
              <w:ind w:right="270"/>
              <w:spacing w:after="0"/>
              <w:rPr>
                <w:sz w:val="20"/>
                <w:szCs w:val="20"/>
                <w:color w:val="auto"/>
              </w:rPr>
            </w:pPr>
            <w:r>
              <w:rPr>
                <w:rFonts w:ascii="Times New Roman" w:cs="Times New Roman" w:eastAsia="Times New Roman" w:hAnsi="Times New Roman"/>
                <w:sz w:val="18"/>
                <w:szCs w:val="18"/>
                <w:color w:val="auto"/>
              </w:rPr>
              <w:t>23,057</w:t>
            </w:r>
          </w:p>
        </w:tc>
        <w:tc>
          <w:tcPr>
            <w:tcW w:w="22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Suzanne E. McBride</w:t>
            </w:r>
          </w:p>
        </w:tc>
        <w:tc>
          <w:tcPr>
            <w:tcW w:w="25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5,326</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David P. McGlade</w:t>
            </w:r>
          </w:p>
        </w:tc>
        <w:tc>
          <w:tcPr>
            <w:tcW w:w="2580" w:type="dxa"/>
            <w:vAlign w:val="bottom"/>
            <w:shd w:val="clear" w:color="auto" w:fill="DBDBDB"/>
          </w:tcPr>
          <w:p>
            <w:pPr>
              <w:jc w:val="right"/>
              <w:ind w:right="270"/>
              <w:spacing w:after="0"/>
              <w:rPr>
                <w:sz w:val="20"/>
                <w:szCs w:val="20"/>
                <w:color w:val="auto"/>
              </w:rPr>
            </w:pPr>
            <w:r>
              <w:rPr>
                <w:rFonts w:ascii="Times New Roman" w:cs="Times New Roman" w:eastAsia="Times New Roman" w:hAnsi="Times New Roman"/>
                <w:sz w:val="18"/>
                <w:szCs w:val="18"/>
                <w:color w:val="auto"/>
              </w:rPr>
              <w:t>44,994</w:t>
            </w:r>
          </w:p>
        </w:tc>
        <w:tc>
          <w:tcPr>
            <w:tcW w:w="22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A. Schriesheim</w:t>
            </w:r>
          </w:p>
        </w:tc>
        <w:tc>
          <w:tcPr>
            <w:tcW w:w="25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60,881</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Kris Sennesael</w:t>
            </w:r>
          </w:p>
        </w:tc>
        <w:tc>
          <w:tcPr>
            <w:tcW w:w="2580" w:type="dxa"/>
            <w:vAlign w:val="bottom"/>
            <w:shd w:val="clear" w:color="auto" w:fill="DBDBDB"/>
          </w:tcPr>
          <w:p>
            <w:pPr>
              <w:jc w:val="right"/>
              <w:ind w:right="270"/>
              <w:spacing w:after="0"/>
              <w:rPr>
                <w:sz w:val="20"/>
                <w:szCs w:val="20"/>
                <w:color w:val="auto"/>
              </w:rPr>
            </w:pPr>
            <w:r>
              <w:rPr>
                <w:rFonts w:ascii="Times New Roman" w:cs="Times New Roman" w:eastAsia="Times New Roman" w:hAnsi="Times New Roman"/>
                <w:sz w:val="18"/>
                <w:szCs w:val="18"/>
                <w:color w:val="auto"/>
              </w:rPr>
              <w:t>117,175</w:t>
            </w:r>
          </w:p>
        </w:tc>
        <w:tc>
          <w:tcPr>
            <w:tcW w:w="22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J. Terry</w:t>
            </w:r>
          </w:p>
        </w:tc>
        <w:tc>
          <w:tcPr>
            <w:tcW w:w="25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17,214(5)</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00" w:type="dxa"/>
            <w:vAlign w:val="bottom"/>
            <w:shd w:val="clear" w:color="auto" w:fill="D9D9D9"/>
          </w:tcPr>
          <w:p>
            <w:pPr>
              <w:ind w:left="20"/>
              <w:spacing w:after="0"/>
              <w:rPr>
                <w:sz w:val="20"/>
                <w:szCs w:val="20"/>
                <w:color w:val="auto"/>
              </w:rPr>
            </w:pPr>
            <w:r>
              <w:rPr>
                <w:rFonts w:ascii="Times New Roman" w:cs="Times New Roman" w:eastAsia="Times New Roman" w:hAnsi="Times New Roman"/>
                <w:sz w:val="18"/>
                <w:szCs w:val="18"/>
                <w:color w:val="auto"/>
              </w:rPr>
              <w:t>Maryann Turcke</w:t>
            </w:r>
          </w:p>
        </w:tc>
        <w:tc>
          <w:tcPr>
            <w:tcW w:w="2580" w:type="dxa"/>
            <w:vAlign w:val="bottom"/>
            <w:shd w:val="clear" w:color="auto" w:fill="D9D9D9"/>
          </w:tcPr>
          <w:p>
            <w:pPr>
              <w:jc w:val="right"/>
              <w:ind w:right="270"/>
              <w:spacing w:after="0"/>
              <w:rPr>
                <w:sz w:val="20"/>
                <w:szCs w:val="20"/>
                <w:color w:val="auto"/>
              </w:rPr>
            </w:pPr>
            <w:r>
              <w:rPr>
                <w:rFonts w:ascii="Times New Roman" w:cs="Times New Roman" w:eastAsia="Times New Roman" w:hAnsi="Times New Roman"/>
                <w:sz w:val="18"/>
                <w:szCs w:val="18"/>
                <w:color w:val="auto"/>
              </w:rPr>
              <w:t>3,463</w:t>
            </w:r>
          </w:p>
        </w:tc>
        <w:tc>
          <w:tcPr>
            <w:tcW w:w="228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current directors and executive officers as a group (14 persons)</w:t>
            </w:r>
          </w:p>
        </w:tc>
        <w:tc>
          <w:tcPr>
            <w:tcW w:w="25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642,789(5)</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50"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Less than 1%</w:t>
      </w:r>
    </w:p>
    <w:p>
      <w:pPr>
        <w:spacing w:after="0" w:line="252" w:lineRule="exact"/>
        <w:rPr>
          <w:sz w:val="20"/>
          <w:szCs w:val="20"/>
          <w:color w:val="auto"/>
        </w:rPr>
      </w:pPr>
    </w:p>
    <w:p>
      <w:pPr>
        <w:jc w:val="both"/>
        <w:ind w:left="260" w:hanging="252"/>
        <w:spacing w:after="0" w:line="313" w:lineRule="auto"/>
        <w:tabs>
          <w:tab w:leader="none" w:pos="28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set forth in the following notes, each person’s address is the address of our principal executive offices at Skyworks Solutions, Inc., 5260 California Avenue, Irvine, CA 92617, and stockholders have sole voting and sole investment power with respect to the shares, except to the extent such power may be shared by a spouse or otherwise subject to applicable community property laws.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7" w:name="page38"/>
    <w:bookmarkEnd w:id="37"/>
    <w:p>
      <w:pPr>
        <w:jc w:val="both"/>
        <w:ind w:left="260" w:hanging="252"/>
        <w:spacing w:after="0" w:line="289" w:lineRule="auto"/>
        <w:tabs>
          <w:tab w:leader="none" w:pos="29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does not reflect the number of shares of Company common stock to be issued pursuant to unvested restricted stock units (the “Unvested RSUs”) and earned, but unissued, performance share awards subject to time-based vesting only (the “Unvested PSAs”), in each case that are not</w:t>
      </w:r>
    </w:p>
    <w:p>
      <w:pPr>
        <w:spacing w:after="0" w:line="1" w:lineRule="exact"/>
        <w:rPr>
          <w:rFonts w:ascii="Times New Roman" w:cs="Times New Roman" w:eastAsia="Times New Roman" w:hAnsi="Times New Roman"/>
          <w:sz w:val="18"/>
          <w:szCs w:val="18"/>
          <w:color w:val="auto"/>
        </w:rPr>
      </w:pPr>
    </w:p>
    <w:p>
      <w:pPr>
        <w:jc w:val="both"/>
        <w:ind w:left="26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scheduled to vest within sixty (60) days of January 17, 2025, as follows: Mr. Batey—2,272 shares under Unvested RSUs; Mr. Beebe—2,272 shares under Unvested RSUs; Mr. Bori—38,234 shares under Unvested RSUs and 4,072 shares under Unvested PSAs; Mr. Guerin—2,272 shares under</w:t>
      </w:r>
    </w:p>
    <w:p>
      <w:pPr>
        <w:spacing w:after="0" w:line="1" w:lineRule="exact"/>
        <w:rPr>
          <w:rFonts w:ascii="Times New Roman" w:cs="Times New Roman" w:eastAsia="Times New Roman" w:hAnsi="Times New Roman"/>
          <w:sz w:val="18"/>
          <w:szCs w:val="18"/>
          <w:color w:val="auto"/>
        </w:rPr>
      </w:pPr>
    </w:p>
    <w:p>
      <w:pPr>
        <w:jc w:val="both"/>
        <w:ind w:left="26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Unvested RSUs; Mr. Griffin—129,434 shares under Unvested RSUs and 14,253 shares under Unvested PSAs; Mr. Kasnavi—43,653 shares under Unvested RSUs and 4,072 shares under Unvested PSAs; Ms. King—2,272 shares under Unvested RSUs; Ms. McBride—2,272 shares under Unvested</w:t>
      </w:r>
    </w:p>
    <w:p>
      <w:pPr>
        <w:spacing w:after="0" w:line="1" w:lineRule="exact"/>
        <w:rPr>
          <w:rFonts w:ascii="Times New Roman" w:cs="Times New Roman" w:eastAsia="Times New Roman" w:hAnsi="Times New Roman"/>
          <w:sz w:val="18"/>
          <w:szCs w:val="18"/>
          <w:color w:val="auto"/>
        </w:rPr>
      </w:pPr>
    </w:p>
    <w:p>
      <w:pPr>
        <w:jc w:val="both"/>
        <w:ind w:left="26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RSUs; Mr. McGlade— 2,272 shares under Unvested RSUs; Mr. Schriesheim—2,272 shares under Unvested RSUs; Mr. Sennesael—47,996 shares under Unvested RSUs and 3,868 shares under Unvested PSAs; Mr. Terry—33,896 shares under Unvested RSUs and 3,360 shares under Unvested</w:t>
      </w:r>
    </w:p>
    <w:p>
      <w:pPr>
        <w:spacing w:after="0" w:line="1" w:lineRule="exact"/>
        <w:rPr>
          <w:rFonts w:ascii="Times New Roman" w:cs="Times New Roman" w:eastAsia="Times New Roman" w:hAnsi="Times New Roman"/>
          <w:sz w:val="18"/>
          <w:szCs w:val="18"/>
          <w:color w:val="auto"/>
        </w:rPr>
      </w:pPr>
    </w:p>
    <w:p>
      <w:pPr>
        <w:ind w:left="26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PSAs; Ms. Turcke—2,964 shares under Unvested RSUs; current directors and executive officers as a group (14 persons)—336,576 shares under Unvested RSUs and 31,711 shares under Unvested PSAs.</w:t>
      </w:r>
    </w:p>
    <w:p>
      <w:pPr>
        <w:spacing w:after="0" w:line="1" w:lineRule="exact"/>
        <w:rPr>
          <w:rFonts w:ascii="Times New Roman" w:cs="Times New Roman" w:eastAsia="Times New Roman" w:hAnsi="Times New Roman"/>
          <w:sz w:val="18"/>
          <w:szCs w:val="18"/>
          <w:color w:val="auto"/>
        </w:rPr>
      </w:pPr>
    </w:p>
    <w:p>
      <w:pPr>
        <w:jc w:val="both"/>
        <w:ind w:left="260" w:hanging="252"/>
        <w:spacing w:after="0" w:line="289" w:lineRule="auto"/>
        <w:tabs>
          <w:tab w:leader="none" w:pos="29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beneficially owned by The Vanguard Group, Inc. (“Vanguard”), which has sole voting power with respect to zero shares, shared voting power with respect to 203,684 shares, sole dispositive power with respect to 17,980,820 shares, and shared dispositive power with respect to 675,353 shares. With respect to the information relating to Vanguard, we have relied on information disclosed by Vanguard on a Schedule 13G/A filed with the SEC on February 13, 2024. The address of Vanguard is 100 Vanguard Blvd., Malvern, PA 19355.</w:t>
      </w:r>
    </w:p>
    <w:p>
      <w:pPr>
        <w:spacing w:after="0" w:line="2"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beneficially owned by BlackRock, Inc. (“BlackRock”), in its capacity as a parent holding company of various subsidiaries under</w:t>
      </w:r>
    </w:p>
    <w:p>
      <w:pPr>
        <w:spacing w:after="0" w:line="49" w:lineRule="exact"/>
        <w:rPr>
          <w:rFonts w:ascii="Times New Roman" w:cs="Times New Roman" w:eastAsia="Times New Roman" w:hAnsi="Times New Roman"/>
          <w:sz w:val="18"/>
          <w:szCs w:val="18"/>
          <w:color w:val="auto"/>
        </w:rPr>
      </w:pPr>
    </w:p>
    <w:p>
      <w:pPr>
        <w:jc w:val="both"/>
        <w:ind w:left="26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13d1(b)(1)(ii)(G). In its capacity as a parent holding company or control person, BlackRock has sole voting power with respect to 14,766,933 shares and sole dispositive power with respect to 16,129,698 shares which are held by the following of its subsidiaries: BlackRock Life Limited,</w:t>
      </w:r>
    </w:p>
    <w:p>
      <w:pPr>
        <w:spacing w:after="0" w:line="1" w:lineRule="exact"/>
        <w:rPr>
          <w:rFonts w:ascii="Times New Roman" w:cs="Times New Roman" w:eastAsia="Times New Roman" w:hAnsi="Times New Roman"/>
          <w:sz w:val="18"/>
          <w:szCs w:val="18"/>
          <w:color w:val="auto"/>
        </w:rPr>
      </w:pPr>
    </w:p>
    <w:p>
      <w:pPr>
        <w:jc w:val="both"/>
        <w:ind w:left="26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BlackRock International Limited, BlackRock Advisors, LLC, Aperio Group, LLC, BlackRock France SAS, BlackRock (Netherlands) B.V., BlackRock Fund Advisors, BlackRock Institutional Trust Company, National Association, BlackRock Asset Management Ireland Limited, BlackRock Financial</w:t>
      </w:r>
    </w:p>
    <w:p>
      <w:pPr>
        <w:spacing w:after="0" w:line="1" w:lineRule="exact"/>
        <w:rPr>
          <w:rFonts w:ascii="Times New Roman" w:cs="Times New Roman" w:eastAsia="Times New Roman" w:hAnsi="Times New Roman"/>
          <w:sz w:val="18"/>
          <w:szCs w:val="18"/>
          <w:color w:val="auto"/>
        </w:rPr>
      </w:pPr>
    </w:p>
    <w:p>
      <w:pPr>
        <w:jc w:val="both"/>
        <w:ind w:left="26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Inc., BlackRock Japan Co., Ltd., BlackRock Asset Management Schweiz AG, BlackRock Investment Management, LLC, BlackRock Investment Management (UK) Limited, SpiderRock Advisors, LLC, BlackRock Asset Management Canada Limited, BlackRock (Luxembourg) S.A.,</w:t>
      </w:r>
    </w:p>
    <w:p>
      <w:pPr>
        <w:spacing w:after="0" w:line="1" w:lineRule="exact"/>
        <w:rPr>
          <w:rFonts w:ascii="Times New Roman" w:cs="Times New Roman" w:eastAsia="Times New Roman" w:hAnsi="Times New Roman"/>
          <w:sz w:val="18"/>
          <w:szCs w:val="18"/>
          <w:color w:val="auto"/>
        </w:rPr>
      </w:pPr>
    </w:p>
    <w:p>
      <w:pPr>
        <w:jc w:val="both"/>
        <w:ind w:left="26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BlackRock Investment Management (Australia) Limited, BlackRock Advisors (UK) Limited, BlackRock Asset Management North Asia Limited, BlackRock (Singapore) Limited, and BlackRock Fund Managers Ltd. With respect to the information relating to BlackRock and its affiliated entities,</w:t>
      </w:r>
    </w:p>
    <w:p>
      <w:pPr>
        <w:spacing w:after="0" w:line="1" w:lineRule="exact"/>
        <w:rPr>
          <w:rFonts w:ascii="Times New Roman" w:cs="Times New Roman" w:eastAsia="Times New Roman" w:hAnsi="Times New Roman"/>
          <w:sz w:val="18"/>
          <w:szCs w:val="18"/>
          <w:color w:val="auto"/>
        </w:rPr>
      </w:pPr>
    </w:p>
    <w:p>
      <w:pPr>
        <w:ind w:left="26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relied on information disclosed by BlackRock on a Schedule 13G filed with the SEC on September 10, 2024. The address of BlackRock is 50 Hudson Yards, New York, NY 10001.</w:t>
      </w:r>
    </w:p>
    <w:p>
      <w:pPr>
        <w:spacing w:after="0" w:line="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held in the Company’s 401(k) Savings and Investment Plan as of January 17, 2025.</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2"/>
          <w:szCs w:val="22"/>
          <w:b w:val="1"/>
          <w:bCs w:val="1"/>
          <w:color w:val="auto"/>
        </w:rPr>
        <w:t>Equity Compensation Plan Information</w:t>
      </w:r>
    </w:p>
    <w:p>
      <w:pPr>
        <w:spacing w:after="0" w:line="260" w:lineRule="exact"/>
        <w:rPr>
          <w:sz w:val="20"/>
          <w:szCs w:val="20"/>
          <w:color w:val="auto"/>
        </w:rPr>
      </w:pPr>
    </w:p>
    <w:p>
      <w:pPr>
        <w:ind w:firstLine="389"/>
        <w:spacing w:after="0" w:line="313" w:lineRule="auto"/>
        <w:rPr>
          <w:sz w:val="20"/>
          <w:szCs w:val="20"/>
          <w:color w:val="auto"/>
        </w:rPr>
      </w:pPr>
      <w:r>
        <w:rPr>
          <w:rFonts w:ascii="Times New Roman" w:cs="Times New Roman" w:eastAsia="Times New Roman" w:hAnsi="Times New Roman"/>
          <w:sz w:val="18"/>
          <w:szCs w:val="18"/>
          <w:color w:val="auto"/>
        </w:rPr>
        <w:t>As of September 27, 2024, the Company has the following equity compensation plans under which its equity securities were authorized for issuance to its employees and/or directors:</w:t>
      </w:r>
    </w:p>
    <w:p>
      <w:pPr>
        <w:spacing w:after="0" w:line="68" w:lineRule="exact"/>
        <w:rPr>
          <w:sz w:val="20"/>
          <w:szCs w:val="20"/>
          <w:color w:val="auto"/>
        </w:rPr>
      </w:pPr>
    </w:p>
    <w:p>
      <w:pPr>
        <w:ind w:left="760" w:hanging="104"/>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2002 Employee Stock Purchase Plan, as Amended</w:t>
      </w:r>
    </w:p>
    <w:p>
      <w:pPr>
        <w:spacing w:after="0" w:line="184" w:lineRule="exact"/>
        <w:rPr>
          <w:rFonts w:ascii="Times New Roman" w:cs="Times New Roman" w:eastAsia="Times New Roman" w:hAnsi="Times New Roman"/>
          <w:sz w:val="18"/>
          <w:szCs w:val="18"/>
          <w:color w:val="auto"/>
        </w:rPr>
      </w:pPr>
    </w:p>
    <w:p>
      <w:pPr>
        <w:ind w:left="760" w:hanging="104"/>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Non-Qualified Employee Stock Purchase Plan, as Amended</w:t>
      </w:r>
    </w:p>
    <w:p>
      <w:pPr>
        <w:spacing w:after="0" w:line="184" w:lineRule="exact"/>
        <w:rPr>
          <w:rFonts w:ascii="Times New Roman" w:cs="Times New Roman" w:eastAsia="Times New Roman" w:hAnsi="Times New Roman"/>
          <w:sz w:val="18"/>
          <w:szCs w:val="18"/>
          <w:color w:val="auto"/>
        </w:rPr>
      </w:pPr>
    </w:p>
    <w:p>
      <w:pPr>
        <w:ind w:left="760" w:hanging="104"/>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2008 Director Long-Term Incentive Plan</w:t>
      </w:r>
    </w:p>
    <w:p>
      <w:pPr>
        <w:spacing w:after="0" w:line="184" w:lineRule="exact"/>
        <w:rPr>
          <w:rFonts w:ascii="Times New Roman" w:cs="Times New Roman" w:eastAsia="Times New Roman" w:hAnsi="Times New Roman"/>
          <w:sz w:val="18"/>
          <w:szCs w:val="18"/>
          <w:color w:val="auto"/>
        </w:rPr>
      </w:pPr>
    </w:p>
    <w:p>
      <w:pPr>
        <w:ind w:left="760" w:hanging="104"/>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Amended and Restated 2015 Long-Term Incentive Plan</w:t>
      </w:r>
    </w:p>
    <w:p>
      <w:pPr>
        <w:spacing w:after="0" w:line="293" w:lineRule="exact"/>
        <w:rPr>
          <w:sz w:val="20"/>
          <w:szCs w:val="20"/>
          <w:color w:val="auto"/>
        </w:rPr>
      </w:pPr>
    </w:p>
    <w:p>
      <w:pPr>
        <w:jc w:val="both"/>
        <w:ind w:firstLine="389"/>
        <w:spacing w:after="0" w:line="305" w:lineRule="auto"/>
        <w:rPr>
          <w:sz w:val="20"/>
          <w:szCs w:val="20"/>
          <w:color w:val="auto"/>
        </w:rPr>
      </w:pPr>
      <w:r>
        <w:rPr>
          <w:rFonts w:ascii="Times New Roman" w:cs="Times New Roman" w:eastAsia="Times New Roman" w:hAnsi="Times New Roman"/>
          <w:sz w:val="18"/>
          <w:szCs w:val="18"/>
          <w:color w:val="auto"/>
        </w:rPr>
        <w:t>Except for the Non-Qualified Employee Stock Purchase Plan, as Amended (the “Non-Qualified ESPP”), each of the foregoing equity compensation plans was approved by the Company’s stockholders. A description of the material features of the Non-Qualified ESPP is provided below under the heading “</w:t>
      </w:r>
      <w:r>
        <w:rPr>
          <w:rFonts w:ascii="Times New Roman" w:cs="Times New Roman" w:eastAsia="Times New Roman" w:hAnsi="Times New Roman"/>
          <w:sz w:val="18"/>
          <w:szCs w:val="18"/>
          <w:i w:val="1"/>
          <w:iCs w:val="1"/>
          <w:color w:val="auto"/>
        </w:rPr>
        <w:t>Non-Qualified Employee Stock Purchase Plan</w:t>
      </w:r>
      <w:r>
        <w:rPr>
          <w:rFonts w:ascii="Times New Roman" w:cs="Times New Roman" w:eastAsia="Times New Roman" w:hAnsi="Times New Roman"/>
          <w:sz w:val="18"/>
          <w:szCs w:val="18"/>
          <w:color w:val="auto"/>
        </w:rPr>
        <w:t>.”</w:t>
      </w:r>
    </w:p>
    <w:p>
      <w:pPr>
        <w:spacing w:after="0" w:line="2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information about these plans as of September 27, 2024.</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2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 Available for</w:t>
            </w: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 to be</w:t>
            </w:r>
          </w:p>
        </w:tc>
        <w:tc>
          <w:tcPr>
            <w:tcW w:w="2080" w:type="dxa"/>
            <w:vAlign w:val="bottom"/>
            <w:vMerge w:val="continue"/>
          </w:tcPr>
          <w:p>
            <w:pPr>
              <w:spacing w:after="0"/>
              <w:rPr>
                <w:sz w:val="16"/>
                <w:szCs w:val="16"/>
                <w:color w:val="auto"/>
              </w:rPr>
            </w:pPr>
          </w:p>
        </w:tc>
        <w:tc>
          <w:tcPr>
            <w:tcW w:w="20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Future Issuance Under</w:t>
            </w: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2280" w:type="dxa"/>
            <w:vAlign w:val="bottom"/>
            <w:vMerge w:val="continue"/>
          </w:tcPr>
          <w:p>
            <w:pPr>
              <w:spacing w:after="0"/>
              <w:rPr>
                <w:sz w:val="15"/>
                <w:szCs w:val="15"/>
                <w:color w:val="auto"/>
              </w:rPr>
            </w:pPr>
          </w:p>
        </w:tc>
        <w:tc>
          <w:tcPr>
            <w:tcW w:w="20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Exercise Price of</w:t>
            </w:r>
          </w:p>
        </w:tc>
        <w:tc>
          <w:tcPr>
            <w:tcW w:w="2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Equity Compensation</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22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Issued Upon Exercise of</w:t>
            </w:r>
          </w:p>
        </w:tc>
        <w:tc>
          <w:tcPr>
            <w:tcW w:w="20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Plans (Excluding</w:t>
            </w: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22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0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Warrants, and Rights ($)</w:t>
            </w:r>
          </w:p>
        </w:tc>
        <w:tc>
          <w:tcPr>
            <w:tcW w:w="20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Securities Reflected in</w:t>
            </w:r>
          </w:p>
        </w:tc>
        <w:tc>
          <w:tcPr>
            <w:tcW w:w="0" w:type="dxa"/>
            <w:vAlign w:val="bottom"/>
          </w:tcPr>
          <w:p>
            <w:pPr>
              <w:spacing w:after="0"/>
              <w:rPr>
                <w:sz w:val="1"/>
                <w:szCs w:val="1"/>
                <w:color w:val="auto"/>
              </w:rPr>
            </w:pPr>
          </w:p>
        </w:tc>
      </w:tr>
      <w:tr>
        <w:trPr>
          <w:trHeight w:val="256"/>
        </w:trPr>
        <w:tc>
          <w:tcPr>
            <w:tcW w:w="80" w:type="dxa"/>
            <w:vAlign w:val="bottom"/>
          </w:tcPr>
          <w:p>
            <w:pPr>
              <w:spacing w:after="0"/>
              <w:rPr>
                <w:sz w:val="22"/>
                <w:szCs w:val="22"/>
                <w:color w:val="auto"/>
              </w:rPr>
            </w:pPr>
          </w:p>
        </w:tc>
        <w:tc>
          <w:tcPr>
            <w:tcW w:w="474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Warrants, and Rights (#)(a)</w:t>
            </w: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Column (a)) (#)(c)</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4740" w:type="dxa"/>
            <w:vAlign w:val="bottom"/>
            <w:shd w:val="clear" w:color="auto" w:fill="DBDBDB"/>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22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11,576(1)</w:t>
            </w:r>
          </w:p>
        </w:tc>
        <w:tc>
          <w:tcPr>
            <w:tcW w:w="20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83.52</w:t>
            </w:r>
          </w:p>
        </w:tc>
        <w:tc>
          <w:tcPr>
            <w:tcW w:w="2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14,227,060(2)</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474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474,405(3)</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474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11,576</w:t>
            </w:r>
          </w:p>
        </w:tc>
        <w:tc>
          <w:tcPr>
            <w:tcW w:w="20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83.52</w:t>
            </w:r>
          </w:p>
        </w:tc>
        <w:tc>
          <w:tcPr>
            <w:tcW w:w="20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b w:val="1"/>
                <w:bCs w:val="1"/>
                <w:color w:val="auto"/>
              </w:rPr>
              <w:t>14,701,465</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740" w:type="dxa"/>
            <w:vAlign w:val="bottom"/>
            <w:shd w:val="clear" w:color="auto" w:fill="DBDBDB"/>
          </w:tcPr>
          <w:p>
            <w:pPr>
              <w:spacing w:after="0" w:line="20" w:lineRule="exact"/>
              <w:rPr>
                <w:sz w:val="1"/>
                <w:szCs w:val="1"/>
                <w:color w:val="auto"/>
              </w:rPr>
            </w:pPr>
          </w:p>
        </w:tc>
        <w:tc>
          <w:tcPr>
            <w:tcW w:w="2280" w:type="dxa"/>
            <w:vAlign w:val="bottom"/>
            <w:shd w:val="clear" w:color="auto" w:fill="DBDBDB"/>
          </w:tcPr>
          <w:p>
            <w:pPr>
              <w:spacing w:after="0" w:line="20" w:lineRule="exact"/>
              <w:rPr>
                <w:sz w:val="1"/>
                <w:szCs w:val="1"/>
                <w:color w:val="auto"/>
              </w:rPr>
            </w:pPr>
          </w:p>
        </w:tc>
        <w:tc>
          <w:tcPr>
            <w:tcW w:w="2080" w:type="dxa"/>
            <w:vAlign w:val="bottom"/>
            <w:shd w:val="clear" w:color="auto" w:fill="DBDBDB"/>
          </w:tcPr>
          <w:p>
            <w:pPr>
              <w:spacing w:after="0" w:line="20" w:lineRule="exact"/>
              <w:rPr>
                <w:sz w:val="1"/>
                <w:szCs w:val="1"/>
                <w:color w:val="auto"/>
              </w:rPr>
            </w:pPr>
          </w:p>
        </w:tc>
        <w:tc>
          <w:tcPr>
            <w:tcW w:w="2000" w:type="dxa"/>
            <w:vAlign w:val="bottom"/>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820" w:type="dxa"/>
            <w:vAlign w:val="bottom"/>
            <w:gridSpan w:val="2"/>
            <w:vMerge w:val="restart"/>
          </w:tcPr>
          <w:p>
            <w:pPr>
              <w:jc w:val="right"/>
              <w:ind w:right="2570"/>
              <w:spacing w:after="0"/>
              <w:rPr>
                <w:sz w:val="20"/>
                <w:szCs w:val="20"/>
                <w:color w:val="auto"/>
              </w:rPr>
            </w:pPr>
            <w:r>
              <w:rPr>
                <w:rFonts w:ascii="Times New Roman" w:cs="Times New Roman" w:eastAsia="Times New Roman" w:hAnsi="Times New Roman"/>
                <w:sz w:val="18"/>
                <w:szCs w:val="18"/>
                <w:color w:val="auto"/>
                <w:w w:val="99"/>
              </w:rPr>
              <w:t>________________________</w:t>
            </w:r>
          </w:p>
        </w:tc>
        <w:tc>
          <w:tcPr>
            <w:tcW w:w="22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4820" w:type="dxa"/>
            <w:vAlign w:val="bottom"/>
            <w:gridSpan w:val="2"/>
            <w:vMerge w:val="continue"/>
          </w:tcPr>
          <w:p>
            <w:pPr>
              <w:spacing w:after="0"/>
              <w:rPr>
                <w:sz w:val="24"/>
                <w:szCs w:val="24"/>
                <w:color w:val="auto"/>
              </w:rPr>
            </w:pPr>
          </w:p>
        </w:tc>
        <w:tc>
          <w:tcPr>
            <w:tcW w:w="22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260" w:hanging="252"/>
        <w:spacing w:after="0" w:line="289" w:lineRule="auto"/>
        <w:tabs>
          <w:tab w:leader="none" w:pos="30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2,754,129 unvested shares under restricted stock and RSU awards and 1,568,746 unvested shares under PSAs, which number assumes achievement of performance goals under outstanding PSAs at target levels.</w:t>
      </w:r>
    </w:p>
    <w:p>
      <w:pPr>
        <w:spacing w:after="0" w:line="1"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2,086,629 shares available for future issuance under the 2002 Employee Stock Purchase Plan, as Amended, 11,638,048 shares available for</w:t>
      </w:r>
    </w:p>
    <w:p>
      <w:pPr>
        <w:spacing w:after="0" w:line="49" w:lineRule="exact"/>
        <w:rPr>
          <w:rFonts w:ascii="Times New Roman" w:cs="Times New Roman" w:eastAsia="Times New Roman" w:hAnsi="Times New Roman"/>
          <w:sz w:val="18"/>
          <w:szCs w:val="18"/>
          <w:color w:val="auto"/>
        </w:rPr>
      </w:pPr>
    </w:p>
    <w:p>
      <w:pPr>
        <w:ind w:left="26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issuance under the Second Amended and Restated 2015 Long-Term Incentive Plan, and 502,383 shares available for future issuance under the Amended and Restated 2008 Director Long-Term Incentive Plan.</w:t>
      </w:r>
    </w:p>
    <w:p>
      <w:pPr>
        <w:spacing w:after="0" w:line="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available under the Non-Qualified ESPP.</w:t>
      </w:r>
    </w:p>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Non-Qualified Employee Stock Purchase Plan</w:t>
      </w:r>
    </w:p>
    <w:p>
      <w:pPr>
        <w:spacing w:after="0" w:line="270" w:lineRule="exact"/>
        <w:rPr>
          <w:sz w:val="20"/>
          <w:szCs w:val="20"/>
          <w:color w:val="auto"/>
        </w:rPr>
      </w:pPr>
    </w:p>
    <w:p>
      <w:pPr>
        <w:jc w:val="both"/>
        <w:ind w:firstLine="389"/>
        <w:spacing w:after="0" w:line="297" w:lineRule="auto"/>
        <w:rPr>
          <w:sz w:val="20"/>
          <w:szCs w:val="20"/>
          <w:color w:val="auto"/>
        </w:rPr>
      </w:pPr>
      <w:r>
        <w:rPr>
          <w:rFonts w:ascii="Times New Roman" w:cs="Times New Roman" w:eastAsia="Times New Roman" w:hAnsi="Times New Roman"/>
          <w:sz w:val="18"/>
          <w:szCs w:val="18"/>
          <w:color w:val="auto"/>
        </w:rPr>
        <w:t>We maintain the Non-Qualified ESPP to provide employees of the Company and participating subsidiaries with an opportunity to acquire a proprietary interest in the Company through the purchase, by means of payroll deductions, of shares of the Company’s common stock at a discount from the market price of the common stock at the time of purchase. The Non-Qualified ESPP is intended for use primarily by employees located outside the United States. Under the plan, eligible employees may purchase common stock through payroll deductions of up to 15% of eligible compensation. The price per share is the lower of 85% of the market price at the beginning or end of each six-month offering period.</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54" w:lineRule="exact"/>
        <w:rPr>
          <w:sz w:val="20"/>
          <w:szCs w:val="20"/>
          <w:color w:val="auto"/>
        </w:rPr>
      </w:pPr>
    </w:p>
    <w:p>
      <w:pPr>
        <w:jc w:val="both"/>
        <w:ind w:firstLine="389"/>
        <w:spacing w:after="0" w:line="294" w:lineRule="auto"/>
        <w:rPr>
          <w:sz w:val="20"/>
          <w:szCs w:val="20"/>
          <w:color w:val="auto"/>
        </w:rPr>
      </w:pPr>
      <w:r>
        <w:rPr>
          <w:rFonts w:ascii="Times New Roman" w:cs="Times New Roman" w:eastAsia="Times New Roman" w:hAnsi="Times New Roman"/>
          <w:sz w:val="18"/>
          <w:szCs w:val="18"/>
          <w:i w:val="1"/>
          <w:iCs w:val="1"/>
          <w:color w:val="auto"/>
        </w:rPr>
        <w:t>Certain Relationships and Related Transactions</w:t>
      </w:r>
      <w:r>
        <w:rPr>
          <w:rFonts w:ascii="Times New Roman" w:cs="Times New Roman" w:eastAsia="Times New Roman" w:hAnsi="Times New Roman"/>
          <w:sz w:val="18"/>
          <w:szCs w:val="18"/>
          <w:color w:val="auto"/>
        </w:rPr>
        <w:t>: Other than compensation agreements and other arrangements which are described above in Item 11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Compensation,” since September 30, 2023, there has not been a transaction or series of related transactions to which the Company was or is a party involving an amount in excess of $120,000 and in which any director, executive officer, holder of more than five percent (5%) of any class of our voting securities, or any member of the immediate family of any of the foregoing persons, had or will have a direct or indirect material interest. Our Board of Directors has adopted a written related person transaction approval policy that sets forth the Company’s policies and procedures for the review, approval, or ratification of any transaction required to be reported in its filings with the SEC. The Company’s policy with regard to related person transactions is that all related person transactions between the Company and any related person (as defined in Item 404 of Regulation S-K) or their affiliates, in which the amount involved is equal to or greater than $120,000, be reviewed by the Company’s General Counsel and approved by the Audit Committee. In addition, the Company’s Code of Business Conduct and Ethics requires that employees discuss with the Company’s Compliance Officer any significant relationship (or transaction) that might raise doubt about such employee’s ability to act in the best interest of the Company.</w:t>
      </w:r>
    </w:p>
    <w:p>
      <w:pPr>
        <w:spacing w:after="0" w:line="205" w:lineRule="exact"/>
        <w:rPr>
          <w:sz w:val="20"/>
          <w:szCs w:val="20"/>
          <w:color w:val="auto"/>
        </w:rPr>
      </w:pPr>
    </w:p>
    <w:p>
      <w:pPr>
        <w:jc w:val="both"/>
        <w:ind w:firstLine="389"/>
        <w:spacing w:after="0" w:line="294" w:lineRule="auto"/>
        <w:rPr>
          <w:sz w:val="20"/>
          <w:szCs w:val="20"/>
          <w:color w:val="auto"/>
        </w:rPr>
      </w:pPr>
      <w:r>
        <w:rPr>
          <w:rFonts w:ascii="Times New Roman" w:cs="Times New Roman" w:eastAsia="Times New Roman" w:hAnsi="Times New Roman"/>
          <w:sz w:val="18"/>
          <w:szCs w:val="18"/>
          <w:i w:val="1"/>
          <w:iCs w:val="1"/>
          <w:color w:val="auto"/>
        </w:rPr>
        <w:t>Director Independence</w:t>
      </w:r>
      <w:r>
        <w:rPr>
          <w:rFonts w:ascii="Times New Roman" w:cs="Times New Roman" w:eastAsia="Times New Roman" w:hAnsi="Times New Roman"/>
          <w:sz w:val="18"/>
          <w:szCs w:val="18"/>
          <w:color w:val="auto"/>
        </w:rPr>
        <w:t>: Each year, the Board of Directors reviews the relationships that each director has with the Company and with other parties.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Only those directors who do not have any of the categorical relationships that preclude them from being independent within the meaning of applicable Nasdaq Rules and who the Board of Directors affirmatively determines have no relationships that would interfere with the exercise of independent judgment in carrying out the responsibilities of a director are considered to be independent directors. The Board of Directors has reviewed a number of factors to evaluate the independence of each of its members. These factors include its members’ current and historic relationships with the Company and its competitors, suppliers, and customers; their relationships with management and other directors; the relationships their current and former employers have with the Company; and the relationships between the Company and other companies of which a member of the Company’s Board of Directors is a director or executive officer. After evaluating these factors, the Board of Directors has determined that eight of the nine members of the Board of Directors, namely, Alan S. Batey, Kevin L. Beebe, Eric J. Guerin, Christine King, Suzanne E. McBride, David P. McGlade, Robert A. Schriesheim, and Maryann Turcke, do not have any relationships that would interfere with the exercise of independent judgment in carrying out their responsibilities as directors and that each such director is an independent director of the Company within the meaning of applicable Nasdaq Rules.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56" w:lineRule="exact"/>
        <w:rPr>
          <w:sz w:val="20"/>
          <w:szCs w:val="20"/>
          <w:color w:val="auto"/>
        </w:rPr>
      </w:pPr>
    </w:p>
    <w:p>
      <w:pPr>
        <w:jc w:val="both"/>
        <w:ind w:firstLine="389"/>
        <w:spacing w:after="0" w:line="302" w:lineRule="auto"/>
        <w:rPr>
          <w:sz w:val="20"/>
          <w:szCs w:val="20"/>
          <w:color w:val="auto"/>
        </w:rPr>
      </w:pPr>
      <w:r>
        <w:rPr>
          <w:rFonts w:ascii="Times New Roman" w:cs="Times New Roman" w:eastAsia="Times New Roman" w:hAnsi="Times New Roman"/>
          <w:sz w:val="18"/>
          <w:szCs w:val="18"/>
          <w:color w:val="auto"/>
        </w:rPr>
        <w:t>KPMG LLP (Irvine, California, Auditor Firm ID: 185) provided audit services to the Company consisting of the annual audit of the Company’s 2024 consolidated financial statements contained in the Company’s Annual Report on Form 10-K and reviews of the financial statements contained in the Company’s Quarterly Reports on Form 10-Q for fiscal year 2024. The following table summarizes the fees of KPMG LLP billed to the Company for the last two fiscal years.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14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30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 of</w:t>
            </w: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20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 of</w:t>
            </w:r>
          </w:p>
        </w:tc>
        <w:tc>
          <w:tcPr>
            <w:tcW w:w="0" w:type="dxa"/>
            <w:vAlign w:val="bottom"/>
          </w:tcPr>
          <w:p>
            <w:pPr>
              <w:spacing w:after="0"/>
              <w:rPr>
                <w:sz w:val="1"/>
                <w:szCs w:val="1"/>
                <w:color w:val="auto"/>
              </w:rPr>
            </w:pPr>
          </w:p>
        </w:tc>
      </w:tr>
      <w:tr>
        <w:trPr>
          <w:trHeight w:val="36"/>
        </w:trPr>
        <w:tc>
          <w:tcPr>
            <w:tcW w:w="5900" w:type="dxa"/>
            <w:vAlign w:val="bottom"/>
          </w:tcPr>
          <w:p>
            <w:pPr>
              <w:spacing w:after="0"/>
              <w:rPr>
                <w:sz w:val="3"/>
                <w:szCs w:val="3"/>
                <w:color w:val="auto"/>
              </w:rPr>
            </w:pPr>
          </w:p>
        </w:tc>
        <w:tc>
          <w:tcPr>
            <w:tcW w:w="148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 ($)</w:t>
            </w:r>
          </w:p>
        </w:tc>
        <w:tc>
          <w:tcPr>
            <w:tcW w:w="1300" w:type="dxa"/>
            <w:vAlign w:val="bottom"/>
            <w:vMerge w:val="continue"/>
          </w:tcPr>
          <w:p>
            <w:pPr>
              <w:spacing w:after="0"/>
              <w:rPr>
                <w:sz w:val="3"/>
                <w:szCs w:val="3"/>
                <w:color w:val="auto"/>
              </w:rPr>
            </w:pPr>
          </w:p>
        </w:tc>
        <w:tc>
          <w:tcPr>
            <w:tcW w:w="136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 ($)</w:t>
            </w:r>
          </w:p>
        </w:tc>
        <w:tc>
          <w:tcPr>
            <w:tcW w:w="12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5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Fee Category</w:t>
            </w:r>
          </w:p>
        </w:tc>
        <w:tc>
          <w:tcPr>
            <w:tcW w:w="1480" w:type="dxa"/>
            <w:vAlign w:val="bottom"/>
            <w:tcBorders>
              <w:bottom w:val="single" w:sz="8" w:color="auto"/>
            </w:tcBorders>
            <w:vMerge w:val="continue"/>
          </w:tcPr>
          <w:p>
            <w:pPr>
              <w:spacing w:after="0"/>
              <w:rPr>
                <w:sz w:val="22"/>
                <w:szCs w:val="22"/>
                <w:color w:val="auto"/>
              </w:rPr>
            </w:pPr>
          </w:p>
        </w:tc>
        <w:tc>
          <w:tcPr>
            <w:tcW w:w="13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 (%)</w:t>
            </w:r>
          </w:p>
        </w:tc>
        <w:tc>
          <w:tcPr>
            <w:tcW w:w="136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 (%)</w:t>
            </w:r>
          </w:p>
        </w:tc>
        <w:tc>
          <w:tcPr>
            <w:tcW w:w="0" w:type="dxa"/>
            <w:vAlign w:val="bottom"/>
          </w:tcPr>
          <w:p>
            <w:pPr>
              <w:spacing w:after="0"/>
              <w:rPr>
                <w:sz w:val="1"/>
                <w:szCs w:val="1"/>
                <w:color w:val="auto"/>
              </w:rPr>
            </w:pPr>
          </w:p>
        </w:tc>
      </w:tr>
      <w:tr>
        <w:trPr>
          <w:trHeight w:val="223"/>
        </w:trPr>
        <w:tc>
          <w:tcPr>
            <w:tcW w:w="59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Audit Fees(1)</w:t>
            </w:r>
          </w:p>
        </w:tc>
        <w:tc>
          <w:tcPr>
            <w:tcW w:w="1480" w:type="dxa"/>
            <w:vAlign w:val="bottom"/>
            <w:shd w:val="clear" w:color="auto" w:fill="DBDBDB"/>
          </w:tcPr>
          <w:p>
            <w:pPr>
              <w:jc w:val="right"/>
              <w:ind w:right="70"/>
              <w:spacing w:after="0"/>
              <w:rPr>
                <w:sz w:val="20"/>
                <w:szCs w:val="20"/>
                <w:color w:val="auto"/>
              </w:rPr>
            </w:pPr>
            <w:r>
              <w:rPr>
                <w:rFonts w:ascii="Times New Roman" w:cs="Times New Roman" w:eastAsia="Times New Roman" w:hAnsi="Times New Roman"/>
                <w:sz w:val="18"/>
                <w:szCs w:val="18"/>
                <w:color w:val="auto"/>
              </w:rPr>
              <w:t>2,622,000</w:t>
            </w:r>
          </w:p>
        </w:tc>
        <w:tc>
          <w:tcPr>
            <w:tcW w:w="1300" w:type="dxa"/>
            <w:vAlign w:val="bottom"/>
            <w:shd w:val="clear" w:color="auto" w:fill="DBDBDB"/>
          </w:tcPr>
          <w:p>
            <w:pPr>
              <w:jc w:val="right"/>
              <w:ind w:right="50"/>
              <w:spacing w:after="0"/>
              <w:rPr>
                <w:sz w:val="20"/>
                <w:szCs w:val="20"/>
                <w:color w:val="auto"/>
              </w:rPr>
            </w:pPr>
            <w:r>
              <w:rPr>
                <w:rFonts w:ascii="Times New Roman" w:cs="Times New Roman" w:eastAsia="Times New Roman" w:hAnsi="Times New Roman"/>
                <w:sz w:val="18"/>
                <w:szCs w:val="18"/>
                <w:color w:val="auto"/>
              </w:rPr>
              <w:t>70.0</w:t>
            </w:r>
          </w:p>
        </w:tc>
        <w:tc>
          <w:tcPr>
            <w:tcW w:w="1360" w:type="dxa"/>
            <w:vAlign w:val="bottom"/>
            <w:shd w:val="clear" w:color="auto" w:fill="DBDBDB"/>
          </w:tcPr>
          <w:p>
            <w:pPr>
              <w:jc w:val="right"/>
              <w:ind w:right="70"/>
              <w:spacing w:after="0"/>
              <w:rPr>
                <w:sz w:val="20"/>
                <w:szCs w:val="20"/>
                <w:color w:val="auto"/>
              </w:rPr>
            </w:pPr>
            <w:r>
              <w:rPr>
                <w:rFonts w:ascii="Times New Roman" w:cs="Times New Roman" w:eastAsia="Times New Roman" w:hAnsi="Times New Roman"/>
                <w:sz w:val="18"/>
                <w:szCs w:val="18"/>
                <w:color w:val="auto"/>
              </w:rPr>
              <w:t>2,421,240</w:t>
            </w:r>
          </w:p>
        </w:tc>
        <w:tc>
          <w:tcPr>
            <w:tcW w:w="1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Audit-Related Fees(2)</w:t>
            </w: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306,026</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8.2</w:t>
            </w: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43,974</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59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Tax Fees(3)</w:t>
            </w:r>
          </w:p>
        </w:tc>
        <w:tc>
          <w:tcPr>
            <w:tcW w:w="1480" w:type="dxa"/>
            <w:vAlign w:val="bottom"/>
            <w:tcBorders>
              <w:bottom w:val="single" w:sz="8" w:color="auto"/>
            </w:tcBorders>
            <w:shd w:val="clear" w:color="auto" w:fill="DBDBDB"/>
          </w:tcPr>
          <w:p>
            <w:pPr>
              <w:jc w:val="right"/>
              <w:ind w:right="70"/>
              <w:spacing w:after="0"/>
              <w:rPr>
                <w:sz w:val="20"/>
                <w:szCs w:val="20"/>
                <w:color w:val="auto"/>
              </w:rPr>
            </w:pPr>
            <w:r>
              <w:rPr>
                <w:rFonts w:ascii="Times New Roman" w:cs="Times New Roman" w:eastAsia="Times New Roman" w:hAnsi="Times New Roman"/>
                <w:sz w:val="18"/>
                <w:szCs w:val="18"/>
                <w:color w:val="auto"/>
              </w:rPr>
              <w:t>818,008</w:t>
            </w:r>
          </w:p>
        </w:tc>
        <w:tc>
          <w:tcPr>
            <w:tcW w:w="1300" w:type="dxa"/>
            <w:vAlign w:val="bottom"/>
            <w:tcBorders>
              <w:bottom w:val="single" w:sz="8" w:color="auto"/>
            </w:tcBorders>
            <w:shd w:val="clear" w:color="auto" w:fill="DBDBDB"/>
          </w:tcPr>
          <w:p>
            <w:pPr>
              <w:jc w:val="right"/>
              <w:ind w:right="50"/>
              <w:spacing w:after="0"/>
              <w:rPr>
                <w:sz w:val="20"/>
                <w:szCs w:val="20"/>
                <w:color w:val="auto"/>
              </w:rPr>
            </w:pPr>
            <w:r>
              <w:rPr>
                <w:rFonts w:ascii="Times New Roman" w:cs="Times New Roman" w:eastAsia="Times New Roman" w:hAnsi="Times New Roman"/>
                <w:sz w:val="18"/>
                <w:szCs w:val="18"/>
                <w:color w:val="auto"/>
              </w:rPr>
              <w:t>21.8</w:t>
            </w:r>
          </w:p>
        </w:tc>
        <w:tc>
          <w:tcPr>
            <w:tcW w:w="1360" w:type="dxa"/>
            <w:vAlign w:val="bottom"/>
            <w:tcBorders>
              <w:bottom w:val="single" w:sz="8" w:color="auto"/>
            </w:tcBorders>
            <w:shd w:val="clear" w:color="auto" w:fill="DBDBDB"/>
          </w:tcPr>
          <w:p>
            <w:pPr>
              <w:jc w:val="right"/>
              <w:ind w:right="70"/>
              <w:spacing w:after="0"/>
              <w:rPr>
                <w:sz w:val="20"/>
                <w:szCs w:val="20"/>
                <w:color w:val="auto"/>
              </w:rPr>
            </w:pPr>
            <w:r>
              <w:rPr>
                <w:rFonts w:ascii="Times New Roman" w:cs="Times New Roman" w:eastAsia="Times New Roman" w:hAnsi="Times New Roman"/>
                <w:sz w:val="18"/>
                <w:szCs w:val="18"/>
                <w:color w:val="auto"/>
              </w:rPr>
              <w:t>32,000</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14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3,746,034</w:t>
            </w: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100</w:t>
            </w:r>
          </w:p>
        </w:tc>
        <w:tc>
          <w:tcPr>
            <w:tcW w:w="1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2,497,214</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36" w:lineRule="exact"/>
        <w:rPr>
          <w:sz w:val="20"/>
          <w:szCs w:val="20"/>
          <w:color w:val="auto"/>
        </w:rPr>
      </w:pPr>
    </w:p>
    <w:p>
      <w:pPr>
        <w:jc w:val="both"/>
        <w:ind w:left="260" w:hanging="252"/>
        <w:spacing w:after="0" w:line="297" w:lineRule="auto"/>
        <w:tabs>
          <w:tab w:leader="none" w:pos="27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for the audit of our annual financial statements, review of the interim financial statements included in our quarterly reports on Form 10-Q, and statutory audits and related filings in various foreign locations. Fiscal year 2024 and 2023 audit fees included fees for services incurred</w:t>
      </w:r>
    </w:p>
    <w:p>
      <w:pPr>
        <w:jc w:val="both"/>
        <w:ind w:left="26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rendering an opinion under Section 404 of the Sarbanes-Oxley Act. Fiscal year 2024 audit fees also included fees for the review of an auditor consent to incorporate by reference prior year financial statement opinions in a registration statement on Form S-8 filed with the SEC in June 2024.</w:t>
      </w:r>
    </w:p>
    <w:p>
      <w:pPr>
        <w:spacing w:after="0" w:line="2" w:lineRule="exact"/>
        <w:rPr>
          <w:rFonts w:ascii="Times New Roman" w:cs="Times New Roman" w:eastAsia="Times New Roman" w:hAnsi="Times New Roman"/>
          <w:sz w:val="18"/>
          <w:szCs w:val="18"/>
          <w:color w:val="auto"/>
        </w:rPr>
      </w:pPr>
    </w:p>
    <w:p>
      <w:pPr>
        <w:ind w:left="260" w:hanging="252"/>
        <w:spacing w:after="0" w:line="289" w:lineRule="auto"/>
        <w:tabs>
          <w:tab w:leader="none" w:pos="30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consist of fees relating to the Company’s real-time system implementation assessment of certain enterprise resource planning software.</w:t>
      </w:r>
    </w:p>
    <w:p>
      <w:pPr>
        <w:spacing w:after="0" w:line="1"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fees for tax compliance and tax planning services. Tax compliance services in fiscal year 2024 and 2023 primarily relate to the</w:t>
      </w:r>
    </w:p>
    <w:p>
      <w:pPr>
        <w:spacing w:after="0" w:line="49" w:lineRule="exact"/>
        <w:rPr>
          <w:rFonts w:ascii="Times New Roman" w:cs="Times New Roman" w:eastAsia="Times New Roman" w:hAnsi="Times New Roman"/>
          <w:sz w:val="18"/>
          <w:szCs w:val="18"/>
          <w:color w:val="auto"/>
        </w:rPr>
      </w:pPr>
    </w:p>
    <w:p>
      <w:pPr>
        <w:jc w:val="both"/>
        <w:ind w:left="260" w:right="2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U.S. income tax matters, including the Section 48D advanced manufacturing investment credit in fiscal year 2024. Tax planning services, which in fiscal year 2024 relate to future changes in tax laws resulting from the BEPS Project of the OECD, including Pillar Two, accounted for $55,000 of the total tax fees for fiscal year 2024.</w:t>
      </w:r>
    </w:p>
    <w:p>
      <w:pPr>
        <w:spacing w:after="0" w:line="196" w:lineRule="exact"/>
        <w:rPr>
          <w:sz w:val="20"/>
          <w:szCs w:val="20"/>
          <w:color w:val="auto"/>
        </w:rPr>
      </w:pPr>
    </w:p>
    <w:p>
      <w:pPr>
        <w:jc w:val="both"/>
        <w:ind w:firstLine="389"/>
        <w:spacing w:after="0" w:line="302" w:lineRule="auto"/>
        <w:rPr>
          <w:sz w:val="20"/>
          <w:szCs w:val="20"/>
          <w:color w:val="auto"/>
        </w:rPr>
      </w:pPr>
      <w:r>
        <w:rPr>
          <w:rFonts w:ascii="Times New Roman" w:cs="Times New Roman" w:eastAsia="Times New Roman" w:hAnsi="Times New Roman"/>
          <w:sz w:val="18"/>
          <w:szCs w:val="18"/>
          <w:color w:val="auto"/>
        </w:rPr>
        <w:t>In 2003, the Audit Committee adopted a formal policy concerning approval of audit and non-audit services to be provided to the Company by its independent registered public accounting firm, KPMG LLP. The policy requires that all services provided by KPMG LLP, including audit services and permitted audit-related and non-audit services, be preapproved by the Audit Committee. The Audit Committee preapproved all audit and non-audit services provided by KPMG LLP during fiscal year 2024 and fiscal year 2023.</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5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(a)</w:t>
        <w:tab/>
        <w:t>The following are filed as part of this Annual Report on Form 10-K:</w:t>
      </w:r>
    </w:p>
    <w:p>
      <w:pPr>
        <w:sectPr>
          <w:pgSz w:w="11900" w:h="16838" w:orient="portrait"/>
          <w:cols w:equalWidth="0" w:num="1">
            <w:col w:w="11220"/>
          </w:cols>
          <w:pgMar w:left="320" w:top="900" w:right="35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8"/>
          <w:szCs w:val="18"/>
          <w:color w:val="auto"/>
        </w:rPr>
        <w:t>1.</w:t>
        <w:tab/>
        <w:t>Index to Financial Statements</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Consolidated Statements of Operations for the three years ended September 27, 2024</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three years ended September 27, 2024</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Consolidated Balance Sheets at September 27, 2024 and September 29, 2023</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Consolidated Statements of Cash Flows for the three years ended September 27, 2024</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Consolidated Statements of Stockholders’ Equity for the three years ended September 27, 2024</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number of the Original</w:t>
      </w:r>
    </w:p>
    <w:p>
      <w:pPr>
        <w:spacing w:after="0"/>
        <w:rPr>
          <w:sz w:val="20"/>
          <w:szCs w:val="20"/>
          <w:color w:val="auto"/>
        </w:rPr>
      </w:pPr>
      <w:r>
        <w:rPr>
          <w:rFonts w:ascii="Times New Roman" w:cs="Times New Roman" w:eastAsia="Times New Roman" w:hAnsi="Times New Roman"/>
          <w:sz w:val="18"/>
          <w:szCs w:val="18"/>
          <w:color w:val="auto"/>
        </w:rPr>
        <w:t>Filing</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Pages 38 through 39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40</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44</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Pages 45 through 64</w:t>
      </w:r>
    </w:p>
    <w:p>
      <w:pPr>
        <w:spacing w:after="0" w:line="200" w:lineRule="exact"/>
        <w:rPr>
          <w:sz w:val="20"/>
          <w:szCs w:val="20"/>
          <w:color w:val="auto"/>
        </w:rPr>
      </w:pPr>
    </w:p>
    <w:p>
      <w:pPr>
        <w:sectPr>
          <w:pgSz w:w="11900" w:h="16838" w:orient="portrait"/>
          <w:cols w:equalWidth="0" w:num="2">
            <w:col w:w="8220" w:space="720"/>
            <w:col w:w="2280"/>
          </w:cols>
          <w:pgMar w:left="320" w:top="900" w:right="359" w:bottom="1440" w:gutter="0" w:footer="0" w:header="0"/>
          <w:type w:val="continuous"/>
        </w:sectPr>
      </w:pPr>
    </w:p>
    <w:p>
      <w:pPr>
        <w:spacing w:after="0" w:line="47" w:lineRule="exact"/>
        <w:rPr>
          <w:sz w:val="20"/>
          <w:szCs w:val="20"/>
          <w:color w:val="auto"/>
        </w:rPr>
      </w:pPr>
    </w:p>
    <w:p>
      <w:pPr>
        <w:ind w:left="360" w:hanging="334"/>
        <w:spacing w:after="0"/>
        <w:tabs>
          <w:tab w:leader="none" w:pos="3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schedule listed below is filed as part of this Annual Report on Form 10-K:</w:t>
      </w:r>
    </w:p>
    <w:p>
      <w:pPr>
        <w:spacing w:after="0" w:line="27" w:lineRule="exact"/>
        <w:rPr>
          <w:rFonts w:ascii="Times New Roman" w:cs="Times New Roman" w:eastAsia="Times New Roman" w:hAnsi="Times New Roman"/>
          <w:sz w:val="18"/>
          <w:szCs w:val="18"/>
          <w:color w:val="auto"/>
        </w:rPr>
      </w:pPr>
    </w:p>
    <w:p>
      <w:pPr>
        <w:ind w:left="360" w:right="2380"/>
        <w:spacing w:after="0" w:line="2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required schedule information is included in the Notes to Consolidated Financial Statements or is omitted because it is either not required or not applicable.</w:t>
      </w:r>
    </w:p>
    <w:p>
      <w:pPr>
        <w:spacing w:after="0" w:line="10" w:lineRule="exact"/>
        <w:rPr>
          <w:rFonts w:ascii="Times New Roman" w:cs="Times New Roman" w:eastAsia="Times New Roman" w:hAnsi="Times New Roman"/>
          <w:sz w:val="18"/>
          <w:szCs w:val="18"/>
          <w:color w:val="auto"/>
        </w:rPr>
      </w:pPr>
    </w:p>
    <w:p>
      <w:pPr>
        <w:ind w:left="360" w:right="2300" w:hanging="334"/>
        <w:spacing w:after="0" w:line="237" w:lineRule="auto"/>
        <w:tabs>
          <w:tab w:leader="none" w:pos="3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listed in the Exhibit Index immediately following this Item 15 are filed as a part of this Annual Report on Form 10-K.</w:t>
      </w:r>
    </w:p>
    <w:p>
      <w:pPr>
        <w:spacing w:after="0" w:line="320" w:lineRule="exact"/>
        <w:rPr>
          <w:sz w:val="20"/>
          <w:szCs w:val="20"/>
          <w:color w:val="auto"/>
        </w:rPr>
      </w:pPr>
    </w:p>
    <w:p>
      <w:pPr>
        <w:ind w:left="400" w:hanging="392"/>
        <w:spacing w:after="0"/>
        <w:tabs>
          <w:tab w:leader="none" w:pos="4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exhibits required by Item 601 of Regulation S-K are filed herewith and incorporated by reference herein. The response to this portion of Item 15 is submitted under Item 15(a)(3).</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type w:val="continuous"/>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2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50"/>
        </w:trPr>
        <w:tc>
          <w:tcPr>
            <w:tcW w:w="13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3240" w:type="dxa"/>
            <w:vAlign w:val="bottom"/>
            <w:gridSpan w:val="35"/>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000" w:type="dxa"/>
            <w:vAlign w:val="bottom"/>
            <w:vMerge w:val="restart"/>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3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35"/>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82"/>
        </w:trPr>
        <w:tc>
          <w:tcPr>
            <w:tcW w:w="136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2.1^</w:t>
            </w:r>
          </w:p>
        </w:tc>
        <w:tc>
          <w:tcPr>
            <w:tcW w:w="4540" w:type="dxa"/>
            <w:vAlign w:val="bottom"/>
            <w:gridSpan w:val="42"/>
          </w:tcPr>
          <w:p>
            <w:pPr>
              <w:spacing w:after="0" w:line="182"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Asset Purchase Agreement, dated as of April 22, 2021, by</w:t>
              </w:r>
            </w:hyperlink>
          </w:p>
        </w:tc>
        <w:tc>
          <w:tcPr>
            <w:tcW w:w="1000" w:type="dxa"/>
            <w:vAlign w:val="bottom"/>
          </w:tcPr>
          <w:p>
            <w:pPr>
              <w:jc w:val="center"/>
              <w:ind w:right="31"/>
              <w:spacing w:after="0" w:line="182"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001-05560</w:t>
            </w:r>
          </w:p>
        </w:tc>
        <w:tc>
          <w:tcPr>
            <w:tcW w:w="98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2.1</w:t>
            </w:r>
          </w:p>
        </w:tc>
        <w:tc>
          <w:tcPr>
            <w:tcW w:w="12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4/22/2021</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4220" w:type="dxa"/>
            <w:vAlign w:val="bottom"/>
            <w:tcBorders>
              <w:top w:val="single" w:sz="8" w:color="0000FF"/>
            </w:tcBorders>
            <w:gridSpan w:val="32"/>
          </w:tcPr>
          <w:p>
            <w:pPr>
              <w:spacing w:after="0" w:line="169"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and between Skyworks Solutions, Inc., and Silicon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124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74">
              <w:r>
                <w:rPr>
                  <w:rFonts w:ascii="Times New Roman" w:cs="Times New Roman" w:eastAsia="Times New Roman" w:hAnsi="Times New Roman"/>
                  <w:sz w:val="18"/>
                  <w:szCs w:val="18"/>
                  <w:color w:val="0000FF"/>
                  <w:w w:val="99"/>
                </w:rPr>
                <w:t>Laboratories Inc.</w:t>
              </w:r>
            </w:hyperlink>
          </w:p>
        </w:tc>
        <w:tc>
          <w:tcPr>
            <w:tcW w:w="242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4540" w:type="dxa"/>
            <w:vAlign w:val="bottom"/>
            <w:gridSpan w:val="42"/>
          </w:tcPr>
          <w:p>
            <w:pPr>
              <w:spacing w:after="0"/>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Restated Certificate of Incorporation</w:t>
              </w:r>
            </w:hyperlink>
          </w:p>
        </w:tc>
        <w:tc>
          <w:tcPr>
            <w:tcW w:w="10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001-05560</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8/8/2023</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4540" w:type="dxa"/>
            <w:vAlign w:val="bottom"/>
            <w:gridSpan w:val="42"/>
          </w:tcPr>
          <w:p>
            <w:pPr>
              <w:spacing w:after="0"/>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Fourth Amended and Restated By-laws</w:t>
              </w:r>
            </w:hyperlink>
          </w:p>
        </w:tc>
        <w:tc>
          <w:tcPr>
            <w:tcW w:w="100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001-05560</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5/12/2023</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4540" w:type="dxa"/>
            <w:vAlign w:val="bottom"/>
            <w:gridSpan w:val="42"/>
          </w:tcPr>
          <w:p>
            <w:pPr>
              <w:spacing w:after="0"/>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Specimen Certificate of Common Stock</w:t>
              </w:r>
            </w:hyperlink>
          </w:p>
        </w:tc>
        <w:tc>
          <w:tcPr>
            <w:tcW w:w="10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S-3</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333-92394</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7/15/2002</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2060" w:type="dxa"/>
            <w:vAlign w:val="bottom"/>
            <w:tcBorders>
              <w:top w:val="single" w:sz="8" w:color="0000FF"/>
              <w:bottom w:val="single" w:sz="8" w:color="0000FF"/>
            </w:tcBorders>
            <w:gridSpan w:val="9"/>
          </w:tcPr>
          <w:p>
            <w:pPr>
              <w:spacing w:after="0"/>
              <w:rPr>
                <w:rFonts w:ascii="Times New Roman" w:cs="Times New Roman" w:eastAsia="Times New Roman" w:hAnsi="Times New Roman"/>
                <w:sz w:val="18"/>
                <w:szCs w:val="18"/>
                <w:color w:val="0000FF"/>
                <w:w w:val="99"/>
              </w:rPr>
            </w:pPr>
            <w:hyperlink r:id="rId78">
              <w:r>
                <w:rPr>
                  <w:rFonts w:ascii="Times New Roman" w:cs="Times New Roman" w:eastAsia="Times New Roman" w:hAnsi="Times New Roman"/>
                  <w:sz w:val="18"/>
                  <w:szCs w:val="18"/>
                  <w:color w:val="0000FF"/>
                  <w:w w:val="99"/>
                </w:rPr>
                <w:t>Description of Capital Stock</w:t>
              </w:r>
            </w:hyperlink>
          </w:p>
        </w:tc>
        <w:tc>
          <w:tcPr>
            <w:tcW w:w="820" w:type="dxa"/>
            <w:vAlign w:val="bottom"/>
            <w:tcBorders>
              <w:top w:val="single" w:sz="8" w:color="0000FF"/>
            </w:tcBorders>
            <w:gridSpan w:val="4"/>
          </w:tcPr>
          <w:p>
            <w:pPr>
              <w:spacing w:after="0"/>
              <w:rPr>
                <w:sz w:val="18"/>
                <w:szCs w:val="18"/>
                <w:color w:val="auto"/>
              </w:rPr>
            </w:pPr>
          </w:p>
        </w:tc>
        <w:tc>
          <w:tcPr>
            <w:tcW w:w="1660" w:type="dxa"/>
            <w:vAlign w:val="bottom"/>
            <w:gridSpan w:val="29"/>
          </w:tcPr>
          <w:p>
            <w:pPr>
              <w:spacing w:after="0"/>
              <w:rPr>
                <w:sz w:val="18"/>
                <w:szCs w:val="18"/>
                <w:color w:val="auto"/>
              </w:rPr>
            </w:pPr>
          </w:p>
        </w:tc>
        <w:tc>
          <w:tcPr>
            <w:tcW w:w="10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001-05560</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11/14/2019</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4540" w:type="dxa"/>
            <w:vAlign w:val="bottom"/>
            <w:gridSpan w:val="42"/>
          </w:tcPr>
          <w:p>
            <w:pPr>
              <w:spacing w:after="0"/>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Indenture, dated as of May 26, 2021, by and between the</w:t>
              </w:r>
            </w:hyperlink>
          </w:p>
        </w:tc>
        <w:tc>
          <w:tcPr>
            <w:tcW w:w="100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001-05560</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5/26/2021</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3360" w:type="dxa"/>
            <w:vAlign w:val="bottom"/>
            <w:tcBorders>
              <w:top w:val="single" w:sz="8" w:color="0000FF"/>
              <w:bottom w:val="single" w:sz="8" w:color="0000FF"/>
            </w:tcBorders>
            <w:gridSpan w:val="15"/>
          </w:tcPr>
          <w:p>
            <w:pPr>
              <w:spacing w:after="0" w:line="182" w:lineRule="exact"/>
              <w:rPr>
                <w:rFonts w:ascii="Times New Roman" w:cs="Times New Roman" w:eastAsia="Times New Roman" w:hAnsi="Times New Roman"/>
                <w:sz w:val="18"/>
                <w:szCs w:val="18"/>
                <w:color w:val="0000FF"/>
                <w:w w:val="99"/>
              </w:rPr>
            </w:pPr>
            <w:hyperlink r:id="rId79">
              <w:r>
                <w:rPr>
                  <w:rFonts w:ascii="Times New Roman" w:cs="Times New Roman" w:eastAsia="Times New Roman" w:hAnsi="Times New Roman"/>
                  <w:sz w:val="18"/>
                  <w:szCs w:val="18"/>
                  <w:color w:val="0000FF"/>
                  <w:w w:val="99"/>
                </w:rPr>
                <w:t>Company and U.S. Bank National Association</w:t>
              </w:r>
            </w:hyperlink>
          </w:p>
        </w:tc>
        <w:tc>
          <w:tcPr>
            <w:tcW w:w="740" w:type="dxa"/>
            <w:vAlign w:val="bottom"/>
            <w:tcBorders>
              <w:top w:val="single" w:sz="8" w:color="0000FF"/>
            </w:tcBorders>
            <w:gridSpan w:val="11"/>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4540" w:type="dxa"/>
            <w:vAlign w:val="bottom"/>
            <w:gridSpan w:val="42"/>
          </w:tcPr>
          <w:p>
            <w:pPr>
              <w:spacing w:after="0"/>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First Supplemental Indenture, dated as of May 26, 2021, by</w:t>
              </w:r>
            </w:hyperlink>
          </w:p>
        </w:tc>
        <w:tc>
          <w:tcPr>
            <w:tcW w:w="100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001-05560</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5/26/2021</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4280" w:type="dxa"/>
            <w:vAlign w:val="bottom"/>
            <w:tcBorders>
              <w:top w:val="single" w:sz="8" w:color="0000FF"/>
            </w:tcBorders>
            <w:gridSpan w:val="35"/>
          </w:tcPr>
          <w:p>
            <w:pPr>
              <w:spacing w:after="0" w:line="182"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and between the Company and U.S. Bank National</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860" w:type="dxa"/>
            <w:vAlign w:val="bottom"/>
            <w:tcBorders>
              <w:top w:val="single" w:sz="8" w:color="0000FF"/>
              <w:bottom w:val="single" w:sz="8" w:color="0000FF"/>
            </w:tcBorders>
            <w:gridSpan w:val="3"/>
          </w:tcPr>
          <w:p>
            <w:pPr>
              <w:spacing w:after="0" w:line="182" w:lineRule="exact"/>
              <w:rPr>
                <w:rFonts w:ascii="Times New Roman" w:cs="Times New Roman" w:eastAsia="Times New Roman" w:hAnsi="Times New Roman"/>
                <w:sz w:val="18"/>
                <w:szCs w:val="18"/>
                <w:color w:val="0000FF"/>
                <w:w w:val="98"/>
              </w:rPr>
            </w:pPr>
            <w:hyperlink r:id="rId80">
              <w:r>
                <w:rPr>
                  <w:rFonts w:ascii="Times New Roman" w:cs="Times New Roman" w:eastAsia="Times New Roman" w:hAnsi="Times New Roman"/>
                  <w:sz w:val="18"/>
                  <w:szCs w:val="18"/>
                  <w:color w:val="0000FF"/>
                  <w:w w:val="98"/>
                </w:rPr>
                <w:t>Association</w:t>
              </w:r>
            </w:hyperlink>
          </w:p>
        </w:tc>
        <w:tc>
          <w:tcPr>
            <w:tcW w:w="2820" w:type="dxa"/>
            <w:vAlign w:val="bottom"/>
            <w:tcBorders>
              <w:top w:val="single" w:sz="8" w:color="0000FF"/>
            </w:tcBorders>
            <w:gridSpan w:val="15"/>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4540" w:type="dxa"/>
            <w:vAlign w:val="bottom"/>
            <w:gridSpan w:val="42"/>
          </w:tcPr>
          <w:p>
            <w:pPr>
              <w:spacing w:after="0"/>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Second Supplemental Indenture, dated as of May 26, 2021,</w:t>
              </w:r>
            </w:hyperlink>
          </w:p>
        </w:tc>
        <w:tc>
          <w:tcPr>
            <w:tcW w:w="100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001-05560</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5/26/2021</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4260" w:type="dxa"/>
            <w:vAlign w:val="bottom"/>
            <w:tcBorders>
              <w:top w:val="single" w:sz="8" w:color="0000FF"/>
            </w:tcBorders>
            <w:gridSpan w:val="34"/>
          </w:tcPr>
          <w:p>
            <w:pPr>
              <w:spacing w:after="0" w:line="182"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by and between the Company and U.S. Bank National</w:t>
              </w:r>
            </w:hyperlink>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860" w:type="dxa"/>
            <w:vAlign w:val="bottom"/>
            <w:tcBorders>
              <w:top w:val="single" w:sz="8" w:color="0000FF"/>
              <w:bottom w:val="single" w:sz="8" w:color="0000FF"/>
            </w:tcBorders>
            <w:gridSpan w:val="3"/>
          </w:tcPr>
          <w:p>
            <w:pPr>
              <w:spacing w:after="0" w:line="182" w:lineRule="exact"/>
              <w:rPr>
                <w:rFonts w:ascii="Times New Roman" w:cs="Times New Roman" w:eastAsia="Times New Roman" w:hAnsi="Times New Roman"/>
                <w:sz w:val="18"/>
                <w:szCs w:val="18"/>
                <w:color w:val="0000FF"/>
                <w:w w:val="98"/>
              </w:rPr>
            </w:pPr>
            <w:hyperlink r:id="rId81">
              <w:r>
                <w:rPr>
                  <w:rFonts w:ascii="Times New Roman" w:cs="Times New Roman" w:eastAsia="Times New Roman" w:hAnsi="Times New Roman"/>
                  <w:sz w:val="18"/>
                  <w:szCs w:val="18"/>
                  <w:color w:val="0000FF"/>
                  <w:w w:val="98"/>
                </w:rPr>
                <w:t>Association</w:t>
              </w:r>
            </w:hyperlink>
          </w:p>
        </w:tc>
        <w:tc>
          <w:tcPr>
            <w:tcW w:w="3040" w:type="dxa"/>
            <w:vAlign w:val="bottom"/>
            <w:tcBorders>
              <w:top w:val="single" w:sz="8" w:color="0000FF"/>
            </w:tcBorders>
            <w:gridSpan w:val="18"/>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c>
          <w:tcPr>
            <w:tcW w:w="4540" w:type="dxa"/>
            <w:vAlign w:val="bottom"/>
            <w:gridSpan w:val="42"/>
          </w:tcPr>
          <w:p>
            <w:pPr>
              <w:spacing w:after="0"/>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Third Supplemental Indenture, dated as of May 26, 2021, by</w:t>
              </w:r>
            </w:hyperlink>
          </w:p>
        </w:tc>
        <w:tc>
          <w:tcPr>
            <w:tcW w:w="100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001-05560</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5/26/2021</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4360" w:type="dxa"/>
            <w:vAlign w:val="bottom"/>
            <w:tcBorders>
              <w:top w:val="single" w:sz="8" w:color="0000FF"/>
            </w:tcBorders>
            <w:gridSpan w:val="38"/>
          </w:tcPr>
          <w:p>
            <w:pPr>
              <w:spacing w:after="0" w:line="182"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and between the Company and U.S. Bank National</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860" w:type="dxa"/>
            <w:vAlign w:val="bottom"/>
            <w:tcBorders>
              <w:top w:val="single" w:sz="8" w:color="0000FF"/>
              <w:bottom w:val="single" w:sz="8" w:color="0000FF"/>
            </w:tcBorders>
            <w:gridSpan w:val="3"/>
          </w:tcPr>
          <w:p>
            <w:pPr>
              <w:spacing w:after="0" w:line="182" w:lineRule="exact"/>
              <w:rPr>
                <w:rFonts w:ascii="Times New Roman" w:cs="Times New Roman" w:eastAsia="Times New Roman" w:hAnsi="Times New Roman"/>
                <w:sz w:val="18"/>
                <w:szCs w:val="18"/>
                <w:color w:val="0000FF"/>
                <w:w w:val="98"/>
              </w:rPr>
            </w:pPr>
            <w:hyperlink r:id="rId82">
              <w:r>
                <w:rPr>
                  <w:rFonts w:ascii="Times New Roman" w:cs="Times New Roman" w:eastAsia="Times New Roman" w:hAnsi="Times New Roman"/>
                  <w:sz w:val="18"/>
                  <w:szCs w:val="18"/>
                  <w:color w:val="0000FF"/>
                  <w:w w:val="98"/>
                </w:rPr>
                <w:t>Association</w:t>
              </w:r>
            </w:hyperlink>
          </w:p>
        </w:tc>
        <w:tc>
          <w:tcPr>
            <w:tcW w:w="2820" w:type="dxa"/>
            <w:vAlign w:val="bottom"/>
            <w:tcBorders>
              <w:top w:val="single" w:sz="8" w:color="0000FF"/>
            </w:tcBorders>
            <w:gridSpan w:val="15"/>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w:t>
            </w:r>
          </w:p>
        </w:tc>
        <w:tc>
          <w:tcPr>
            <w:tcW w:w="4540" w:type="dxa"/>
            <w:vAlign w:val="bottom"/>
            <w:gridSpan w:val="42"/>
          </w:tcPr>
          <w:p>
            <w:pPr>
              <w:spacing w:after="0"/>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Skyworks Solutions, Inc. 2002 Employee Stock Purchase</w:t>
              </w:r>
            </w:hyperlink>
          </w:p>
        </w:tc>
        <w:tc>
          <w:tcPr>
            <w:tcW w:w="10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001-05560</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7/31/2024</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4200" w:type="dxa"/>
            <w:vAlign w:val="bottom"/>
            <w:tcBorders>
              <w:top w:val="single" w:sz="8" w:color="0000FF"/>
            </w:tcBorders>
            <w:gridSpan w:val="31"/>
          </w:tcPr>
          <w:p>
            <w:pPr>
              <w:spacing w:after="0" w:line="169"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Plan, as Amended</w:t>
              </w:r>
            </w:hyperlink>
          </w:p>
        </w:tc>
        <w:tc>
          <w:tcPr>
            <w:tcW w:w="40" w:type="dxa"/>
            <w:vAlign w:val="bottom"/>
            <w:gridSpan w:val="2"/>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w:t>
            </w:r>
          </w:p>
        </w:tc>
        <w:tc>
          <w:tcPr>
            <w:tcW w:w="4540" w:type="dxa"/>
            <w:vAlign w:val="bottom"/>
            <w:gridSpan w:val="42"/>
          </w:tcPr>
          <w:p>
            <w:pPr>
              <w:spacing w:after="0"/>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Skyworks Solutions, Inc. Non-Qualified Employee Stock</w:t>
              </w:r>
            </w:hyperlink>
          </w:p>
        </w:tc>
        <w:tc>
          <w:tcPr>
            <w:tcW w:w="10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001-05560</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7/31/2024</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4180" w:type="dxa"/>
            <w:vAlign w:val="bottom"/>
            <w:tcBorders>
              <w:top w:val="single" w:sz="8" w:color="0000FF"/>
            </w:tcBorders>
            <w:gridSpan w:val="30"/>
          </w:tcPr>
          <w:p>
            <w:pPr>
              <w:spacing w:after="0" w:line="169"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Purchase Plan, as Amended</w:t>
              </w:r>
            </w:hyperlink>
          </w:p>
        </w:tc>
        <w:tc>
          <w:tcPr>
            <w:tcW w:w="60" w:type="dxa"/>
            <w:vAlign w:val="bottom"/>
            <w:gridSpan w:val="3"/>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w:t>
            </w:r>
          </w:p>
        </w:tc>
        <w:tc>
          <w:tcPr>
            <w:tcW w:w="4540" w:type="dxa"/>
            <w:vAlign w:val="bottom"/>
            <w:gridSpan w:val="42"/>
          </w:tcPr>
          <w:p>
            <w:pPr>
              <w:spacing w:after="0"/>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Skyworks Solutions, Inc. Amended and Restated 2008</w:t>
              </w:r>
            </w:hyperlink>
          </w:p>
        </w:tc>
        <w:tc>
          <w:tcPr>
            <w:tcW w:w="10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001-05560</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5/4/2022</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3960" w:type="dxa"/>
            <w:vAlign w:val="bottom"/>
            <w:tcBorders>
              <w:top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Director Long-Term Incentive Plan, as Amended</w:t>
              </w:r>
            </w:hyperlink>
          </w:p>
        </w:tc>
        <w:tc>
          <w:tcPr>
            <w:tcW w:w="10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w:t>
            </w:r>
          </w:p>
        </w:tc>
        <w:tc>
          <w:tcPr>
            <w:tcW w:w="4540" w:type="dxa"/>
            <w:vAlign w:val="bottom"/>
            <w:gridSpan w:val="42"/>
          </w:tcPr>
          <w:p>
            <w:pPr>
              <w:spacing w:after="0"/>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Form of Nonstatutory Stock Option Agreement under the</w:t>
              </w:r>
            </w:hyperlink>
          </w:p>
        </w:tc>
        <w:tc>
          <w:tcPr>
            <w:tcW w:w="10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001-05560</w:t>
            </w:r>
          </w:p>
        </w:tc>
        <w:tc>
          <w:tcPr>
            <w:tcW w:w="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10.OO</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5/7/2008</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3820" w:type="dxa"/>
            <w:vAlign w:val="bottom"/>
            <w:tcBorders>
              <w:top w:val="single" w:sz="8" w:color="0000FF"/>
              <w:bottom w:val="single" w:sz="8" w:color="0000FF"/>
            </w:tcBorders>
            <w:gridSpan w:val="20"/>
          </w:tcPr>
          <w:p>
            <w:pPr>
              <w:spacing w:after="0" w:line="169" w:lineRule="exact"/>
              <w:rPr>
                <w:rFonts w:ascii="Times New Roman" w:cs="Times New Roman" w:eastAsia="Times New Roman" w:hAnsi="Times New Roman"/>
                <w:sz w:val="18"/>
                <w:szCs w:val="18"/>
                <w:color w:val="0000FF"/>
                <w:w w:val="99"/>
              </w:rPr>
            </w:pPr>
            <w:hyperlink r:id="rId86">
              <w:r>
                <w:rPr>
                  <w:rFonts w:ascii="Times New Roman" w:cs="Times New Roman" w:eastAsia="Times New Roman" w:hAnsi="Times New Roman"/>
                  <w:sz w:val="18"/>
                  <w:szCs w:val="18"/>
                  <w:color w:val="0000FF"/>
                  <w:w w:val="99"/>
                </w:rPr>
                <w:t>Company’s 2008 Director Long-Term Incentive Plan</w:t>
              </w:r>
            </w:hyperlink>
          </w:p>
        </w:tc>
        <w:tc>
          <w:tcPr>
            <w:tcW w:w="320" w:type="dxa"/>
            <w:vAlign w:val="bottom"/>
            <w:tcBorders>
              <w:top w:val="single" w:sz="8" w:color="0000FF"/>
            </w:tcBorders>
            <w:gridSpan w:val="8"/>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w:t>
            </w:r>
          </w:p>
        </w:tc>
        <w:tc>
          <w:tcPr>
            <w:tcW w:w="4540" w:type="dxa"/>
            <w:vAlign w:val="bottom"/>
            <w:gridSpan w:val="42"/>
          </w:tcPr>
          <w:p>
            <w:pPr>
              <w:spacing w:after="0"/>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Form of Restricted Stock Unit Agreement under the</w:t>
              </w:r>
            </w:hyperlink>
          </w:p>
        </w:tc>
        <w:tc>
          <w:tcPr>
            <w:tcW w:w="10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001-05560</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5/4/2016</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3740" w:type="dxa"/>
            <w:vAlign w:val="bottom"/>
            <w:tcBorders>
              <w:top w:val="single" w:sz="8" w:color="0000FF"/>
              <w:bottom w:val="single" w:sz="8" w:color="0000FF"/>
            </w:tcBorders>
            <w:gridSpan w:val="19"/>
          </w:tcPr>
          <w:p>
            <w:pPr>
              <w:spacing w:after="0" w:line="169" w:lineRule="exact"/>
              <w:rPr>
                <w:rFonts w:ascii="Times New Roman" w:cs="Times New Roman" w:eastAsia="Times New Roman" w:hAnsi="Times New Roman"/>
                <w:sz w:val="18"/>
                <w:szCs w:val="18"/>
                <w:color w:val="0000FF"/>
                <w:w w:val="96"/>
              </w:rPr>
            </w:pPr>
            <w:hyperlink r:id="rId87">
              <w:r>
                <w:rPr>
                  <w:rFonts w:ascii="Times New Roman" w:cs="Times New Roman" w:eastAsia="Times New Roman" w:hAnsi="Times New Roman"/>
                  <w:sz w:val="18"/>
                  <w:szCs w:val="18"/>
                  <w:color w:val="0000FF"/>
                  <w:w w:val="96"/>
                </w:rPr>
                <w:t>Company’s 2008 Director Long-Term Incentive Plan</w:t>
              </w:r>
            </w:hyperlink>
          </w:p>
        </w:tc>
        <w:tc>
          <w:tcPr>
            <w:tcW w:w="80" w:type="dxa"/>
            <w:vAlign w:val="bottom"/>
            <w:tcBorders>
              <w:bottom w:val="single" w:sz="8" w:color="0000FF"/>
            </w:tcBorders>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10.6*</w:t>
            </w:r>
          </w:p>
        </w:tc>
        <w:tc>
          <w:tcPr>
            <w:tcW w:w="4540" w:type="dxa"/>
            <w:vAlign w:val="bottom"/>
            <w:gridSpan w:val="42"/>
          </w:tcPr>
          <w:p>
            <w:pPr>
              <w:spacing w:after="0"/>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Skyworks Solutions, Inc. Second Amended and Restated</w:t>
              </w:r>
            </w:hyperlink>
          </w:p>
        </w:tc>
        <w:tc>
          <w:tcPr>
            <w:tcW w:w="10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DEF 14A</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001-05560</w:t>
            </w:r>
          </w:p>
        </w:tc>
        <w:tc>
          <w:tcPr>
            <w:tcW w:w="9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3/28/2024</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4120" w:type="dxa"/>
            <w:vAlign w:val="bottom"/>
            <w:tcBorders>
              <w:top w:val="single" w:sz="8" w:color="0000FF"/>
            </w:tcBorders>
            <w:gridSpan w:val="27"/>
          </w:tcPr>
          <w:p>
            <w:pPr>
              <w:spacing w:after="0" w:line="182" w:lineRule="exact"/>
              <w:rPr>
                <w:rFonts w:ascii="Times New Roman" w:cs="Times New Roman" w:eastAsia="Times New Roman" w:hAnsi="Times New Roman"/>
                <w:sz w:val="18"/>
                <w:szCs w:val="18"/>
                <w:color w:val="0000FF"/>
                <w:w w:val="96"/>
              </w:rPr>
            </w:pPr>
            <w:hyperlink r:id="rId88">
              <w:r>
                <w:rPr>
                  <w:rFonts w:ascii="Times New Roman" w:cs="Times New Roman" w:eastAsia="Times New Roman" w:hAnsi="Times New Roman"/>
                  <w:sz w:val="18"/>
                  <w:szCs w:val="18"/>
                  <w:color w:val="0000FF"/>
                  <w:w w:val="96"/>
                </w:rPr>
                <w:t>2015 Long-Term Incentive Plan (incorporated by reference</w:t>
              </w:r>
            </w:hyperlink>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300" w:type="dxa"/>
            <w:vAlign w:val="bottom"/>
            <w:gridSpan w:val="9"/>
          </w:tcPr>
          <w:p>
            <w:pPr>
              <w:ind w:left="60"/>
              <w:spacing w:after="0" w:line="182"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to</w:t>
              </w:r>
            </w:hyperlink>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4460" w:type="dxa"/>
            <w:vAlign w:val="bottom"/>
            <w:tcBorders>
              <w:top w:val="single" w:sz="8" w:color="0000FF"/>
            </w:tcBorders>
            <w:gridSpan w:val="41"/>
          </w:tcPr>
          <w:p>
            <w:pPr>
              <w:spacing w:after="0" w:line="182"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Annex 1 to the Company’s Definitive Proxy Statement filed</w:t>
              </w:r>
            </w:hyperlink>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2440" w:type="dxa"/>
            <w:vAlign w:val="bottom"/>
            <w:tcBorders>
              <w:top w:val="single" w:sz="8" w:color="0000FF"/>
              <w:bottom w:val="single" w:sz="8" w:color="0000FF"/>
            </w:tcBorders>
            <w:gridSpan w:val="10"/>
          </w:tcPr>
          <w:p>
            <w:pPr>
              <w:spacing w:after="0" w:line="182" w:lineRule="exact"/>
              <w:rPr>
                <w:rFonts w:ascii="Times New Roman" w:cs="Times New Roman" w:eastAsia="Times New Roman" w:hAnsi="Times New Roman"/>
                <w:sz w:val="18"/>
                <w:szCs w:val="18"/>
                <w:color w:val="0000FF"/>
                <w:w w:val="99"/>
              </w:rPr>
            </w:pPr>
            <w:hyperlink r:id="rId88">
              <w:r>
                <w:rPr>
                  <w:rFonts w:ascii="Times New Roman" w:cs="Times New Roman" w:eastAsia="Times New Roman" w:hAnsi="Times New Roman"/>
                  <w:sz w:val="18"/>
                  <w:szCs w:val="18"/>
                  <w:color w:val="0000FF"/>
                  <w:w w:val="99"/>
                </w:rPr>
                <w:t>with the SEC on March 28, 2024)</w:t>
              </w:r>
            </w:hyperlink>
          </w:p>
        </w:tc>
        <w:tc>
          <w:tcPr>
            <w:tcW w:w="1880" w:type="dxa"/>
            <w:vAlign w:val="bottom"/>
            <w:tcBorders>
              <w:top w:val="single" w:sz="8" w:color="0000FF"/>
            </w:tcBorders>
            <w:gridSpan w:val="26"/>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10.7*</w:t>
            </w:r>
          </w:p>
        </w:tc>
        <w:tc>
          <w:tcPr>
            <w:tcW w:w="416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Form of Nonstatutory Stock Option Agreement under the</w:t>
              </w:r>
            </w:hyperlink>
          </w:p>
        </w:tc>
        <w:tc>
          <w:tcPr>
            <w:tcW w:w="380" w:type="dxa"/>
            <w:vAlign w:val="bottom"/>
            <w:gridSpan w:val="13"/>
          </w:tcPr>
          <w:p>
            <w:pPr>
              <w:spacing w:after="0"/>
              <w:rPr>
                <w:sz w:val="20"/>
                <w:szCs w:val="20"/>
                <w:color w:val="auto"/>
              </w:rPr>
            </w:pPr>
          </w:p>
        </w:tc>
        <w:tc>
          <w:tcPr>
            <w:tcW w:w="10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001-05560</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11/15/2024</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4540" w:type="dxa"/>
            <w:vAlign w:val="bottom"/>
            <w:gridSpan w:val="42"/>
          </w:tcPr>
          <w:p>
            <w:pPr>
              <w:spacing w:after="0" w:line="169"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Company’s Second Amended and Restated 2015 Long-Term</w:t>
              </w:r>
            </w:hyperlink>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104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8"/>
              </w:rPr>
            </w:pPr>
            <w:hyperlink r:id="rId89">
              <w:r>
                <w:rPr>
                  <w:rFonts w:ascii="Times New Roman" w:cs="Times New Roman" w:eastAsia="Times New Roman" w:hAnsi="Times New Roman"/>
                  <w:sz w:val="18"/>
                  <w:szCs w:val="18"/>
                  <w:color w:val="0000FF"/>
                  <w:w w:val="98"/>
                </w:rPr>
                <w:t>Incentive Plan</w:t>
              </w:r>
            </w:hyperlink>
          </w:p>
        </w:tc>
        <w:tc>
          <w:tcPr>
            <w:tcW w:w="3340" w:type="dxa"/>
            <w:vAlign w:val="bottom"/>
            <w:tcBorders>
              <w:top w:val="single" w:sz="8" w:color="0000FF"/>
            </w:tcBorders>
            <w:gridSpan w:val="35"/>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0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10.8*</w:t>
            </w:r>
          </w:p>
        </w:tc>
        <w:tc>
          <w:tcPr>
            <w:tcW w:w="4540" w:type="dxa"/>
            <w:vAlign w:val="bottom"/>
            <w:gridSpan w:val="42"/>
          </w:tcPr>
          <w:p>
            <w:pPr>
              <w:spacing w:after="0"/>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Form of Performance Share Agreement under the Company’s</w:t>
              </w:r>
            </w:hyperlink>
          </w:p>
        </w:tc>
        <w:tc>
          <w:tcPr>
            <w:tcW w:w="10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001-05560</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11/15/2024</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4440" w:type="dxa"/>
            <w:vAlign w:val="bottom"/>
            <w:tcBorders>
              <w:top w:val="single" w:sz="8" w:color="0000FF"/>
            </w:tcBorders>
            <w:gridSpan w:val="40"/>
          </w:tcPr>
          <w:p>
            <w:pPr>
              <w:spacing w:after="0" w:line="169"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Second Amended and Restated 2015 Long-Term Incentive</w:t>
              </w:r>
            </w:hyperlink>
          </w:p>
        </w:tc>
        <w:tc>
          <w:tcPr>
            <w:tcW w:w="100" w:type="dxa"/>
            <w:vAlign w:val="bottom"/>
            <w:gridSpan w:val="2"/>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424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Plan</w:t>
              </w:r>
            </w:hyperlink>
          </w:p>
        </w:tc>
        <w:tc>
          <w:tcPr>
            <w:tcW w:w="100" w:type="dxa"/>
            <w:vAlign w:val="bottom"/>
            <w:gridSpan w:val="4"/>
          </w:tcPr>
          <w:p>
            <w:pPr>
              <w:spacing w:after="0"/>
              <w:rPr>
                <w:sz w:val="13"/>
                <w:szCs w:val="13"/>
                <w:color w:val="auto"/>
              </w:rPr>
            </w:pPr>
          </w:p>
        </w:tc>
        <w:tc>
          <w:tcPr>
            <w:tcW w:w="200" w:type="dxa"/>
            <w:vAlign w:val="bottom"/>
            <w:gridSpan w:val="5"/>
          </w:tcPr>
          <w:p>
            <w:pPr>
              <w:spacing w:after="0"/>
              <w:rPr>
                <w:sz w:val="13"/>
                <w:szCs w:val="13"/>
                <w:color w:val="auto"/>
              </w:rPr>
            </w:pPr>
          </w:p>
        </w:tc>
        <w:tc>
          <w:tcPr>
            <w:tcW w:w="10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1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10.9*</w:t>
            </w:r>
          </w:p>
        </w:tc>
        <w:tc>
          <w:tcPr>
            <w:tcW w:w="4540" w:type="dxa"/>
            <w:vAlign w:val="bottom"/>
            <w:gridSpan w:val="42"/>
          </w:tcPr>
          <w:p>
            <w:pPr>
              <w:spacing w:after="0"/>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Form of Restricted Stock Unit Agreement under the</w:t>
              </w:r>
            </w:hyperlink>
          </w:p>
        </w:tc>
        <w:tc>
          <w:tcPr>
            <w:tcW w:w="10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001-05560</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11/15/2024</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1060" w:type="dxa"/>
            <w:vAlign w:val="bottom"/>
            <w:gridSpan w:val="6"/>
            <w:shd w:val="clear" w:color="auto" w:fill="0000FF"/>
          </w:tcPr>
          <w:p>
            <w:pPr>
              <w:spacing w:after="0" w:line="20" w:lineRule="exact"/>
              <w:rPr>
                <w:sz w:val="1"/>
                <w:szCs w:val="1"/>
                <w:color w:val="auto"/>
              </w:rPr>
            </w:pPr>
          </w:p>
        </w:tc>
        <w:tc>
          <w:tcPr>
            <w:tcW w:w="68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1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60" w:type="dxa"/>
            <w:vAlign w:val="bottom"/>
          </w:tcPr>
          <w:p>
            <w:pPr>
              <w:spacing w:after="0"/>
              <w:rPr>
                <w:sz w:val="14"/>
                <w:szCs w:val="14"/>
                <w:color w:val="auto"/>
              </w:rPr>
            </w:pPr>
          </w:p>
        </w:tc>
        <w:tc>
          <w:tcPr>
            <w:tcW w:w="4540" w:type="dxa"/>
            <w:vAlign w:val="bottom"/>
            <w:gridSpan w:val="42"/>
          </w:tcPr>
          <w:p>
            <w:pPr>
              <w:spacing w:after="0" w:line="169"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Company’s Second Amended and Restated 2015 Long-Term</w:t>
              </w:r>
            </w:hyperlink>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104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8"/>
              </w:rPr>
            </w:pPr>
            <w:hyperlink r:id="rId91">
              <w:r>
                <w:rPr>
                  <w:rFonts w:ascii="Times New Roman" w:cs="Times New Roman" w:eastAsia="Times New Roman" w:hAnsi="Times New Roman"/>
                  <w:sz w:val="18"/>
                  <w:szCs w:val="18"/>
                  <w:color w:val="0000FF"/>
                  <w:w w:val="98"/>
                </w:rPr>
                <w:t>Incentive Plan</w:t>
              </w:r>
            </w:hyperlink>
          </w:p>
        </w:tc>
        <w:tc>
          <w:tcPr>
            <w:tcW w:w="3340" w:type="dxa"/>
            <w:vAlign w:val="bottom"/>
            <w:tcBorders>
              <w:top w:val="single" w:sz="8" w:color="0000FF"/>
            </w:tcBorders>
            <w:gridSpan w:val="35"/>
          </w:tcPr>
          <w:p>
            <w:pPr>
              <w:spacing w:after="0"/>
              <w:rPr>
                <w:sz w:val="13"/>
                <w:szCs w:val="13"/>
                <w:color w:val="auto"/>
              </w:rPr>
            </w:pPr>
          </w:p>
        </w:tc>
        <w:tc>
          <w:tcPr>
            <w:tcW w:w="160" w:type="dxa"/>
            <w:vAlign w:val="bottom"/>
            <w:gridSpan w:val="3"/>
          </w:tcPr>
          <w:p>
            <w:pPr>
              <w:spacing w:after="0"/>
              <w:rPr>
                <w:sz w:val="13"/>
                <w:szCs w:val="13"/>
                <w:color w:val="auto"/>
              </w:rPr>
            </w:pPr>
          </w:p>
        </w:tc>
        <w:tc>
          <w:tcPr>
            <w:tcW w:w="10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10.10*^</w:t>
            </w:r>
          </w:p>
        </w:tc>
        <w:tc>
          <w:tcPr>
            <w:tcW w:w="306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8"/>
              </w:rPr>
            </w:pPr>
            <w:hyperlink r:id="rId92">
              <w:r>
                <w:rPr>
                  <w:rFonts w:ascii="Times New Roman" w:cs="Times New Roman" w:eastAsia="Times New Roman" w:hAnsi="Times New Roman"/>
                  <w:sz w:val="18"/>
                  <w:szCs w:val="18"/>
                  <w:color w:val="0000FF"/>
                  <w:w w:val="98"/>
                </w:rPr>
                <w:t>Fiscal Year 2024 Executive Incentive Plan</w:t>
              </w:r>
            </w:hyperlink>
          </w:p>
        </w:tc>
        <w:tc>
          <w:tcPr>
            <w:tcW w:w="1480" w:type="dxa"/>
            <w:vAlign w:val="bottom"/>
            <w:gridSpan w:val="28"/>
          </w:tcPr>
          <w:p>
            <w:pPr>
              <w:spacing w:after="0"/>
              <w:rPr>
                <w:sz w:val="18"/>
                <w:szCs w:val="18"/>
                <w:color w:val="auto"/>
              </w:rPr>
            </w:pPr>
          </w:p>
        </w:tc>
        <w:tc>
          <w:tcPr>
            <w:tcW w:w="10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001-05560</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1/31/2024</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10.11*</w:t>
            </w:r>
          </w:p>
        </w:tc>
        <w:tc>
          <w:tcPr>
            <w:tcW w:w="4540" w:type="dxa"/>
            <w:vAlign w:val="bottom"/>
            <w:gridSpan w:val="42"/>
          </w:tcPr>
          <w:p>
            <w:pPr>
              <w:spacing w:after="0"/>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Skyworks Solutions, Inc. Cash Compensation Plan for</w:t>
              </w:r>
            </w:hyperlink>
          </w:p>
        </w:tc>
        <w:tc>
          <w:tcPr>
            <w:tcW w:w="10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001-05560</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5/1/2024</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68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8"/>
              </w:rPr>
            </w:pPr>
            <w:hyperlink r:id="rId93">
              <w:r>
                <w:rPr>
                  <w:rFonts w:ascii="Times New Roman" w:cs="Times New Roman" w:eastAsia="Times New Roman" w:hAnsi="Times New Roman"/>
                  <w:sz w:val="18"/>
                  <w:szCs w:val="18"/>
                  <w:color w:val="0000FF"/>
                  <w:w w:val="98"/>
                </w:rPr>
                <w:t>Directors</w:t>
              </w:r>
            </w:hyperlink>
          </w:p>
        </w:tc>
        <w:tc>
          <w:tcPr>
            <w:tcW w:w="3240" w:type="dxa"/>
            <w:vAlign w:val="bottom"/>
            <w:tcBorders>
              <w:top w:val="single" w:sz="8" w:color="0000FF"/>
            </w:tcBorders>
            <w:gridSpan w:val="20"/>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280" w:type="dxa"/>
            <w:vAlign w:val="bottom"/>
            <w:gridSpan w:val="12"/>
          </w:tcPr>
          <w:p>
            <w:pPr>
              <w:spacing w:after="0"/>
              <w:rPr>
                <w:sz w:val="14"/>
                <w:szCs w:val="14"/>
                <w:color w:val="auto"/>
              </w:rPr>
            </w:pPr>
          </w:p>
        </w:tc>
        <w:tc>
          <w:tcPr>
            <w:tcW w:w="200" w:type="dxa"/>
            <w:vAlign w:val="bottom"/>
            <w:gridSpan w:val="5"/>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10.12*</w:t>
            </w:r>
          </w:p>
        </w:tc>
        <w:tc>
          <w:tcPr>
            <w:tcW w:w="4540" w:type="dxa"/>
            <w:vAlign w:val="bottom"/>
            <w:gridSpan w:val="42"/>
          </w:tcPr>
          <w:p>
            <w:pPr>
              <w:spacing w:after="0"/>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Second Amended and Restated Change in Control /</w:t>
              </w:r>
            </w:hyperlink>
          </w:p>
        </w:tc>
        <w:tc>
          <w:tcPr>
            <w:tcW w:w="10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001-05560</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8/8/2023</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374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w w:val="97"/>
              </w:rPr>
            </w:pPr>
            <w:hyperlink r:id="rId94">
              <w:r>
                <w:rPr>
                  <w:rFonts w:ascii="Times New Roman" w:cs="Times New Roman" w:eastAsia="Times New Roman" w:hAnsi="Times New Roman"/>
                  <w:sz w:val="18"/>
                  <w:szCs w:val="18"/>
                  <w:color w:val="0000FF"/>
                  <w:w w:val="97"/>
                </w:rPr>
                <w:t>Severance Agreement, dated May 10, 2023, between</w:t>
              </w:r>
            </w:hyperlink>
          </w:p>
        </w:tc>
        <w:tc>
          <w:tcPr>
            <w:tcW w:w="800" w:type="dxa"/>
            <w:vAlign w:val="bottom"/>
            <w:gridSpan w:val="23"/>
          </w:tcPr>
          <w:p>
            <w:pPr>
              <w:ind w:left="100"/>
              <w:spacing w:after="0" w:line="169"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the</w:t>
              </w:r>
            </w:hyperlink>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200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94">
              <w:r>
                <w:rPr>
                  <w:rFonts w:ascii="Times New Roman" w:cs="Times New Roman" w:eastAsia="Times New Roman" w:hAnsi="Times New Roman"/>
                  <w:sz w:val="18"/>
                  <w:szCs w:val="18"/>
                  <w:color w:val="0000FF"/>
                  <w:w w:val="99"/>
                </w:rPr>
                <w:t>Company and Liam Griffin</w:t>
              </w:r>
            </w:hyperlink>
          </w:p>
        </w:tc>
        <w:tc>
          <w:tcPr>
            <w:tcW w:w="2060" w:type="dxa"/>
            <w:vAlign w:val="bottom"/>
            <w:tcBorders>
              <w:top w:val="single" w:sz="8" w:color="0000FF"/>
            </w:tcBorders>
            <w:gridSpan w:val="17"/>
          </w:tcPr>
          <w:p>
            <w:pPr>
              <w:spacing w:after="0"/>
              <w:rPr>
                <w:sz w:val="13"/>
                <w:szCs w:val="13"/>
                <w:color w:val="auto"/>
              </w:rPr>
            </w:pPr>
          </w:p>
        </w:tc>
        <w:tc>
          <w:tcPr>
            <w:tcW w:w="280" w:type="dxa"/>
            <w:vAlign w:val="bottom"/>
            <w:gridSpan w:val="12"/>
          </w:tcPr>
          <w:p>
            <w:pPr>
              <w:spacing w:after="0"/>
              <w:rPr>
                <w:sz w:val="13"/>
                <w:szCs w:val="13"/>
                <w:color w:val="auto"/>
              </w:rPr>
            </w:pPr>
          </w:p>
        </w:tc>
        <w:tc>
          <w:tcPr>
            <w:tcW w:w="200" w:type="dxa"/>
            <w:vAlign w:val="bottom"/>
            <w:gridSpan w:val="5"/>
          </w:tcPr>
          <w:p>
            <w:pPr>
              <w:spacing w:after="0"/>
              <w:rPr>
                <w:sz w:val="13"/>
                <w:szCs w:val="13"/>
                <w:color w:val="auto"/>
              </w:rPr>
            </w:pPr>
          </w:p>
        </w:tc>
        <w:tc>
          <w:tcPr>
            <w:tcW w:w="10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10.13*</w:t>
            </w:r>
          </w:p>
        </w:tc>
        <w:tc>
          <w:tcPr>
            <w:tcW w:w="454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Amended and Restated Change in Control / Severance</w:t>
            </w:r>
          </w:p>
        </w:tc>
        <w:tc>
          <w:tcPr>
            <w:tcW w:w="10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3940" w:type="dxa"/>
            <w:vAlign w:val="bottom"/>
            <w:tcBorders>
              <w:top w:val="single" w:sz="8" w:color="0000FF"/>
            </w:tcBorders>
            <w:gridSpan w:val="23"/>
          </w:tcPr>
          <w:p>
            <w:pPr>
              <w:spacing w:after="0" w:line="169" w:lineRule="exact"/>
              <w:rPr>
                <w:sz w:val="20"/>
                <w:szCs w:val="20"/>
                <w:color w:val="auto"/>
              </w:rPr>
            </w:pPr>
            <w:r>
              <w:rPr>
                <w:rFonts w:ascii="Times New Roman" w:cs="Times New Roman" w:eastAsia="Times New Roman" w:hAnsi="Times New Roman"/>
                <w:sz w:val="18"/>
                <w:szCs w:val="18"/>
                <w:color w:val="0000FF"/>
                <w:w w:val="97"/>
              </w:rPr>
              <w:t>Agreement, dated May 10, 2023, between the Company</w:t>
            </w:r>
          </w:p>
        </w:tc>
        <w:tc>
          <w:tcPr>
            <w:tcW w:w="600" w:type="dxa"/>
            <w:vAlign w:val="bottom"/>
            <w:gridSpan w:val="19"/>
          </w:tcPr>
          <w:p>
            <w:pPr>
              <w:ind w:left="140"/>
              <w:spacing w:after="0" w:line="169" w:lineRule="exact"/>
              <w:rPr>
                <w:sz w:val="20"/>
                <w:szCs w:val="20"/>
                <w:color w:val="auto"/>
              </w:rPr>
            </w:pPr>
            <w:r>
              <w:rPr>
                <w:rFonts w:ascii="Times New Roman" w:cs="Times New Roman" w:eastAsia="Times New Roman" w:hAnsi="Times New Roman"/>
                <w:sz w:val="18"/>
                <w:szCs w:val="18"/>
                <w:color w:val="0000FF"/>
              </w:rPr>
              <w:t>and</w:t>
            </w: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1080" w:type="dxa"/>
            <w:vAlign w:val="bottom"/>
            <w:tcBorders>
              <w:top w:val="single" w:sz="8" w:color="0000FF"/>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8"/>
              </w:rPr>
              <w:t>Kris Sennesael</w:t>
            </w:r>
          </w:p>
        </w:tc>
        <w:tc>
          <w:tcPr>
            <w:tcW w:w="3260" w:type="dxa"/>
            <w:vAlign w:val="bottom"/>
            <w:tcBorders>
              <w:top w:val="single" w:sz="8" w:color="0000FF"/>
            </w:tcBorders>
            <w:gridSpan w:val="32"/>
          </w:tcPr>
          <w:p>
            <w:pPr>
              <w:spacing w:after="0"/>
              <w:rPr>
                <w:sz w:val="13"/>
                <w:szCs w:val="13"/>
                <w:color w:val="auto"/>
              </w:rPr>
            </w:pPr>
          </w:p>
        </w:tc>
        <w:tc>
          <w:tcPr>
            <w:tcW w:w="200" w:type="dxa"/>
            <w:vAlign w:val="bottom"/>
            <w:gridSpan w:val="5"/>
          </w:tcPr>
          <w:p>
            <w:pPr>
              <w:spacing w:after="0"/>
              <w:rPr>
                <w:sz w:val="13"/>
                <w:szCs w:val="13"/>
                <w:color w:val="auto"/>
              </w:rPr>
            </w:pPr>
          </w:p>
        </w:tc>
        <w:tc>
          <w:tcPr>
            <w:tcW w:w="10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28"/>
        </w:trPr>
        <w:tc>
          <w:tcPr>
            <w:tcW w:w="1360" w:type="dxa"/>
            <w:vAlign w:val="bottom"/>
          </w:tcPr>
          <w:p>
            <w:pPr>
              <w:spacing w:after="0"/>
              <w:rPr>
                <w:sz w:val="24"/>
                <w:szCs w:val="24"/>
                <w:color w:val="auto"/>
              </w:rPr>
            </w:pPr>
          </w:p>
        </w:tc>
        <w:tc>
          <w:tcPr>
            <w:tcW w:w="4360" w:type="dxa"/>
            <w:vAlign w:val="bottom"/>
            <w:gridSpan w:val="38"/>
          </w:tcPr>
          <w:p>
            <w:pPr>
              <w:ind w:left="4180"/>
              <w:spacing w:after="0"/>
              <w:rPr>
                <w:sz w:val="20"/>
                <w:szCs w:val="20"/>
                <w:color w:val="auto"/>
              </w:rPr>
            </w:pPr>
            <w:r>
              <w:rPr>
                <w:rFonts w:ascii="Times New Roman" w:cs="Times New Roman" w:eastAsia="Times New Roman" w:hAnsi="Times New Roman"/>
                <w:sz w:val="18"/>
                <w:szCs w:val="18"/>
                <w:color w:val="auto"/>
                <w:w w:val="88"/>
              </w:rPr>
              <w:t>43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3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3" w:name="page44"/>
    <w:bookmarkEnd w:id="43"/>
    <w:p>
      <w:pPr>
        <w:spacing w:after="0"/>
        <w:tabs>
          <w:tab w:leader="none" w:pos="920" w:val="left"/>
        </w:tabs>
        <w:rPr>
          <w:sz w:val="20"/>
          <w:szCs w:val="20"/>
          <w:color w:val="auto"/>
        </w:rPr>
      </w:pPr>
      <w:r>
        <w:rPr>
          <w:rFonts w:ascii="Times New Roman" w:cs="Times New Roman" w:eastAsia="Times New Roman" w:hAnsi="Times New Roman"/>
          <w:sz w:val="18"/>
          <w:szCs w:val="18"/>
          <w:color w:val="auto"/>
        </w:rPr>
        <w:t>10.14*</w:t>
      </w:r>
      <w:r>
        <w:rPr>
          <w:sz w:val="20"/>
          <w:szCs w:val="20"/>
          <w:color w:val="auto"/>
        </w:rPr>
        <w:tab/>
      </w:r>
      <w:r>
        <w:rPr>
          <w:rFonts w:ascii="Times New Roman" w:cs="Times New Roman" w:eastAsia="Times New Roman" w:hAnsi="Times New Roman"/>
          <w:sz w:val="17"/>
          <w:szCs w:val="17"/>
          <w:u w:val="single" w:color="auto"/>
          <w:color w:val="0000FF"/>
        </w:rPr>
        <w:t>Amended and Restated Change in Control / Severance</w:t>
      </w:r>
    </w:p>
    <w:p>
      <w:pPr>
        <w:spacing w:after="0" w:line="2" w:lineRule="exact"/>
        <w:rPr>
          <w:sz w:val="20"/>
          <w:szCs w:val="20"/>
          <w:color w:val="auto"/>
        </w:rPr>
      </w:pPr>
    </w:p>
    <w:p>
      <w:pPr>
        <w:ind w:left="940" w:right="80"/>
        <w:spacing w:after="0" w:line="226" w:lineRule="auto"/>
        <w:rPr>
          <w:sz w:val="20"/>
          <w:szCs w:val="20"/>
          <w:color w:val="auto"/>
        </w:rPr>
      </w:pPr>
      <w:r>
        <w:rPr>
          <w:rFonts w:ascii="Times New Roman" w:cs="Times New Roman" w:eastAsia="Times New Roman" w:hAnsi="Times New Roman"/>
          <w:sz w:val="18"/>
          <w:szCs w:val="18"/>
          <w:u w:val="single" w:color="auto"/>
          <w:color w:val="0000FF"/>
        </w:rPr>
        <w:t>Agreement, dated May 10, 2023, between the Company and Robert J. Terry</w:t>
      </w:r>
    </w:p>
    <w:p>
      <w:pPr>
        <w:spacing w:after="0"/>
        <w:tabs>
          <w:tab w:leader="none" w:pos="920" w:val="left"/>
        </w:tabs>
        <w:rPr>
          <w:sz w:val="20"/>
          <w:szCs w:val="20"/>
          <w:color w:val="auto"/>
        </w:rPr>
      </w:pPr>
      <w:r>
        <w:rPr>
          <w:rFonts w:ascii="Times New Roman" w:cs="Times New Roman" w:eastAsia="Times New Roman" w:hAnsi="Times New Roman"/>
          <w:sz w:val="18"/>
          <w:szCs w:val="18"/>
          <w:color w:val="auto"/>
        </w:rPr>
        <w:t>10.15*</w:t>
      </w:r>
      <w:r>
        <w:rPr>
          <w:sz w:val="20"/>
          <w:szCs w:val="20"/>
          <w:color w:val="auto"/>
        </w:rPr>
        <w:tab/>
      </w:r>
      <w:r>
        <w:rPr>
          <w:rFonts w:ascii="Times New Roman" w:cs="Times New Roman" w:eastAsia="Times New Roman" w:hAnsi="Times New Roman"/>
          <w:sz w:val="17"/>
          <w:szCs w:val="17"/>
          <w:u w:val="single" w:color="auto"/>
          <w:color w:val="0000FF"/>
        </w:rPr>
        <w:t>Amended and Restated Change in Control / Severance</w:t>
      </w:r>
    </w:p>
    <w:p>
      <w:pPr>
        <w:spacing w:after="0" w:line="1" w:lineRule="exact"/>
        <w:rPr>
          <w:sz w:val="20"/>
          <w:szCs w:val="20"/>
          <w:color w:val="auto"/>
        </w:rPr>
      </w:pPr>
    </w:p>
    <w:p>
      <w:pPr>
        <w:ind w:left="940" w:right="80"/>
        <w:spacing w:after="0" w:line="226" w:lineRule="auto"/>
        <w:rPr>
          <w:sz w:val="20"/>
          <w:szCs w:val="20"/>
          <w:color w:val="auto"/>
        </w:rPr>
      </w:pPr>
      <w:r>
        <w:rPr>
          <w:rFonts w:ascii="Times New Roman" w:cs="Times New Roman" w:eastAsia="Times New Roman" w:hAnsi="Times New Roman"/>
          <w:sz w:val="18"/>
          <w:szCs w:val="18"/>
          <w:u w:val="single" w:color="auto"/>
          <w:color w:val="0000FF"/>
        </w:rPr>
        <w:t>Agreement, dated May 10, 2023, between the Company and Carlos S. Bori</w:t>
      </w:r>
    </w:p>
    <w:p>
      <w:pPr>
        <w:spacing w:after="0"/>
        <w:tabs>
          <w:tab w:leader="none" w:pos="920" w:val="left"/>
        </w:tabs>
        <w:rPr>
          <w:sz w:val="20"/>
          <w:szCs w:val="20"/>
          <w:color w:val="auto"/>
        </w:rPr>
      </w:pPr>
      <w:r>
        <w:rPr>
          <w:rFonts w:ascii="Times New Roman" w:cs="Times New Roman" w:eastAsia="Times New Roman" w:hAnsi="Times New Roman"/>
          <w:sz w:val="18"/>
          <w:szCs w:val="18"/>
          <w:color w:val="auto"/>
        </w:rPr>
        <w:t>10.16*</w:t>
      </w:r>
      <w:r>
        <w:rPr>
          <w:sz w:val="20"/>
          <w:szCs w:val="20"/>
          <w:color w:val="auto"/>
        </w:rPr>
        <w:tab/>
      </w:r>
      <w:r>
        <w:rPr>
          <w:rFonts w:ascii="Times New Roman" w:cs="Times New Roman" w:eastAsia="Times New Roman" w:hAnsi="Times New Roman"/>
          <w:sz w:val="17"/>
          <w:szCs w:val="17"/>
          <w:u w:val="single" w:color="auto"/>
          <w:color w:val="0000FF"/>
        </w:rPr>
        <w:t>Amended and Restated Change in Control / Severance</w:t>
      </w:r>
    </w:p>
    <w:p>
      <w:pPr>
        <w:spacing w:after="0" w:line="1" w:lineRule="exact"/>
        <w:rPr>
          <w:sz w:val="20"/>
          <w:szCs w:val="20"/>
          <w:color w:val="auto"/>
        </w:rPr>
      </w:pPr>
    </w:p>
    <w:p>
      <w:pPr>
        <w:ind w:left="940" w:right="80"/>
        <w:spacing w:after="0" w:line="226" w:lineRule="auto"/>
        <w:rPr>
          <w:sz w:val="20"/>
          <w:szCs w:val="20"/>
          <w:color w:val="auto"/>
        </w:rPr>
      </w:pPr>
      <w:r>
        <w:rPr>
          <w:rFonts w:ascii="Times New Roman" w:cs="Times New Roman" w:eastAsia="Times New Roman" w:hAnsi="Times New Roman"/>
          <w:sz w:val="18"/>
          <w:szCs w:val="18"/>
          <w:u w:val="single" w:color="auto"/>
          <w:color w:val="0000FF"/>
        </w:rPr>
        <w:t>Agreement, dated May 10, 2023, between the Company and Kari A. Durham</w:t>
      </w:r>
    </w:p>
    <w:p>
      <w:pPr>
        <w:spacing w:after="0"/>
        <w:tabs>
          <w:tab w:leader="none" w:pos="920" w:val="left"/>
        </w:tabs>
        <w:rPr>
          <w:sz w:val="20"/>
          <w:szCs w:val="20"/>
          <w:color w:val="auto"/>
        </w:rPr>
      </w:pPr>
      <w:r>
        <w:rPr>
          <w:rFonts w:ascii="Times New Roman" w:cs="Times New Roman" w:eastAsia="Times New Roman" w:hAnsi="Times New Roman"/>
          <w:sz w:val="18"/>
          <w:szCs w:val="18"/>
          <w:color w:val="auto"/>
        </w:rPr>
        <w:t>10.17*</w:t>
      </w:r>
      <w:r>
        <w:rPr>
          <w:sz w:val="20"/>
          <w:szCs w:val="20"/>
          <w:color w:val="auto"/>
        </w:rPr>
        <w:tab/>
      </w:r>
      <w:r>
        <w:rPr>
          <w:rFonts w:ascii="Times New Roman" w:cs="Times New Roman" w:eastAsia="Times New Roman" w:hAnsi="Times New Roman"/>
          <w:sz w:val="17"/>
          <w:szCs w:val="17"/>
          <w:u w:val="single" w:color="auto"/>
          <w:color w:val="0000FF"/>
        </w:rPr>
        <w:t>Amended and Restated Change in Control / Severance</w:t>
      </w:r>
    </w:p>
    <w:p>
      <w:pPr>
        <w:spacing w:after="0" w:line="1" w:lineRule="exact"/>
        <w:rPr>
          <w:sz w:val="20"/>
          <w:szCs w:val="20"/>
          <w:color w:val="auto"/>
        </w:rPr>
      </w:pPr>
    </w:p>
    <w:p>
      <w:pPr>
        <w:ind w:left="940" w:right="80"/>
        <w:spacing w:after="0" w:line="226" w:lineRule="auto"/>
        <w:rPr>
          <w:sz w:val="20"/>
          <w:szCs w:val="20"/>
          <w:color w:val="auto"/>
        </w:rPr>
      </w:pPr>
      <w:r>
        <w:rPr>
          <w:rFonts w:ascii="Times New Roman" w:cs="Times New Roman" w:eastAsia="Times New Roman" w:hAnsi="Times New Roman"/>
          <w:sz w:val="18"/>
          <w:szCs w:val="18"/>
          <w:u w:val="single" w:color="auto"/>
          <w:color w:val="0000FF"/>
        </w:rPr>
        <w:t>Agreement, dated May 10, 2023, between the Company and Reza Kasnavi</w:t>
      </w:r>
    </w:p>
    <w:p>
      <w:pPr>
        <w:ind w:left="940" w:right="60" w:hanging="888"/>
        <w:spacing w:after="0" w:line="247"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10.18</w:t>
      </w:r>
      <w:r>
        <w:rPr>
          <w:sz w:val="20"/>
          <w:szCs w:val="20"/>
          <w:color w:val="auto"/>
        </w:rPr>
        <w:tab/>
      </w:r>
      <w:hyperlink r:id="rId97">
        <w:r>
          <w:rPr>
            <w:rFonts w:ascii="Times New Roman" w:cs="Times New Roman" w:eastAsia="Times New Roman" w:hAnsi="Times New Roman"/>
            <w:sz w:val="18"/>
            <w:szCs w:val="18"/>
            <w:u w:val="single" w:color="auto"/>
            <w:color w:val="0000FF"/>
          </w:rPr>
          <w:t>Debt Commitment Letter, dated as of April 22, 2021, by and</w:t>
        </w:r>
      </w:hyperlink>
      <w:r>
        <w:rPr>
          <w:rFonts w:ascii="Times New Roman" w:cs="Times New Roman" w:eastAsia="Times New Roman" w:hAnsi="Times New Roman"/>
          <w:sz w:val="18"/>
          <w:szCs w:val="18"/>
          <w:u w:val="single" w:color="auto"/>
          <w:color w:val="0000FF"/>
        </w:rPr>
        <w:t xml:space="preserve"> </w:t>
      </w:r>
      <w:hyperlink r:id="rId97">
        <w:r>
          <w:rPr>
            <w:rFonts w:ascii="Times New Roman" w:cs="Times New Roman" w:eastAsia="Times New Roman" w:hAnsi="Times New Roman"/>
            <w:sz w:val="18"/>
            <w:szCs w:val="18"/>
            <w:u w:val="single" w:color="auto"/>
            <w:color w:val="0000FF"/>
          </w:rPr>
          <w:t>between Skyworks Solutions, Inc., and JPMorgan Chase</w:t>
        </w:r>
      </w:hyperlink>
      <w:r>
        <w:rPr>
          <w:rFonts w:ascii="Times New Roman" w:cs="Times New Roman" w:eastAsia="Times New Roman" w:hAnsi="Times New Roman"/>
          <w:sz w:val="18"/>
          <w:szCs w:val="18"/>
          <w:u w:val="single" w:color="auto"/>
          <w:color w:val="0000FF"/>
        </w:rPr>
        <w:t xml:space="preserve"> </w:t>
      </w:r>
      <w:hyperlink r:id="rId97">
        <w:r>
          <w:rPr>
            <w:rFonts w:ascii="Times New Roman" w:cs="Times New Roman" w:eastAsia="Times New Roman" w:hAnsi="Times New Roman"/>
            <w:sz w:val="18"/>
            <w:szCs w:val="18"/>
            <w:u w:val="single" w:color="auto"/>
            <w:color w:val="0000FF"/>
          </w:rPr>
          <w:t>Bank, N.A</w:t>
        </w:r>
      </w:hyperlink>
    </w:p>
    <w:p>
      <w:pPr>
        <w:spacing w:after="0" w:line="18" w:lineRule="exact"/>
        <w:rPr>
          <w:rFonts w:ascii="Times New Roman" w:cs="Times New Roman" w:eastAsia="Times New Roman" w:hAnsi="Times New Roman"/>
          <w:sz w:val="18"/>
          <w:szCs w:val="18"/>
          <w:u w:val="single" w:color="auto"/>
          <w:color w:val="0000FF"/>
        </w:rPr>
      </w:pPr>
    </w:p>
    <w:p>
      <w:pPr>
        <w:ind w:left="20"/>
        <w:spacing w:after="0"/>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10.19^</w:t>
      </w:r>
      <w:r>
        <w:rPr>
          <w:sz w:val="20"/>
          <w:szCs w:val="20"/>
          <w:color w:val="auto"/>
        </w:rPr>
        <w:tab/>
      </w:r>
      <w:hyperlink r:id="rId98">
        <w:r>
          <w:rPr>
            <w:rFonts w:ascii="Times New Roman" w:cs="Times New Roman" w:eastAsia="Times New Roman" w:hAnsi="Times New Roman"/>
            <w:sz w:val="18"/>
            <w:szCs w:val="18"/>
            <w:u w:val="single" w:color="auto"/>
            <w:color w:val="0000FF"/>
          </w:rPr>
          <w:t>Revolving Credit Agreement, dated as of May 21, 2021,</w:t>
        </w:r>
      </w:hyperlink>
    </w:p>
    <w:p>
      <w:pPr>
        <w:spacing w:after="0" w:line="2" w:lineRule="exact"/>
        <w:rPr>
          <w:rFonts w:ascii="Times New Roman" w:cs="Times New Roman" w:eastAsia="Times New Roman" w:hAnsi="Times New Roman"/>
          <w:sz w:val="18"/>
          <w:szCs w:val="18"/>
          <w:u w:val="single" w:color="auto"/>
          <w:color w:val="0000FF"/>
        </w:rPr>
      </w:pPr>
    </w:p>
    <w:p>
      <w:pPr>
        <w:ind w:left="940" w:right="40"/>
        <w:spacing w:after="0" w:line="218" w:lineRule="auto"/>
        <w:rPr>
          <w:rFonts w:ascii="Times New Roman" w:cs="Times New Roman" w:eastAsia="Times New Roman" w:hAnsi="Times New Roman"/>
          <w:sz w:val="18"/>
          <w:szCs w:val="18"/>
          <w:u w:val="single" w:color="auto"/>
          <w:color w:val="0000FF"/>
        </w:rPr>
      </w:pPr>
      <w:hyperlink r:id="rId98">
        <w:r>
          <w:rPr>
            <w:rFonts w:ascii="Times New Roman" w:cs="Times New Roman" w:eastAsia="Times New Roman" w:hAnsi="Times New Roman"/>
            <w:sz w:val="18"/>
            <w:szCs w:val="18"/>
            <w:u w:val="single" w:color="auto"/>
            <w:color w:val="0000FF"/>
          </w:rPr>
          <w:t>among the Company, the Borrowing Subsidiaries party</w:t>
        </w:r>
      </w:hyperlink>
      <w:r>
        <w:rPr>
          <w:rFonts w:ascii="Times New Roman" w:cs="Times New Roman" w:eastAsia="Times New Roman" w:hAnsi="Times New Roman"/>
          <w:sz w:val="18"/>
          <w:szCs w:val="18"/>
          <w:u w:val="single" w:color="auto"/>
          <w:color w:val="0000FF"/>
        </w:rPr>
        <w:t xml:space="preserve"> </w:t>
      </w:r>
      <w:hyperlink r:id="rId98">
        <w:r>
          <w:rPr>
            <w:rFonts w:ascii="Times New Roman" w:cs="Times New Roman" w:eastAsia="Times New Roman" w:hAnsi="Times New Roman"/>
            <w:sz w:val="18"/>
            <w:szCs w:val="18"/>
            <w:u w:val="single" w:color="auto"/>
            <w:color w:val="0000FF"/>
          </w:rPr>
          <w:t>thereto, the lenders party thereto and JPMorgan Chase Bank,</w:t>
        </w:r>
      </w:hyperlink>
      <w:r>
        <w:rPr>
          <w:rFonts w:ascii="Times New Roman" w:cs="Times New Roman" w:eastAsia="Times New Roman" w:hAnsi="Times New Roman"/>
          <w:sz w:val="18"/>
          <w:szCs w:val="18"/>
          <w:u w:val="single" w:color="auto"/>
          <w:color w:val="0000FF"/>
        </w:rPr>
        <w:t xml:space="preserve"> </w:t>
      </w:r>
      <w:hyperlink r:id="rId98">
        <w:r>
          <w:rPr>
            <w:rFonts w:ascii="Times New Roman" w:cs="Times New Roman" w:eastAsia="Times New Roman" w:hAnsi="Times New Roman"/>
            <w:sz w:val="18"/>
            <w:szCs w:val="18"/>
            <w:u w:val="single" w:color="auto"/>
            <w:color w:val="0000FF"/>
          </w:rPr>
          <w:t>N.A., as the administrative agent</w:t>
        </w:r>
      </w:hyperlink>
    </w:p>
    <w:p>
      <w:pPr>
        <w:ind w:left="20"/>
        <w:spacing w:after="0"/>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10.20^</w:t>
      </w:r>
      <w:r>
        <w:rPr>
          <w:sz w:val="20"/>
          <w:szCs w:val="20"/>
          <w:color w:val="auto"/>
        </w:rPr>
        <w:tab/>
      </w:r>
      <w:hyperlink r:id="rId99">
        <w:r>
          <w:rPr>
            <w:rFonts w:ascii="Times New Roman" w:cs="Times New Roman" w:eastAsia="Times New Roman" w:hAnsi="Times New Roman"/>
            <w:sz w:val="17"/>
            <w:szCs w:val="17"/>
            <w:u w:val="single" w:color="auto"/>
            <w:color w:val="0000FF"/>
          </w:rPr>
          <w:t>First Amendment, dated as of March 6, 2023, among the</w:t>
        </w:r>
      </w:hyperlink>
    </w:p>
    <w:p>
      <w:pPr>
        <w:ind w:left="940"/>
        <w:spacing w:after="0" w:line="208" w:lineRule="auto"/>
        <w:rPr>
          <w:rFonts w:ascii="Times New Roman" w:cs="Times New Roman" w:eastAsia="Times New Roman" w:hAnsi="Times New Roman"/>
          <w:sz w:val="18"/>
          <w:szCs w:val="18"/>
          <w:u w:val="single" w:color="auto"/>
          <w:color w:val="0000FF"/>
        </w:rPr>
      </w:pPr>
      <w:hyperlink r:id="rId99">
        <w:r>
          <w:rPr>
            <w:rFonts w:ascii="Times New Roman" w:cs="Times New Roman" w:eastAsia="Times New Roman" w:hAnsi="Times New Roman"/>
            <w:sz w:val="18"/>
            <w:szCs w:val="18"/>
            <w:u w:val="single" w:color="auto"/>
            <w:color w:val="0000FF"/>
          </w:rPr>
          <w:t>Company, the borrowing subsidiaries party thereto, the</w:t>
        </w:r>
      </w:hyperlink>
      <w:r>
        <w:rPr>
          <w:rFonts w:ascii="Times New Roman" w:cs="Times New Roman" w:eastAsia="Times New Roman" w:hAnsi="Times New Roman"/>
          <w:sz w:val="18"/>
          <w:szCs w:val="18"/>
          <w:u w:val="single" w:color="auto"/>
          <w:color w:val="0000FF"/>
        </w:rPr>
        <w:t xml:space="preserve"> </w:t>
      </w:r>
      <w:hyperlink r:id="rId99">
        <w:r>
          <w:rPr>
            <w:rFonts w:ascii="Times New Roman" w:cs="Times New Roman" w:eastAsia="Times New Roman" w:hAnsi="Times New Roman"/>
            <w:sz w:val="18"/>
            <w:szCs w:val="18"/>
            <w:u w:val="single" w:color="auto"/>
            <w:color w:val="0000FF"/>
          </w:rPr>
          <w:t>lenders party thereto and JPMorgan Chase Bank, N.A., as the</w:t>
        </w:r>
      </w:hyperlink>
      <w:r>
        <w:rPr>
          <w:rFonts w:ascii="Times New Roman" w:cs="Times New Roman" w:eastAsia="Times New Roman" w:hAnsi="Times New Roman"/>
          <w:sz w:val="18"/>
          <w:szCs w:val="18"/>
          <w:u w:val="single" w:color="auto"/>
          <w:color w:val="0000FF"/>
        </w:rPr>
        <w:t xml:space="preserve"> </w:t>
      </w:r>
      <w:hyperlink r:id="rId99">
        <w:r>
          <w:rPr>
            <w:rFonts w:ascii="Times New Roman" w:cs="Times New Roman" w:eastAsia="Times New Roman" w:hAnsi="Times New Roman"/>
            <w:sz w:val="18"/>
            <w:szCs w:val="18"/>
            <w:u w:val="single" w:color="auto"/>
            <w:color w:val="0000FF"/>
          </w:rPr>
          <w:t>administrative agent, amending the Revolving Credit</w:t>
        </w:r>
      </w:hyperlink>
    </w:p>
    <w:p>
      <w:pPr>
        <w:spacing w:after="0" w:line="2" w:lineRule="exact"/>
        <w:rPr>
          <w:rFonts w:ascii="Times New Roman" w:cs="Times New Roman" w:eastAsia="Times New Roman" w:hAnsi="Times New Roman"/>
          <w:sz w:val="18"/>
          <w:szCs w:val="18"/>
          <w:u w:val="single" w:color="auto"/>
          <w:color w:val="0000FF"/>
        </w:rPr>
      </w:pPr>
    </w:p>
    <w:p>
      <w:pPr>
        <w:ind w:left="940" w:right="320"/>
        <w:spacing w:after="0" w:line="218" w:lineRule="auto"/>
        <w:rPr>
          <w:rFonts w:ascii="Times New Roman" w:cs="Times New Roman" w:eastAsia="Times New Roman" w:hAnsi="Times New Roman"/>
          <w:sz w:val="18"/>
          <w:szCs w:val="18"/>
          <w:u w:val="single" w:color="auto"/>
          <w:color w:val="0000FF"/>
        </w:rPr>
      </w:pPr>
      <w:hyperlink r:id="rId99">
        <w:r>
          <w:rPr>
            <w:rFonts w:ascii="Times New Roman" w:cs="Times New Roman" w:eastAsia="Times New Roman" w:hAnsi="Times New Roman"/>
            <w:sz w:val="18"/>
            <w:szCs w:val="18"/>
            <w:u w:val="single" w:color="auto"/>
            <w:color w:val="0000FF"/>
          </w:rPr>
          <w:t>Agreement, dated as of May 21, 2021, by and among the</w:t>
        </w:r>
      </w:hyperlink>
      <w:r>
        <w:rPr>
          <w:rFonts w:ascii="Times New Roman" w:cs="Times New Roman" w:eastAsia="Times New Roman" w:hAnsi="Times New Roman"/>
          <w:sz w:val="18"/>
          <w:szCs w:val="18"/>
          <w:u w:val="single" w:color="auto"/>
          <w:color w:val="0000FF"/>
        </w:rPr>
        <w:t xml:space="preserve"> </w:t>
      </w:r>
      <w:hyperlink r:id="rId99">
        <w:r>
          <w:rPr>
            <w:rFonts w:ascii="Times New Roman" w:cs="Times New Roman" w:eastAsia="Times New Roman" w:hAnsi="Times New Roman"/>
            <w:sz w:val="18"/>
            <w:szCs w:val="18"/>
            <w:u w:val="single" w:color="auto"/>
            <w:color w:val="0000FF"/>
          </w:rPr>
          <w:t>Company, the borrowing subsidiaries party thereto, the</w:t>
        </w:r>
      </w:hyperlink>
      <w:r>
        <w:rPr>
          <w:rFonts w:ascii="Times New Roman" w:cs="Times New Roman" w:eastAsia="Times New Roman" w:hAnsi="Times New Roman"/>
          <w:sz w:val="18"/>
          <w:szCs w:val="18"/>
          <w:u w:val="single" w:color="auto"/>
          <w:color w:val="0000FF"/>
        </w:rPr>
        <w:t xml:space="preserve"> </w:t>
      </w:r>
      <w:hyperlink r:id="rId99">
        <w:r>
          <w:rPr>
            <w:rFonts w:ascii="Times New Roman" w:cs="Times New Roman" w:eastAsia="Times New Roman" w:hAnsi="Times New Roman"/>
            <w:sz w:val="18"/>
            <w:szCs w:val="18"/>
            <w:u w:val="single" w:color="auto"/>
            <w:color w:val="0000FF"/>
          </w:rPr>
          <w:t>lenders party thereto and the administrative agent</w:t>
        </w:r>
      </w:hyperlink>
    </w:p>
    <w:p>
      <w:pPr>
        <w:spacing w:after="0" w:line="1" w:lineRule="exact"/>
        <w:rPr>
          <w:rFonts w:ascii="Times New Roman" w:cs="Times New Roman" w:eastAsia="Times New Roman" w:hAnsi="Times New Roman"/>
          <w:sz w:val="18"/>
          <w:szCs w:val="18"/>
          <w:u w:val="single" w:color="auto"/>
          <w:color w:val="0000FF"/>
        </w:rPr>
      </w:pPr>
    </w:p>
    <w:p>
      <w:pPr>
        <w:ind w:left="940" w:right="20" w:hanging="774"/>
        <w:spacing w:after="0" w:line="256" w:lineRule="auto"/>
        <w:tabs>
          <w:tab w:leader="none" w:pos="9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Skyworks Solutions, Inc. Company Policy Regarding Insider Trading and Disclosure of Material Non-Public Information</w:t>
      </w:r>
    </w:p>
    <w:p>
      <w:pPr>
        <w:spacing w:after="0" w:line="1" w:lineRule="exact"/>
        <w:rPr>
          <w:rFonts w:ascii="Times New Roman" w:cs="Times New Roman" w:eastAsia="Times New Roman" w:hAnsi="Times New Roman"/>
          <w:sz w:val="18"/>
          <w:szCs w:val="18"/>
          <w:u w:val="single" w:color="auto"/>
          <w:color w:val="0000FF"/>
        </w:rPr>
      </w:pPr>
    </w:p>
    <w:p>
      <w:pPr>
        <w:ind w:left="940" w:hanging="774"/>
        <w:spacing w:after="0"/>
        <w:tabs>
          <w:tab w:leader="none" w:pos="940" w:val="left"/>
        </w:tabs>
        <w:numPr>
          <w:ilvl w:val="0"/>
          <w:numId w:val="56"/>
        </w:numPr>
        <w:rPr>
          <w:rFonts w:ascii="Times New Roman" w:cs="Times New Roman" w:eastAsia="Times New Roman" w:hAnsi="Times New Roman"/>
          <w:sz w:val="18"/>
          <w:szCs w:val="18"/>
          <w:u w:val="single" w:color="auto"/>
          <w:color w:val="0000FF"/>
        </w:rPr>
      </w:pPr>
      <w:hyperlink r:id="rId100">
        <w:r>
          <w:rPr>
            <w:rFonts w:ascii="Times New Roman" w:cs="Times New Roman" w:eastAsia="Times New Roman" w:hAnsi="Times New Roman"/>
            <w:sz w:val="18"/>
            <w:szCs w:val="18"/>
            <w:u w:val="single" w:color="auto"/>
            <w:color w:val="0000FF"/>
          </w:rPr>
          <w:t>Subsidiaries of the Company</w:t>
        </w:r>
      </w:hyperlink>
    </w:p>
    <w:p>
      <w:pPr>
        <w:spacing w:after="0" w:line="22" w:lineRule="exact"/>
        <w:rPr>
          <w:rFonts w:ascii="Times New Roman" w:cs="Times New Roman" w:eastAsia="Times New Roman" w:hAnsi="Times New Roman"/>
          <w:sz w:val="18"/>
          <w:szCs w:val="18"/>
          <w:u w:val="single" w:color="auto"/>
          <w:color w:val="0000FF"/>
        </w:rPr>
      </w:pPr>
    </w:p>
    <w:p>
      <w:pPr>
        <w:ind w:left="100"/>
        <w:spacing w:after="0"/>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23.1</w:t>
      </w:r>
      <w:hyperlink r:id="rId101">
        <w:r>
          <w:rPr>
            <w:rFonts w:ascii="Times New Roman" w:cs="Times New Roman" w:eastAsia="Times New Roman" w:hAnsi="Times New Roman"/>
            <w:sz w:val="18"/>
            <w:szCs w:val="18"/>
            <w:u w:val="single" w:color="auto"/>
            <w:color w:val="0000FF"/>
          </w:rPr>
          <w:t>Consent of KPMG LLP</w:t>
        </w:r>
      </w:hyperlink>
    </w:p>
    <w:p>
      <w:pPr>
        <w:spacing w:after="0" w:line="20" w:lineRule="exact"/>
        <w:rPr>
          <w:rFonts w:ascii="Times New Roman" w:cs="Times New Roman" w:eastAsia="Times New Roman" w:hAnsi="Times New Roman"/>
          <w:sz w:val="18"/>
          <w:szCs w:val="18"/>
          <w:color w:val="auto"/>
        </w:rPr>
      </w:pPr>
    </w:p>
    <w:p>
      <w:pPr>
        <w:ind w:left="100"/>
        <w:spacing w:after="0"/>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31.1</w:t>
      </w:r>
      <w:r>
        <w:rPr>
          <w:sz w:val="20"/>
          <w:szCs w:val="20"/>
          <w:color w:val="auto"/>
        </w:rPr>
        <w:tab/>
      </w:r>
      <w:hyperlink r:id="rId102">
        <w:r>
          <w:rPr>
            <w:rFonts w:ascii="Times New Roman" w:cs="Times New Roman" w:eastAsia="Times New Roman" w:hAnsi="Times New Roman"/>
            <w:sz w:val="17"/>
            <w:szCs w:val="17"/>
            <w:u w:val="single" w:color="auto"/>
            <w:color w:val="0000FF"/>
          </w:rPr>
          <w:t>Certification of the Company’s Chief Executive Officer</w:t>
        </w:r>
      </w:hyperlink>
    </w:p>
    <w:p>
      <w:pPr>
        <w:ind w:left="940"/>
        <w:spacing w:after="0" w:line="218" w:lineRule="auto"/>
        <w:rPr>
          <w:rFonts w:ascii="Times New Roman" w:cs="Times New Roman" w:eastAsia="Times New Roman" w:hAnsi="Times New Roman"/>
          <w:sz w:val="18"/>
          <w:szCs w:val="18"/>
          <w:u w:val="single" w:color="auto"/>
          <w:color w:val="0000FF"/>
        </w:rPr>
      </w:pPr>
      <w:hyperlink r:id="rId102">
        <w:r>
          <w:rPr>
            <w:rFonts w:ascii="Times New Roman" w:cs="Times New Roman" w:eastAsia="Times New Roman" w:hAnsi="Times New Roman"/>
            <w:sz w:val="18"/>
            <w:szCs w:val="18"/>
            <w:u w:val="single" w:color="auto"/>
            <w:color w:val="0000FF"/>
          </w:rPr>
          <w:t>pursuant to Securities and Exchange Act Rules 13a-14(a) and</w:t>
        </w:r>
      </w:hyperlink>
      <w:r>
        <w:rPr>
          <w:rFonts w:ascii="Times New Roman" w:cs="Times New Roman" w:eastAsia="Times New Roman" w:hAnsi="Times New Roman"/>
          <w:sz w:val="18"/>
          <w:szCs w:val="18"/>
          <w:u w:val="single" w:color="auto"/>
          <w:color w:val="0000FF"/>
        </w:rPr>
        <w:t xml:space="preserve"> </w:t>
      </w:r>
      <w:hyperlink r:id="rId102">
        <w:r>
          <w:rPr>
            <w:rFonts w:ascii="Times New Roman" w:cs="Times New Roman" w:eastAsia="Times New Roman" w:hAnsi="Times New Roman"/>
            <w:sz w:val="18"/>
            <w:szCs w:val="18"/>
            <w:u w:val="single" w:color="auto"/>
            <w:color w:val="0000FF"/>
          </w:rPr>
          <w:t>15d-14(a), as adopted pursuant to Section 302 of the</w:t>
        </w:r>
      </w:hyperlink>
      <w:r>
        <w:rPr>
          <w:rFonts w:ascii="Times New Roman" w:cs="Times New Roman" w:eastAsia="Times New Roman" w:hAnsi="Times New Roman"/>
          <w:sz w:val="18"/>
          <w:szCs w:val="18"/>
          <w:u w:val="single" w:color="auto"/>
          <w:color w:val="0000FF"/>
        </w:rPr>
        <w:t xml:space="preserve"> </w:t>
      </w:r>
      <w:hyperlink r:id="rId102">
        <w:r>
          <w:rPr>
            <w:rFonts w:ascii="Times New Roman" w:cs="Times New Roman" w:eastAsia="Times New Roman" w:hAnsi="Times New Roman"/>
            <w:sz w:val="18"/>
            <w:szCs w:val="18"/>
            <w:u w:val="single" w:color="auto"/>
            <w:color w:val="0000FF"/>
          </w:rPr>
          <w:t>Sarbanes-Oxley Act of 2002</w:t>
        </w:r>
      </w:hyperlink>
    </w:p>
    <w:p>
      <w:pPr>
        <w:ind w:left="100"/>
        <w:spacing w:after="0"/>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31.2</w:t>
      </w:r>
      <w:r>
        <w:rPr>
          <w:sz w:val="20"/>
          <w:szCs w:val="20"/>
          <w:color w:val="auto"/>
        </w:rPr>
        <w:tab/>
      </w:r>
      <w:hyperlink r:id="rId103">
        <w:r>
          <w:rPr>
            <w:rFonts w:ascii="Times New Roman" w:cs="Times New Roman" w:eastAsia="Times New Roman" w:hAnsi="Times New Roman"/>
            <w:sz w:val="17"/>
            <w:szCs w:val="17"/>
            <w:u w:val="single" w:color="auto"/>
            <w:color w:val="0000FF"/>
          </w:rPr>
          <w:t>Certification of the Company’s Chief Financial Officer</w:t>
        </w:r>
      </w:hyperlink>
    </w:p>
    <w:p>
      <w:pPr>
        <w:ind w:left="940"/>
        <w:spacing w:after="0" w:line="218" w:lineRule="auto"/>
        <w:rPr>
          <w:rFonts w:ascii="Times New Roman" w:cs="Times New Roman" w:eastAsia="Times New Roman" w:hAnsi="Times New Roman"/>
          <w:sz w:val="18"/>
          <w:szCs w:val="18"/>
          <w:u w:val="single" w:color="auto"/>
          <w:color w:val="0000FF"/>
        </w:rPr>
      </w:pPr>
      <w:hyperlink r:id="rId103">
        <w:r>
          <w:rPr>
            <w:rFonts w:ascii="Times New Roman" w:cs="Times New Roman" w:eastAsia="Times New Roman" w:hAnsi="Times New Roman"/>
            <w:sz w:val="18"/>
            <w:szCs w:val="18"/>
            <w:u w:val="single" w:color="auto"/>
            <w:color w:val="0000FF"/>
          </w:rPr>
          <w:t>pursuant to Securities and Exchange Act Rules 13a-14(a) and</w:t>
        </w:r>
      </w:hyperlink>
      <w:r>
        <w:rPr>
          <w:rFonts w:ascii="Times New Roman" w:cs="Times New Roman" w:eastAsia="Times New Roman" w:hAnsi="Times New Roman"/>
          <w:sz w:val="18"/>
          <w:szCs w:val="18"/>
          <w:u w:val="single" w:color="auto"/>
          <w:color w:val="0000FF"/>
        </w:rPr>
        <w:t xml:space="preserve"> </w:t>
      </w:r>
      <w:hyperlink r:id="rId103">
        <w:r>
          <w:rPr>
            <w:rFonts w:ascii="Times New Roman" w:cs="Times New Roman" w:eastAsia="Times New Roman" w:hAnsi="Times New Roman"/>
            <w:sz w:val="18"/>
            <w:szCs w:val="18"/>
            <w:u w:val="single" w:color="auto"/>
            <w:color w:val="0000FF"/>
          </w:rPr>
          <w:t>15d-14(a), as adopted pursuant to Section 302 of the</w:t>
        </w:r>
      </w:hyperlink>
      <w:r>
        <w:rPr>
          <w:rFonts w:ascii="Times New Roman" w:cs="Times New Roman" w:eastAsia="Times New Roman" w:hAnsi="Times New Roman"/>
          <w:sz w:val="18"/>
          <w:szCs w:val="18"/>
          <w:u w:val="single" w:color="auto"/>
          <w:color w:val="0000FF"/>
        </w:rPr>
        <w:t xml:space="preserve"> </w:t>
      </w:r>
      <w:hyperlink r:id="rId103">
        <w:r>
          <w:rPr>
            <w:rFonts w:ascii="Times New Roman" w:cs="Times New Roman" w:eastAsia="Times New Roman" w:hAnsi="Times New Roman"/>
            <w:sz w:val="18"/>
            <w:szCs w:val="18"/>
            <w:u w:val="single" w:color="auto"/>
            <w:color w:val="0000FF"/>
          </w:rPr>
          <w:t>Sarbanes-Oxley Act of 2002</w:t>
        </w:r>
      </w:hyperlink>
    </w:p>
    <w:p>
      <w:pPr>
        <w:ind w:left="100"/>
        <w:spacing w:after="0"/>
        <w:tabs>
          <w:tab w:leader="none" w:pos="920" w:val="left"/>
        </w:tabs>
        <w:rPr>
          <w:sz w:val="20"/>
          <w:szCs w:val="20"/>
          <w:color w:val="auto"/>
        </w:rPr>
      </w:pPr>
      <w:r>
        <w:rPr>
          <w:rFonts w:ascii="Times New Roman" w:cs="Times New Roman" w:eastAsia="Times New Roman" w:hAnsi="Times New Roman"/>
          <w:sz w:val="18"/>
          <w:szCs w:val="18"/>
          <w:color w:val="auto"/>
        </w:rPr>
        <w:t>31.3</w:t>
      </w:r>
      <w:r>
        <w:rPr>
          <w:sz w:val="20"/>
          <w:szCs w:val="20"/>
          <w:color w:val="auto"/>
        </w:rPr>
        <w:tab/>
      </w:r>
      <w:r>
        <w:rPr>
          <w:rFonts w:ascii="Times New Roman" w:cs="Times New Roman" w:eastAsia="Times New Roman" w:hAnsi="Times New Roman"/>
          <w:sz w:val="17"/>
          <w:szCs w:val="17"/>
          <w:u w:val="single" w:color="auto"/>
          <w:color w:val="0000FF"/>
        </w:rPr>
        <w:t>Certification of the Company’s Chief Executive Officer</w:t>
      </w:r>
    </w:p>
    <w:p>
      <w:pPr>
        <w:ind w:left="940"/>
        <w:spacing w:after="0" w:line="218" w:lineRule="auto"/>
        <w:rPr>
          <w:sz w:val="20"/>
          <w:szCs w:val="20"/>
          <w:color w:val="auto"/>
        </w:rPr>
      </w:pPr>
      <w:r>
        <w:rPr>
          <w:rFonts w:ascii="Times New Roman" w:cs="Times New Roman" w:eastAsia="Times New Roman" w:hAnsi="Times New Roman"/>
          <w:sz w:val="18"/>
          <w:szCs w:val="18"/>
          <w:u w:val="single" w:color="auto"/>
          <w:color w:val="0000FF"/>
        </w:rPr>
        <w:t>pursuant to Securities and Exchange Act Rules 13a-14(a) and 15d-14(a), as adopted pursuant to Section 302 of the Sarbanes-Oxley Act of 2002</w:t>
      </w:r>
    </w:p>
    <w:p>
      <w:pPr>
        <w:ind w:left="100"/>
        <w:spacing w:after="0"/>
        <w:tabs>
          <w:tab w:leader="none" w:pos="920" w:val="left"/>
        </w:tabs>
        <w:rPr>
          <w:sz w:val="20"/>
          <w:szCs w:val="20"/>
          <w:color w:val="auto"/>
        </w:rPr>
      </w:pPr>
      <w:r>
        <w:rPr>
          <w:rFonts w:ascii="Times New Roman" w:cs="Times New Roman" w:eastAsia="Times New Roman" w:hAnsi="Times New Roman"/>
          <w:sz w:val="18"/>
          <w:szCs w:val="18"/>
          <w:color w:val="auto"/>
        </w:rPr>
        <w:t>31.4</w:t>
      </w:r>
      <w:r>
        <w:rPr>
          <w:sz w:val="20"/>
          <w:szCs w:val="20"/>
          <w:color w:val="auto"/>
        </w:rPr>
        <w:tab/>
      </w:r>
      <w:r>
        <w:rPr>
          <w:rFonts w:ascii="Times New Roman" w:cs="Times New Roman" w:eastAsia="Times New Roman" w:hAnsi="Times New Roman"/>
          <w:sz w:val="17"/>
          <w:szCs w:val="17"/>
          <w:u w:val="single" w:color="auto"/>
          <w:color w:val="0000FF"/>
        </w:rPr>
        <w:t>Certification of the Company’s Chief Financial Officer</w:t>
      </w:r>
    </w:p>
    <w:p>
      <w:pPr>
        <w:ind w:left="940"/>
        <w:spacing w:after="0" w:line="218" w:lineRule="auto"/>
        <w:rPr>
          <w:sz w:val="20"/>
          <w:szCs w:val="20"/>
          <w:color w:val="auto"/>
        </w:rPr>
      </w:pPr>
      <w:r>
        <w:rPr>
          <w:rFonts w:ascii="Times New Roman" w:cs="Times New Roman" w:eastAsia="Times New Roman" w:hAnsi="Times New Roman"/>
          <w:sz w:val="18"/>
          <w:szCs w:val="18"/>
          <w:u w:val="single" w:color="auto"/>
          <w:color w:val="0000FF"/>
        </w:rPr>
        <w:t>pursuant to Securities and Exchange Act Rules 13a-14(a) and 15d-14(a), as adopted pursuant to Section 302 of the Sarbanes-Oxley Act of 2002</w:t>
      </w:r>
    </w:p>
    <w:p>
      <w:pPr>
        <w:ind w:left="100"/>
        <w:spacing w:after="0"/>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32.1</w:t>
      </w:r>
      <w:r>
        <w:rPr>
          <w:sz w:val="20"/>
          <w:szCs w:val="20"/>
          <w:color w:val="auto"/>
        </w:rPr>
        <w:tab/>
      </w:r>
      <w:hyperlink r:id="rId104">
        <w:r>
          <w:rPr>
            <w:rFonts w:ascii="Times New Roman" w:cs="Times New Roman" w:eastAsia="Times New Roman" w:hAnsi="Times New Roman"/>
            <w:sz w:val="17"/>
            <w:szCs w:val="17"/>
            <w:u w:val="single" w:color="auto"/>
            <w:color w:val="0000FF"/>
          </w:rPr>
          <w:t>Certification of the Company’s Chief Executive Officer</w:t>
        </w:r>
      </w:hyperlink>
    </w:p>
    <w:p>
      <w:pPr>
        <w:ind w:left="940" w:right="160"/>
        <w:spacing w:after="0" w:line="226" w:lineRule="auto"/>
        <w:rPr>
          <w:rFonts w:ascii="Times New Roman" w:cs="Times New Roman" w:eastAsia="Times New Roman" w:hAnsi="Times New Roman"/>
          <w:sz w:val="18"/>
          <w:szCs w:val="18"/>
          <w:u w:val="single" w:color="auto"/>
          <w:color w:val="0000FF"/>
        </w:rPr>
      </w:pPr>
      <w:hyperlink r:id="rId104">
        <w:r>
          <w:rPr>
            <w:rFonts w:ascii="Times New Roman" w:cs="Times New Roman" w:eastAsia="Times New Roman" w:hAnsi="Times New Roman"/>
            <w:sz w:val="18"/>
            <w:szCs w:val="18"/>
            <w:u w:val="single" w:color="auto"/>
            <w:color w:val="0000FF"/>
          </w:rPr>
          <w:t>pursuant to 18 U.S.C. Section 1350, as adopted pursuant to</w:t>
        </w:r>
      </w:hyperlink>
      <w:r>
        <w:rPr>
          <w:rFonts w:ascii="Times New Roman" w:cs="Times New Roman" w:eastAsia="Times New Roman" w:hAnsi="Times New Roman"/>
          <w:sz w:val="18"/>
          <w:szCs w:val="18"/>
          <w:u w:val="single" w:color="auto"/>
          <w:color w:val="0000FF"/>
        </w:rPr>
        <w:t xml:space="preserve"> </w:t>
      </w:r>
      <w:hyperlink r:id="rId104">
        <w:r>
          <w:rPr>
            <w:rFonts w:ascii="Times New Roman" w:cs="Times New Roman" w:eastAsia="Times New Roman" w:hAnsi="Times New Roman"/>
            <w:sz w:val="18"/>
            <w:szCs w:val="18"/>
            <w:u w:val="single" w:color="auto"/>
            <w:color w:val="0000FF"/>
          </w:rPr>
          <w:t>Section 906 of the Sarbanes-Oxley Act of 2002</w:t>
        </w:r>
      </w:hyperlink>
    </w:p>
    <w:p>
      <w:pPr>
        <w:ind w:left="100"/>
        <w:spacing w:after="0"/>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32.2</w:t>
      </w:r>
      <w:r>
        <w:rPr>
          <w:sz w:val="20"/>
          <w:szCs w:val="20"/>
          <w:color w:val="auto"/>
        </w:rPr>
        <w:tab/>
      </w:r>
      <w:hyperlink r:id="rId105">
        <w:r>
          <w:rPr>
            <w:rFonts w:ascii="Times New Roman" w:cs="Times New Roman" w:eastAsia="Times New Roman" w:hAnsi="Times New Roman"/>
            <w:sz w:val="17"/>
            <w:szCs w:val="17"/>
            <w:u w:val="single" w:color="auto"/>
            <w:color w:val="0000FF"/>
          </w:rPr>
          <w:t>Certification of the Company’s Chief Financial Officer</w:t>
        </w:r>
      </w:hyperlink>
    </w:p>
    <w:p>
      <w:pPr>
        <w:spacing w:after="0" w:line="1" w:lineRule="exact"/>
        <w:rPr>
          <w:sz w:val="20"/>
          <w:szCs w:val="20"/>
          <w:color w:val="auto"/>
        </w:rPr>
      </w:pPr>
    </w:p>
    <w:p>
      <w:pPr>
        <w:ind w:left="940" w:right="160"/>
        <w:spacing w:after="0" w:line="226" w:lineRule="auto"/>
        <w:rPr>
          <w:rFonts w:ascii="Times New Roman" w:cs="Times New Roman" w:eastAsia="Times New Roman" w:hAnsi="Times New Roman"/>
          <w:sz w:val="18"/>
          <w:szCs w:val="18"/>
          <w:u w:val="single" w:color="auto"/>
          <w:color w:val="0000FF"/>
        </w:rPr>
      </w:pPr>
      <w:hyperlink r:id="rId105">
        <w:r>
          <w:rPr>
            <w:rFonts w:ascii="Times New Roman" w:cs="Times New Roman" w:eastAsia="Times New Roman" w:hAnsi="Times New Roman"/>
            <w:sz w:val="18"/>
            <w:szCs w:val="18"/>
            <w:u w:val="single" w:color="auto"/>
            <w:color w:val="0000FF"/>
          </w:rPr>
          <w:t>pursuant to 18 U.S.C. Section 1350, as adopted pursuant to</w:t>
        </w:r>
      </w:hyperlink>
      <w:r>
        <w:rPr>
          <w:rFonts w:ascii="Times New Roman" w:cs="Times New Roman" w:eastAsia="Times New Roman" w:hAnsi="Times New Roman"/>
          <w:sz w:val="18"/>
          <w:szCs w:val="18"/>
          <w:u w:val="single" w:color="auto"/>
          <w:color w:val="0000FF"/>
        </w:rPr>
        <w:t xml:space="preserve"> </w:t>
      </w:r>
      <w:hyperlink r:id="rId105">
        <w:r>
          <w:rPr>
            <w:rFonts w:ascii="Times New Roman" w:cs="Times New Roman" w:eastAsia="Times New Roman" w:hAnsi="Times New Roman"/>
            <w:sz w:val="18"/>
            <w:szCs w:val="18"/>
            <w:u w:val="single" w:color="auto"/>
            <w:color w:val="0000FF"/>
          </w:rPr>
          <w:t>Section 906 of the Sarbanes-Oxley Act of 2002</w:t>
        </w:r>
      </w:hyperlink>
    </w:p>
    <w:p>
      <w:pPr>
        <w:ind w:left="940" w:right="20" w:hanging="843"/>
        <w:spacing w:after="0" w:line="245"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97.1</w:t>
      </w:r>
      <w:r>
        <w:rPr>
          <w:sz w:val="20"/>
          <w:szCs w:val="20"/>
          <w:color w:val="auto"/>
        </w:rPr>
        <w:tab/>
      </w:r>
      <w:hyperlink r:id="rId106">
        <w:r>
          <w:rPr>
            <w:rFonts w:ascii="Times New Roman" w:cs="Times New Roman" w:eastAsia="Times New Roman" w:hAnsi="Times New Roman"/>
            <w:sz w:val="18"/>
            <w:szCs w:val="18"/>
            <w:u w:val="single" w:color="auto"/>
            <w:color w:val="0000FF"/>
          </w:rPr>
          <w:t>Skyworks Solutions, Inc. Executive Compensation Recovery</w:t>
        </w:r>
      </w:hyperlink>
      <w:r>
        <w:rPr>
          <w:rFonts w:ascii="Times New Roman" w:cs="Times New Roman" w:eastAsia="Times New Roman" w:hAnsi="Times New Roman"/>
          <w:sz w:val="18"/>
          <w:szCs w:val="18"/>
          <w:u w:val="single" w:color="auto"/>
          <w:color w:val="0000FF"/>
        </w:rPr>
        <w:t xml:space="preserve"> </w:t>
      </w:r>
      <w:hyperlink r:id="rId106">
        <w:r>
          <w:rPr>
            <w:rFonts w:ascii="Times New Roman" w:cs="Times New Roman" w:eastAsia="Times New Roman" w:hAnsi="Times New Roman"/>
            <w:sz w:val="18"/>
            <w:szCs w:val="18"/>
            <w:u w:val="single" w:color="auto"/>
            <w:color w:val="0000FF"/>
          </w:rPr>
          <w:t>Policy</w:t>
        </w:r>
      </w:hyperlink>
    </w:p>
    <w:p>
      <w:pPr>
        <w:spacing w:after="0" w:line="36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236220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3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3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3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001-05560</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4/22/2021</w:t>
            </w:r>
          </w:p>
        </w:tc>
      </w:tr>
      <w:tr>
        <w:trPr>
          <w:trHeight w:val="661"/>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001-05560</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5/26/2021</w:t>
            </w:r>
          </w:p>
        </w:tc>
      </w:tr>
      <w:tr>
        <w:trPr>
          <w:trHeight w:val="770"/>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001-05560</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3/10/2023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3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001-05560</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11/15/2024</w:t>
            </w:r>
          </w:p>
        </w:tc>
      </w:tr>
      <w:tr>
        <w:trPr>
          <w:trHeight w:val="230"/>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3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001-05560</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11/15/2024</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3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001-05560</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11/15/2024</w:t>
            </w:r>
          </w:p>
        </w:tc>
      </w:tr>
      <w:tr>
        <w:trPr>
          <w:trHeight w:val="770"/>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3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001-05560</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11/15/2024</w:t>
            </w:r>
          </w:p>
        </w:tc>
      </w:tr>
    </w:tbl>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63" w:lineRule="exact"/>
        <w:rPr>
          <w:sz w:val="20"/>
          <w:szCs w:val="20"/>
          <w:color w:val="auto"/>
        </w:rPr>
      </w:pPr>
    </w:p>
    <w:p>
      <w:pPr>
        <w:spacing w:after="0"/>
        <w:tabs>
          <w:tab w:leader="none" w:pos="920" w:val="left"/>
          <w:tab w:leader="none" w:pos="2300" w:val="left"/>
          <w:tab w:leader="none" w:pos="3160" w:val="left"/>
        </w:tabs>
        <w:rPr>
          <w:sz w:val="20"/>
          <w:szCs w:val="20"/>
          <w:color w:val="auto"/>
        </w:rPr>
      </w:pPr>
      <w:r>
        <w:rPr>
          <w:rFonts w:ascii="Times New Roman" w:cs="Times New Roman" w:eastAsia="Times New Roman" w:hAnsi="Times New Roman"/>
          <w:sz w:val="18"/>
          <w:szCs w:val="18"/>
          <w:color w:val="auto"/>
        </w:rPr>
        <w:t>10-K</w:t>
      </w:r>
      <w:r>
        <w:rPr>
          <w:sz w:val="20"/>
          <w:szCs w:val="20"/>
          <w:color w:val="auto"/>
        </w:rPr>
        <w:tab/>
      </w:r>
      <w:r>
        <w:rPr>
          <w:rFonts w:ascii="Times New Roman" w:cs="Times New Roman" w:eastAsia="Times New Roman" w:hAnsi="Times New Roman"/>
          <w:sz w:val="18"/>
          <w:szCs w:val="18"/>
          <w:color w:val="auto"/>
        </w:rPr>
        <w:t>001-05560</w:t>
      </w:r>
      <w:r>
        <w:rPr>
          <w:sz w:val="20"/>
          <w:szCs w:val="20"/>
          <w:color w:val="auto"/>
        </w:rPr>
        <w:tab/>
      </w: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color w:val="auto"/>
        </w:rPr>
        <w:t>11/15/2024</w:t>
      </w:r>
    </w:p>
    <w:p>
      <w:pPr>
        <w:spacing w:after="0" w:line="387" w:lineRule="exact"/>
        <w:rPr>
          <w:sz w:val="20"/>
          <w:szCs w:val="20"/>
          <w:color w:val="auto"/>
        </w:rPr>
      </w:pPr>
    </w:p>
    <w:p>
      <w:pPr>
        <w:spacing w:after="0"/>
        <w:tabs>
          <w:tab w:leader="none" w:pos="920" w:val="left"/>
          <w:tab w:leader="none" w:pos="2300" w:val="left"/>
          <w:tab w:leader="none" w:pos="3160" w:val="left"/>
        </w:tabs>
        <w:rPr>
          <w:sz w:val="20"/>
          <w:szCs w:val="20"/>
          <w:color w:val="auto"/>
        </w:rPr>
      </w:pPr>
      <w:r>
        <w:rPr>
          <w:rFonts w:ascii="Times New Roman" w:cs="Times New Roman" w:eastAsia="Times New Roman" w:hAnsi="Times New Roman"/>
          <w:sz w:val="18"/>
          <w:szCs w:val="18"/>
          <w:color w:val="auto"/>
        </w:rPr>
        <w:t>10-K</w:t>
      </w:r>
      <w:r>
        <w:rPr>
          <w:sz w:val="20"/>
          <w:szCs w:val="20"/>
          <w:color w:val="auto"/>
        </w:rPr>
        <w:tab/>
      </w:r>
      <w:r>
        <w:rPr>
          <w:rFonts w:ascii="Times New Roman" w:cs="Times New Roman" w:eastAsia="Times New Roman" w:hAnsi="Times New Roman"/>
          <w:sz w:val="18"/>
          <w:szCs w:val="18"/>
          <w:color w:val="auto"/>
        </w:rPr>
        <w:t>001-05560</w:t>
      </w:r>
      <w:r>
        <w:rPr>
          <w:sz w:val="20"/>
          <w:szCs w:val="20"/>
          <w:color w:val="auto"/>
        </w:rPr>
        <w:tab/>
      </w: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7"/>
          <w:szCs w:val="17"/>
          <w:color w:val="auto"/>
        </w:rPr>
        <w:t>11/15/2024</w:t>
      </w:r>
    </w:p>
    <w:p>
      <w:pPr>
        <w:spacing w:after="0" w:line="387" w:lineRule="exact"/>
        <w:rPr>
          <w:sz w:val="20"/>
          <w:szCs w:val="20"/>
          <w:color w:val="auto"/>
        </w:rPr>
      </w:pPr>
    </w:p>
    <w:p>
      <w:pPr>
        <w:spacing w:after="0"/>
        <w:tabs>
          <w:tab w:leader="none" w:pos="920" w:val="left"/>
          <w:tab w:leader="none" w:pos="2300" w:val="left"/>
          <w:tab w:leader="none" w:pos="3160" w:val="left"/>
        </w:tabs>
        <w:rPr>
          <w:sz w:val="20"/>
          <w:szCs w:val="20"/>
          <w:color w:val="auto"/>
        </w:rPr>
      </w:pPr>
      <w:r>
        <w:rPr>
          <w:rFonts w:ascii="Times New Roman" w:cs="Times New Roman" w:eastAsia="Times New Roman" w:hAnsi="Times New Roman"/>
          <w:sz w:val="18"/>
          <w:szCs w:val="18"/>
          <w:color w:val="auto"/>
        </w:rPr>
        <w:t>10-K</w:t>
      </w:r>
      <w:r>
        <w:rPr>
          <w:sz w:val="20"/>
          <w:szCs w:val="20"/>
          <w:color w:val="auto"/>
        </w:rPr>
        <w:tab/>
      </w:r>
      <w:r>
        <w:rPr>
          <w:rFonts w:ascii="Times New Roman" w:cs="Times New Roman" w:eastAsia="Times New Roman" w:hAnsi="Times New Roman"/>
          <w:sz w:val="18"/>
          <w:szCs w:val="18"/>
          <w:color w:val="auto"/>
        </w:rPr>
        <w:t>001-05560</w:t>
      </w:r>
      <w:r>
        <w:rPr>
          <w:sz w:val="20"/>
          <w:szCs w:val="20"/>
          <w:color w:val="auto"/>
        </w:rPr>
        <w:tab/>
      </w:r>
      <w:r>
        <w:rPr>
          <w:rFonts w:ascii="Times New Roman" w:cs="Times New Roman" w:eastAsia="Times New Roman" w:hAnsi="Times New Roman"/>
          <w:sz w:val="18"/>
          <w:szCs w:val="18"/>
          <w:color w:val="auto"/>
        </w:rPr>
        <w:t>97.1</w:t>
      </w:r>
      <w:r>
        <w:rPr>
          <w:sz w:val="20"/>
          <w:szCs w:val="20"/>
          <w:color w:val="auto"/>
        </w:rPr>
        <w:tab/>
      </w:r>
      <w:r>
        <w:rPr>
          <w:rFonts w:ascii="Times New Roman" w:cs="Times New Roman" w:eastAsia="Times New Roman" w:hAnsi="Times New Roman"/>
          <w:sz w:val="17"/>
          <w:szCs w:val="17"/>
          <w:color w:val="auto"/>
        </w:rPr>
        <w:t>11/15/2024</w:t>
      </w:r>
    </w:p>
    <w:p>
      <w:pPr>
        <w:sectPr>
          <w:pgSz w:w="11900" w:h="16838" w:orient="portrait"/>
          <w:cols w:equalWidth="0" w:num="2">
            <w:col w:w="5360" w:space="380"/>
            <w:col w:w="4700"/>
          </w:cols>
          <w:pgMar w:left="740" w:top="931" w:right="719" w:bottom="1440" w:gutter="0" w:footer="0" w:header="0"/>
        </w:sectPr>
      </w:pPr>
    </w:p>
    <w:bookmarkStart w:id="44" w:name="page45"/>
    <w:bookmarkEnd w:id="44"/>
    <w:tbl>
      <w:tblPr>
        <w:tblLayout w:type="fixed"/>
        <w:tblInd w:w="340" w:type="dxa"/>
        <w:tblCellMar>
          <w:top w:w="0" w:type="dxa"/>
          <w:left w:w="0" w:type="dxa"/>
          <w:bottom w:w="0" w:type="dxa"/>
          <w:right w:w="0" w:type="dxa"/>
        </w:tblCellMar>
      </w:tblPr>
      <w:tr>
        <w:trPr>
          <w:trHeight w:val="207"/>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101.INS</w:t>
            </w:r>
          </w:p>
        </w:tc>
        <w:tc>
          <w:tcPr>
            <w:tcW w:w="7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Instance Document - the instance document</w:t>
            </w:r>
          </w:p>
        </w:tc>
        <w:tc>
          <w:tcPr>
            <w:tcW w:w="2580" w:type="dxa"/>
            <w:vAlign w:val="bottom"/>
          </w:tcPr>
          <w:p>
            <w:pPr>
              <w:spacing w:after="0"/>
              <w:rPr>
                <w:sz w:val="17"/>
                <w:szCs w:val="17"/>
                <w:color w:val="auto"/>
              </w:rPr>
            </w:pPr>
          </w:p>
        </w:tc>
      </w:tr>
      <w:tr>
        <w:trPr>
          <w:trHeight w:val="180"/>
        </w:trPr>
        <w:tc>
          <w:tcPr>
            <w:tcW w:w="840" w:type="dxa"/>
            <w:vAlign w:val="bottom"/>
          </w:tcPr>
          <w:p>
            <w:pPr>
              <w:spacing w:after="0"/>
              <w:rPr>
                <w:sz w:val="15"/>
                <w:szCs w:val="15"/>
                <w:color w:val="auto"/>
              </w:rPr>
            </w:pPr>
          </w:p>
        </w:tc>
        <w:tc>
          <w:tcPr>
            <w:tcW w:w="710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rPr>
              <w:t>does not appear in the Interactive Data File because its XBRL</w:t>
            </w:r>
          </w:p>
        </w:tc>
        <w:tc>
          <w:tcPr>
            <w:tcW w:w="2580" w:type="dxa"/>
            <w:vAlign w:val="bottom"/>
          </w:tcPr>
          <w:p>
            <w:pPr>
              <w:spacing w:after="0"/>
              <w:rPr>
                <w:sz w:val="15"/>
                <w:szCs w:val="15"/>
                <w:color w:val="auto"/>
              </w:rPr>
            </w:pPr>
          </w:p>
        </w:tc>
      </w:tr>
      <w:tr>
        <w:trPr>
          <w:trHeight w:val="225"/>
        </w:trPr>
        <w:tc>
          <w:tcPr>
            <w:tcW w:w="840" w:type="dxa"/>
            <w:vAlign w:val="bottom"/>
          </w:tcPr>
          <w:p>
            <w:pPr>
              <w:spacing w:after="0"/>
              <w:rPr>
                <w:sz w:val="19"/>
                <w:szCs w:val="19"/>
                <w:color w:val="auto"/>
              </w:rPr>
            </w:pPr>
          </w:p>
        </w:tc>
        <w:tc>
          <w:tcPr>
            <w:tcW w:w="7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2580" w:type="dxa"/>
            <w:vAlign w:val="bottom"/>
          </w:tcPr>
          <w:p>
            <w:pPr>
              <w:spacing w:after="0"/>
              <w:rPr>
                <w:sz w:val="19"/>
                <w:szCs w:val="19"/>
                <w:color w:val="auto"/>
              </w:rPr>
            </w:pPr>
          </w:p>
        </w:tc>
      </w:tr>
      <w:tr>
        <w:trPr>
          <w:trHeight w:val="230"/>
        </w:trPr>
        <w:tc>
          <w:tcPr>
            <w:tcW w:w="8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101.SCH</w:t>
            </w:r>
          </w:p>
        </w:tc>
        <w:tc>
          <w:tcPr>
            <w:tcW w:w="7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2580" w:type="dxa"/>
            <w:vAlign w:val="bottom"/>
          </w:tcPr>
          <w:p>
            <w:pPr>
              <w:ind w:left="2440"/>
              <w:spacing w:after="0"/>
              <w:rPr>
                <w:sz w:val="20"/>
                <w:szCs w:val="20"/>
                <w:color w:val="auto"/>
              </w:rPr>
            </w:pPr>
            <w:r>
              <w:rPr>
                <w:rFonts w:ascii="Times New Roman" w:cs="Times New Roman" w:eastAsia="Times New Roman" w:hAnsi="Times New Roman"/>
                <w:sz w:val="18"/>
                <w:szCs w:val="18"/>
                <w:color w:val="auto"/>
                <w:w w:val="91"/>
              </w:rPr>
              <w:t>X</w:t>
            </w:r>
          </w:p>
        </w:tc>
      </w:tr>
      <w:tr>
        <w:trPr>
          <w:trHeight w:val="189"/>
        </w:trPr>
        <w:tc>
          <w:tcPr>
            <w:tcW w:w="84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color w:val="auto"/>
              </w:rPr>
              <w:t>101.CAL</w:t>
            </w:r>
          </w:p>
        </w:tc>
        <w:tc>
          <w:tcPr>
            <w:tcW w:w="710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2580" w:type="dxa"/>
            <w:vAlign w:val="bottom"/>
          </w:tcPr>
          <w:p>
            <w:pPr>
              <w:ind w:left="2440"/>
              <w:spacing w:after="0" w:line="189" w:lineRule="exact"/>
              <w:rPr>
                <w:sz w:val="20"/>
                <w:szCs w:val="20"/>
                <w:color w:val="auto"/>
              </w:rPr>
            </w:pPr>
            <w:r>
              <w:rPr>
                <w:rFonts w:ascii="Times New Roman" w:cs="Times New Roman" w:eastAsia="Times New Roman" w:hAnsi="Times New Roman"/>
                <w:sz w:val="18"/>
                <w:szCs w:val="18"/>
                <w:color w:val="auto"/>
                <w:w w:val="91"/>
              </w:rPr>
              <w:t>X</w:t>
            </w:r>
          </w:p>
        </w:tc>
      </w:tr>
      <w:tr>
        <w:trPr>
          <w:trHeight w:val="230"/>
        </w:trPr>
        <w:tc>
          <w:tcPr>
            <w:tcW w:w="840" w:type="dxa"/>
            <w:vAlign w:val="bottom"/>
          </w:tcPr>
          <w:p>
            <w:pPr>
              <w:spacing w:after="0"/>
              <w:rPr>
                <w:sz w:val="19"/>
                <w:szCs w:val="19"/>
                <w:color w:val="auto"/>
              </w:rPr>
            </w:pPr>
          </w:p>
        </w:tc>
        <w:tc>
          <w:tcPr>
            <w:tcW w:w="7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Document</w:t>
            </w:r>
          </w:p>
        </w:tc>
        <w:tc>
          <w:tcPr>
            <w:tcW w:w="2580" w:type="dxa"/>
            <w:vAlign w:val="bottom"/>
          </w:tcPr>
          <w:p>
            <w:pPr>
              <w:spacing w:after="0"/>
              <w:rPr>
                <w:sz w:val="19"/>
                <w:szCs w:val="19"/>
                <w:color w:val="auto"/>
              </w:rPr>
            </w:pPr>
          </w:p>
        </w:tc>
      </w:tr>
      <w:tr>
        <w:trPr>
          <w:trHeight w:val="189"/>
        </w:trPr>
        <w:tc>
          <w:tcPr>
            <w:tcW w:w="840" w:type="dxa"/>
            <w:vAlign w:val="bottom"/>
          </w:tcPr>
          <w:p>
            <w:pPr>
              <w:jc w:val="center"/>
              <w:ind w:right="90"/>
              <w:spacing w:after="0" w:line="189" w:lineRule="exact"/>
              <w:rPr>
                <w:sz w:val="20"/>
                <w:szCs w:val="20"/>
                <w:color w:val="auto"/>
              </w:rPr>
            </w:pPr>
            <w:r>
              <w:rPr>
                <w:rFonts w:ascii="Times New Roman" w:cs="Times New Roman" w:eastAsia="Times New Roman" w:hAnsi="Times New Roman"/>
                <w:sz w:val="18"/>
                <w:szCs w:val="18"/>
                <w:color w:val="auto"/>
              </w:rPr>
              <w:t>101.DEF</w:t>
            </w:r>
          </w:p>
        </w:tc>
        <w:tc>
          <w:tcPr>
            <w:tcW w:w="710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2580" w:type="dxa"/>
            <w:vAlign w:val="bottom"/>
          </w:tcPr>
          <w:p>
            <w:pPr>
              <w:ind w:left="2440"/>
              <w:spacing w:after="0" w:line="189" w:lineRule="exact"/>
              <w:rPr>
                <w:sz w:val="20"/>
                <w:szCs w:val="20"/>
                <w:color w:val="auto"/>
              </w:rPr>
            </w:pPr>
            <w:r>
              <w:rPr>
                <w:rFonts w:ascii="Times New Roman" w:cs="Times New Roman" w:eastAsia="Times New Roman" w:hAnsi="Times New Roman"/>
                <w:sz w:val="18"/>
                <w:szCs w:val="18"/>
                <w:color w:val="auto"/>
                <w:w w:val="91"/>
              </w:rPr>
              <w:t>X</w:t>
            </w:r>
          </w:p>
        </w:tc>
      </w:tr>
      <w:tr>
        <w:trPr>
          <w:trHeight w:val="230"/>
        </w:trPr>
        <w:tc>
          <w:tcPr>
            <w:tcW w:w="840" w:type="dxa"/>
            <w:vAlign w:val="bottom"/>
          </w:tcPr>
          <w:p>
            <w:pPr>
              <w:spacing w:after="0"/>
              <w:rPr>
                <w:sz w:val="19"/>
                <w:szCs w:val="19"/>
                <w:color w:val="auto"/>
              </w:rPr>
            </w:pPr>
          </w:p>
        </w:tc>
        <w:tc>
          <w:tcPr>
            <w:tcW w:w="7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Document</w:t>
            </w:r>
          </w:p>
        </w:tc>
        <w:tc>
          <w:tcPr>
            <w:tcW w:w="2580" w:type="dxa"/>
            <w:vAlign w:val="bottom"/>
          </w:tcPr>
          <w:p>
            <w:pPr>
              <w:spacing w:after="0"/>
              <w:rPr>
                <w:sz w:val="19"/>
                <w:szCs w:val="19"/>
                <w:color w:val="auto"/>
              </w:rPr>
            </w:pPr>
          </w:p>
        </w:tc>
      </w:tr>
      <w:tr>
        <w:trPr>
          <w:trHeight w:val="189"/>
        </w:trPr>
        <w:tc>
          <w:tcPr>
            <w:tcW w:w="84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color w:val="auto"/>
              </w:rPr>
              <w:t>101.LAB</w:t>
            </w:r>
          </w:p>
        </w:tc>
        <w:tc>
          <w:tcPr>
            <w:tcW w:w="710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2580" w:type="dxa"/>
            <w:vAlign w:val="bottom"/>
          </w:tcPr>
          <w:p>
            <w:pPr>
              <w:ind w:left="2440"/>
              <w:spacing w:after="0" w:line="189" w:lineRule="exact"/>
              <w:rPr>
                <w:sz w:val="20"/>
                <w:szCs w:val="20"/>
                <w:color w:val="auto"/>
              </w:rPr>
            </w:pPr>
            <w:r>
              <w:rPr>
                <w:rFonts w:ascii="Times New Roman" w:cs="Times New Roman" w:eastAsia="Times New Roman" w:hAnsi="Times New Roman"/>
                <w:sz w:val="18"/>
                <w:szCs w:val="18"/>
                <w:color w:val="auto"/>
                <w:w w:val="91"/>
              </w:rPr>
              <w:t>X</w:t>
            </w:r>
          </w:p>
        </w:tc>
      </w:tr>
      <w:tr>
        <w:trPr>
          <w:trHeight w:val="229"/>
        </w:trPr>
        <w:tc>
          <w:tcPr>
            <w:tcW w:w="840" w:type="dxa"/>
            <w:vAlign w:val="bottom"/>
          </w:tcPr>
          <w:p>
            <w:pPr>
              <w:spacing w:after="0"/>
              <w:rPr>
                <w:sz w:val="19"/>
                <w:szCs w:val="19"/>
                <w:color w:val="auto"/>
              </w:rPr>
            </w:pPr>
          </w:p>
        </w:tc>
        <w:tc>
          <w:tcPr>
            <w:tcW w:w="7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Document</w:t>
            </w:r>
          </w:p>
        </w:tc>
        <w:tc>
          <w:tcPr>
            <w:tcW w:w="2580" w:type="dxa"/>
            <w:vAlign w:val="bottom"/>
          </w:tcPr>
          <w:p>
            <w:pPr>
              <w:spacing w:after="0"/>
              <w:rPr>
                <w:sz w:val="19"/>
                <w:szCs w:val="19"/>
                <w:color w:val="auto"/>
              </w:rPr>
            </w:pPr>
          </w:p>
        </w:tc>
      </w:tr>
      <w:tr>
        <w:trPr>
          <w:trHeight w:val="189"/>
        </w:trPr>
        <w:tc>
          <w:tcPr>
            <w:tcW w:w="84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color w:val="auto"/>
                <w:w w:val="99"/>
              </w:rPr>
              <w:t>101.PRE</w:t>
            </w:r>
          </w:p>
        </w:tc>
        <w:tc>
          <w:tcPr>
            <w:tcW w:w="710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2580" w:type="dxa"/>
            <w:vAlign w:val="bottom"/>
          </w:tcPr>
          <w:p>
            <w:pPr>
              <w:ind w:left="2440"/>
              <w:spacing w:after="0" w:line="189" w:lineRule="exact"/>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40" w:type="dxa"/>
            <w:vAlign w:val="bottom"/>
          </w:tcPr>
          <w:p>
            <w:pPr>
              <w:spacing w:after="0"/>
              <w:rPr>
                <w:sz w:val="20"/>
                <w:szCs w:val="20"/>
                <w:color w:val="auto"/>
              </w:rPr>
            </w:pPr>
          </w:p>
        </w:tc>
        <w:tc>
          <w:tcPr>
            <w:tcW w:w="7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Document</w:t>
            </w:r>
          </w:p>
        </w:tc>
        <w:tc>
          <w:tcPr>
            <w:tcW w:w="2580" w:type="dxa"/>
            <w:vAlign w:val="bottom"/>
          </w:tcPr>
          <w:p>
            <w:pPr>
              <w:spacing w:after="0"/>
              <w:rPr>
                <w:sz w:val="20"/>
                <w:szCs w:val="20"/>
                <w:color w:val="auto"/>
              </w:rPr>
            </w:pPr>
          </w:p>
        </w:tc>
      </w:tr>
    </w:tbl>
    <w:p>
      <w:pPr>
        <w:ind w:left="1360" w:right="5240" w:hanging="819"/>
        <w:spacing w:after="0" w:line="229" w:lineRule="auto"/>
        <w:tabs>
          <w:tab w:leader="none" w:pos="13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32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a management contract or compensatory plan or arrangement.</w:t>
      </w:r>
    </w:p>
    <w:p>
      <w:pPr>
        <w:spacing w:after="0" w:line="27" w:lineRule="exact"/>
        <w:rPr>
          <w:sz w:val="20"/>
          <w:szCs w:val="20"/>
          <w:color w:val="auto"/>
        </w:rPr>
      </w:pPr>
    </w:p>
    <w:p>
      <w:pPr>
        <w:ind w:firstLine="8"/>
        <w:spacing w:after="0" w:line="260" w:lineRule="auto"/>
        <w:tabs>
          <w:tab w:leader="none" w:pos="12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because such information is not material and is the type of information that the Registrant treats as private or confidential.</w:t>
      </w:r>
    </w:p>
    <w:p>
      <w:pPr>
        <w:spacing w:after="0" w:line="26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913" w:right="55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248"/>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24, 2025</w:t>
            </w:r>
          </w:p>
        </w:tc>
        <w:tc>
          <w:tcPr>
            <w:tcW w:w="2260" w:type="dxa"/>
            <w:vAlign w:val="bottom"/>
          </w:tcPr>
          <w:p>
            <w:pPr>
              <w:spacing w:after="0"/>
              <w:rPr>
                <w:sz w:val="21"/>
                <w:szCs w:val="21"/>
                <w:color w:val="auto"/>
              </w:rPr>
            </w:pPr>
          </w:p>
        </w:tc>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SKYWORKS SOLUTIONS, INC.</w:t>
            </w:r>
          </w:p>
        </w:tc>
      </w:tr>
      <w:tr>
        <w:trPr>
          <w:trHeight w:val="250"/>
        </w:trPr>
        <w:tc>
          <w:tcPr>
            <w:tcW w:w="360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5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Registrant</w:t>
            </w:r>
          </w:p>
        </w:tc>
        <w:tc>
          <w:tcPr>
            <w:tcW w:w="2860" w:type="dxa"/>
            <w:vAlign w:val="bottom"/>
          </w:tcPr>
          <w:p>
            <w:pPr>
              <w:spacing w:after="0"/>
              <w:rPr>
                <w:sz w:val="21"/>
                <w:szCs w:val="21"/>
                <w:color w:val="auto"/>
              </w:rPr>
            </w:pPr>
          </w:p>
        </w:tc>
      </w:tr>
      <w:tr>
        <w:trPr>
          <w:trHeight w:val="499"/>
        </w:trPr>
        <w:tc>
          <w:tcPr>
            <w:tcW w:w="36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Liam K. Griffin</w:t>
            </w:r>
          </w:p>
        </w:tc>
      </w:tr>
      <w:tr>
        <w:trPr>
          <w:trHeight w:val="218"/>
        </w:trPr>
        <w:tc>
          <w:tcPr>
            <w:tcW w:w="36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Liam K. Griffin</w:t>
            </w:r>
          </w:p>
        </w:tc>
      </w:tr>
      <w:tr>
        <w:trPr>
          <w:trHeight w:val="229"/>
        </w:trPr>
        <w:tc>
          <w:tcPr>
            <w:tcW w:w="36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tc>
      </w:tr>
      <w:tr>
        <w:trPr>
          <w:trHeight w:val="234"/>
        </w:trPr>
        <w:tc>
          <w:tcPr>
            <w:tcW w:w="36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851"/>
        </w:trPr>
        <w:tc>
          <w:tcPr>
            <w:tcW w:w="3600" w:type="dxa"/>
            <w:vAlign w:val="bottom"/>
          </w:tcPr>
          <w:p>
            <w:pPr>
              <w:spacing w:after="0"/>
              <w:rPr>
                <w:sz w:val="24"/>
                <w:szCs w:val="24"/>
                <w:color w:val="auto"/>
              </w:rPr>
            </w:pPr>
          </w:p>
        </w:tc>
        <w:tc>
          <w:tcPr>
            <w:tcW w:w="2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46</w:t>
            </w:r>
          </w:p>
        </w:tc>
        <w:tc>
          <w:tcPr>
            <w:tcW w:w="4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860" w:type="dxa"/>
            <w:vAlign w:val="bottom"/>
          </w:tcPr>
          <w:p>
            <w:pPr>
              <w:spacing w:after="0"/>
              <w:rPr>
                <w:sz w:val="24"/>
                <w:szCs w:val="24"/>
                <w:color w:val="auto"/>
              </w:rPr>
            </w:pPr>
          </w:p>
        </w:tc>
      </w:tr>
    </w:tbl>
    <w:p>
      <w:pPr>
        <w:sectPr>
          <w:pgSz w:w="11900" w:h="16838" w:orient="portrait"/>
          <w:cols w:equalWidth="0" w:num="1">
            <w:col w:w="11240"/>
          </w:cols>
          <w:pgMar w:left="320" w:top="887" w:right="339"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2917190</wp:posOffset>
            </wp:positionH>
            <wp:positionV relativeFrom="page">
              <wp:posOffset>88900</wp:posOffset>
            </wp:positionV>
            <wp:extent cx="1722755" cy="5657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1722755" cy="565785"/>
                    </a:xfrm>
                    <a:prstGeom prst="rect">
                      <a:avLst/>
                    </a:prstGeom>
                    <a:noFill/>
                  </pic:spPr>
                </pic:pic>
              </a:graphicData>
            </a:graphic>
          </wp:anchor>
        </w:drawing>
      </w:r>
    </w:p>
    <w:p>
      <w:pPr>
        <w:spacing w:after="0" w:line="2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10.13</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May 10,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Kris Sennesael</w:t>
      </w:r>
    </w:p>
    <w:p>
      <w:pPr>
        <w:spacing w:after="0" w:line="24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Re:</w:t>
      </w:r>
      <w:r>
        <w:rPr>
          <w:sz w:val="20"/>
          <w:szCs w:val="20"/>
          <w:color w:val="auto"/>
        </w:rPr>
        <w:tab/>
      </w:r>
      <w:r>
        <w:rPr>
          <w:rFonts w:ascii="Times New Roman" w:cs="Times New Roman" w:eastAsia="Times New Roman" w:hAnsi="Times New Roman"/>
          <w:sz w:val="19"/>
          <w:szCs w:val="19"/>
          <w:color w:val="auto"/>
        </w:rPr>
        <w:t>Amended and Restated Change in Control / Severance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Kris: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letter agreement (the “Agreement”) sets out the severance arrangements concerning your employment with Skyworks Solutions,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(“Skyworks”).</w:t>
      </w:r>
    </w:p>
    <w:p>
      <w:pPr>
        <w:spacing w:after="0" w:line="196" w:lineRule="exact"/>
        <w:rPr>
          <w:sz w:val="20"/>
          <w:szCs w:val="20"/>
          <w:color w:val="auto"/>
        </w:rPr>
      </w:pPr>
    </w:p>
    <w:p>
      <w:pPr>
        <w:ind w:left="660" w:hanging="652"/>
        <w:spacing w:after="0"/>
        <w:tabs>
          <w:tab w:leader="none" w:pos="66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Termination of Employment Related to Change in Control</w:t>
      </w:r>
    </w:p>
    <w:p>
      <w:pPr>
        <w:spacing w:after="0" w:line="179"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9"/>
          <w:szCs w:val="19"/>
          <w:color w:val="auto"/>
        </w:rPr>
        <w:t>1.1. If: (a) a Change in Control occurs during the Initial Term or the Additional Term (as defined in Section 9) and (b) your employment with Skyworks is terminated by Skyworks without Cause or you terminate your employment with Skyworks for Good Reason, in either case</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within the period of time commencing three (3) months prior to and ending two (2) years following the Change in Control, then you will receive the benefits provided in Section 1.2 and Section 2 below.</w:t>
      </w:r>
    </w:p>
    <w:p>
      <w:pPr>
        <w:spacing w:after="0" w:line="16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0"/>
          <w:szCs w:val="20"/>
          <w:color w:val="auto"/>
        </w:rPr>
        <w:t>1.2. Subject to the provisions of Sections 3.3, 8 and 12, (a) as soon as practicable (but not more than sixty (60) days) after the date of any termination of your employment described in Section 1.1 (or such later date as may be required by this Section 1.2 or by Section 12.2),</w:t>
      </w:r>
    </w:p>
    <w:p>
      <w:pPr>
        <w:spacing w:after="0" w:line="224" w:lineRule="auto"/>
        <w:rPr>
          <w:sz w:val="20"/>
          <w:szCs w:val="20"/>
          <w:color w:val="auto"/>
        </w:rPr>
      </w:pPr>
      <w:r>
        <w:rPr>
          <w:rFonts w:ascii="Times New Roman" w:cs="Times New Roman" w:eastAsia="Times New Roman" w:hAnsi="Times New Roman"/>
          <w:sz w:val="19"/>
          <w:szCs w:val="19"/>
          <w:color w:val="auto"/>
        </w:rPr>
        <w:t>Skyworks shall pay you a lump sum equal to one and one-half (1.5) times the sum of (i) your rate of annual base salary in effect immediately</w:t>
      </w:r>
    </w:p>
    <w:p>
      <w:pPr>
        <w:spacing w:after="0" w:line="215" w:lineRule="auto"/>
        <w:rPr>
          <w:sz w:val="20"/>
          <w:szCs w:val="20"/>
          <w:color w:val="auto"/>
        </w:rPr>
      </w:pPr>
      <w:r>
        <w:rPr>
          <w:rFonts w:ascii="Times New Roman" w:cs="Times New Roman" w:eastAsia="Times New Roman" w:hAnsi="Times New Roman"/>
          <w:sz w:val="19"/>
          <w:szCs w:val="19"/>
          <w:color w:val="auto"/>
        </w:rPr>
        <w:t>prior to the Change in Control, and (ii) the greater of (A) the average of the annual short-term cash incentive payments you received for each of the three years prior to the year in which the Change in Control occurs, or (B) your target annual short-term cash incentive opportunity for</w:t>
      </w:r>
    </w:p>
    <w:p>
      <w:pPr>
        <w:spacing w:after="0" w:line="211" w:lineRule="auto"/>
        <w:rPr>
          <w:sz w:val="20"/>
          <w:szCs w:val="20"/>
          <w:color w:val="auto"/>
        </w:rPr>
      </w:pPr>
      <w:r>
        <w:rPr>
          <w:rFonts w:ascii="Times New Roman" w:cs="Times New Roman" w:eastAsia="Times New Roman" w:hAnsi="Times New Roman"/>
          <w:sz w:val="20"/>
          <w:szCs w:val="20"/>
          <w:color w:val="auto"/>
        </w:rPr>
        <w:t>the year in which the Change in Control occurs (without regard to the relative achievement of any performance milestones which would</w:t>
      </w:r>
    </w:p>
    <w:p>
      <w:pPr>
        <w:jc w:val="both"/>
        <w:spacing w:after="0" w:line="204" w:lineRule="auto"/>
        <w:rPr>
          <w:sz w:val="20"/>
          <w:szCs w:val="20"/>
          <w:color w:val="auto"/>
        </w:rPr>
      </w:pPr>
      <w:r>
        <w:rPr>
          <w:rFonts w:ascii="Times New Roman" w:cs="Times New Roman" w:eastAsia="Times New Roman" w:hAnsi="Times New Roman"/>
          <w:sz w:val="20"/>
          <w:szCs w:val="20"/>
          <w:color w:val="auto"/>
        </w:rPr>
        <w:t>otherwise impact payment of the short-term cash incentive); (b) on the date of any termination described in Section 1.1, all of your then-outstanding Skyworks stock options shall remain exercisable for a period of eighteen (18) months after the termination date (or, if earlier,</w:t>
      </w:r>
    </w:p>
    <w:p>
      <w:pPr>
        <w:spacing w:after="0" w:line="223" w:lineRule="auto"/>
        <w:rPr>
          <w:sz w:val="20"/>
          <w:szCs w:val="20"/>
          <w:color w:val="auto"/>
        </w:rPr>
      </w:pPr>
      <w:r>
        <w:rPr>
          <w:rFonts w:ascii="Times New Roman" w:cs="Times New Roman" w:eastAsia="Times New Roman" w:hAnsi="Times New Roman"/>
          <w:sz w:val="19"/>
          <w:szCs w:val="19"/>
          <w:color w:val="auto"/>
        </w:rPr>
        <w:t>until the last day of the full option term), subject to their other terms and conditions; and (c) Skyworks shall make contributions to the cost of</w:t>
      </w:r>
    </w:p>
    <w:p>
      <w:pPr>
        <w:spacing w:after="0" w:line="204" w:lineRule="auto"/>
        <w:rPr>
          <w:sz w:val="20"/>
          <w:szCs w:val="20"/>
          <w:color w:val="auto"/>
        </w:rPr>
      </w:pPr>
      <w:r>
        <w:rPr>
          <w:rFonts w:ascii="Times New Roman" w:cs="Times New Roman" w:eastAsia="Times New Roman" w:hAnsi="Times New Roman"/>
          <w:sz w:val="20"/>
          <w:szCs w:val="20"/>
          <w:color w:val="auto"/>
        </w:rPr>
        <w:t>COBRA (Consolidated Omnibus Budget Reconciliation Act) coverage on your behalf (and on behalf of any applicable dependents) for a period of eighteen (18) months after your termination if you elect COBRA coverage, and only for so long as such coverage continues in</w:t>
      </w:r>
    </w:p>
    <w:p>
      <w:pPr>
        <w:spacing w:after="0" w:line="211" w:lineRule="auto"/>
        <w:rPr>
          <w:sz w:val="20"/>
          <w:szCs w:val="20"/>
          <w:color w:val="auto"/>
        </w:rPr>
      </w:pPr>
      <w:r>
        <w:rPr>
          <w:rFonts w:ascii="Times New Roman" w:cs="Times New Roman" w:eastAsia="Times New Roman" w:hAnsi="Times New Roman"/>
          <w:sz w:val="20"/>
          <w:szCs w:val="20"/>
          <w:color w:val="auto"/>
        </w:rPr>
        <w:t>force; provided, however, that if you commence new employment and are eligible for a new group health plan in connection with such</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employment, Skyworks’ contributions toward COBRA coverage shall end when the new employment begins. The contribution to the cost of COBRA coverage to be made by Skyworks shall be determined on the same basis as Skyworks’ contribution to Skyworks-provided medical,</w:t>
      </w:r>
    </w:p>
    <w:p>
      <w:pPr>
        <w:spacing w:after="0" w:line="211" w:lineRule="auto"/>
        <w:rPr>
          <w:sz w:val="20"/>
          <w:szCs w:val="20"/>
          <w:color w:val="auto"/>
        </w:rPr>
      </w:pPr>
      <w:r>
        <w:rPr>
          <w:rFonts w:ascii="Times New Roman" w:cs="Times New Roman" w:eastAsia="Times New Roman" w:hAnsi="Times New Roman"/>
          <w:sz w:val="20"/>
          <w:szCs w:val="20"/>
          <w:color w:val="auto"/>
        </w:rPr>
        <w:t>dental, and vision insurance coverage in effect immediately before your termination of your employment for an active employee with the</w:t>
      </w:r>
    </w:p>
    <w:p>
      <w:pPr>
        <w:spacing w:after="0" w:line="204" w:lineRule="auto"/>
        <w:rPr>
          <w:sz w:val="20"/>
          <w:szCs w:val="20"/>
          <w:color w:val="auto"/>
        </w:rPr>
      </w:pPr>
      <w:r>
        <w:rPr>
          <w:rFonts w:ascii="Times New Roman" w:cs="Times New Roman" w:eastAsia="Times New Roman" w:hAnsi="Times New Roman"/>
          <w:sz w:val="20"/>
          <w:szCs w:val="20"/>
          <w:color w:val="auto"/>
        </w:rPr>
        <w:t>same coverage elections. Notwithstanding the foregoing, in the event that Skyworks’ provision of such COBRA payments will violate the nondiscrimination requirements of applicable law, Skyworks will not provide contributions to the cost of COBRA and this benefit shall not</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apply. Notwithstanding anything in this agreement to the contrary, in the event that your employment is terminated prior to the Change in Control, no payments shall be made under this Section 1.2 until after the effective date of the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Skyworks Solutions, Inc. </w:t>
      </w:r>
      <w:r>
        <w:rPr>
          <w:rFonts w:ascii="Arial" w:cs="Arial" w:eastAsia="Arial" w:hAnsi="Arial"/>
          <w:sz w:val="16"/>
          <w:szCs w:val="16"/>
          <w:color w:val="808080"/>
        </w:rPr>
        <w:t>●</w:t>
      </w:r>
      <w:r>
        <w:rPr>
          <w:rFonts w:ascii="Arial" w:cs="Arial" w:eastAsia="Arial" w:hAnsi="Arial"/>
          <w:sz w:val="16"/>
          <w:szCs w:val="16"/>
          <w:color w:val="auto"/>
        </w:rPr>
        <w:t xml:space="preserve"> 5260 California Avenue, Irvine, CA 92617</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949.231.3000 </w:t>
      </w:r>
      <w:r>
        <w:rPr>
          <w:rFonts w:ascii="Arial" w:cs="Arial" w:eastAsia="Arial" w:hAnsi="Arial"/>
          <w:sz w:val="16"/>
          <w:szCs w:val="16"/>
          <w:color w:val="808080"/>
        </w:rPr>
        <w:t>●</w:t>
      </w:r>
      <w:r>
        <w:rPr>
          <w:rFonts w:ascii="Arial" w:cs="Arial" w:eastAsia="Arial" w:hAnsi="Arial"/>
          <w:sz w:val="16"/>
          <w:szCs w:val="16"/>
          <w:color w:val="auto"/>
        </w:rPr>
        <w:t xml:space="preserve"> www.skyworksinc.com</w:t>
      </w:r>
    </w:p>
    <w:p>
      <w:pPr>
        <w:sectPr>
          <w:pgSz w:w="11900" w:h="16838" w:orient="portrait"/>
          <w:cols w:equalWidth="0" w:num="1">
            <w:col w:w="11240"/>
          </w:cols>
          <w:pgMar w:left="320" w:top="1440" w:right="339" w:bottom="1440" w:gutter="0" w:footer="0" w:header="0"/>
        </w:sectPr>
      </w:pPr>
    </w:p>
    <w:bookmarkStart w:id="47" w:name="page48"/>
    <w:bookmarkEnd w:id="47"/>
    <w:p>
      <w:pPr>
        <w:spacing w:after="0" w:line="200" w:lineRule="exact"/>
        <w:rPr>
          <w:sz w:val="20"/>
          <w:szCs w:val="20"/>
          <w:color w:val="auto"/>
        </w:rPr>
      </w:pPr>
    </w:p>
    <w:p>
      <w:pPr>
        <w:spacing w:after="0" w:line="242" w:lineRule="exact"/>
        <w:rPr>
          <w:sz w:val="20"/>
          <w:szCs w:val="20"/>
          <w:color w:val="auto"/>
        </w:rPr>
      </w:pPr>
    </w:p>
    <w:p>
      <w:pPr>
        <w:ind w:left="660" w:hanging="652"/>
        <w:spacing w:after="0"/>
        <w:tabs>
          <w:tab w:leader="none" w:pos="66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Effect of Change in Control on Equity Awards</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color w:val="auto"/>
        </w:rPr>
        <w:t>For purposes of this Section 2, “Equity Acceleration Date” means:</w:t>
      </w:r>
    </w:p>
    <w:p>
      <w:pPr>
        <w:spacing w:after="0" w:line="189" w:lineRule="exact"/>
        <w:rPr>
          <w:sz w:val="20"/>
          <w:szCs w:val="20"/>
          <w:color w:val="auto"/>
        </w:rPr>
      </w:pPr>
    </w:p>
    <w:p>
      <w:pPr>
        <w:jc w:val="both"/>
        <w:ind w:left="660" w:hanging="4"/>
        <w:spacing w:after="0" w:line="226" w:lineRule="auto"/>
        <w:tabs>
          <w:tab w:leader="none" w:pos="1298"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effective date of the Change in Control, in the event that you experience a termination of employment described in Section 1.1 that is within the period of time commencing three (3) months prior to the Change in Control and ending on the effective date of the Change in Control; or</w:t>
      </w:r>
    </w:p>
    <w:p>
      <w:pPr>
        <w:spacing w:after="0" w:line="160" w:lineRule="exact"/>
        <w:rPr>
          <w:rFonts w:ascii="Times New Roman" w:cs="Times New Roman" w:eastAsia="Times New Roman" w:hAnsi="Times New Roman"/>
          <w:sz w:val="20"/>
          <w:szCs w:val="20"/>
          <w:color w:val="auto"/>
        </w:rPr>
      </w:pPr>
    </w:p>
    <w:p>
      <w:pPr>
        <w:jc w:val="both"/>
        <w:ind w:left="660" w:hanging="4"/>
        <w:spacing w:after="0" w:line="215" w:lineRule="auto"/>
        <w:tabs>
          <w:tab w:leader="none" w:pos="1296"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effective date of your termination of employment, in the event that you experience a termination of employment described in Section 1.1 that is within the period of time commencing on the effective date of the Change in Control and ending two</w:t>
      </w:r>
    </w:p>
    <w:p>
      <w:pPr>
        <w:spacing w:after="0" w:line="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 years following the Change in Control.</w:t>
      </w:r>
    </w:p>
    <w:p>
      <w:pPr>
        <w:spacing w:after="0" w:line="167"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2.2. In the event that you experience a termination of employment without Cause or for Good Reason, as described in Section 1.1, that is within the period of time commencing three (3) months prior to the Change in Control and ending on the effective date of the Change in</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Control, then on the date of your termination, each outstanding and unvested equity award held by you as of the day prior to the date of your termination of employment shall:</w:t>
      </w:r>
    </w:p>
    <w:p>
      <w:pPr>
        <w:spacing w:after="0" w:line="149" w:lineRule="exact"/>
        <w:rPr>
          <w:sz w:val="20"/>
          <w:szCs w:val="20"/>
          <w:color w:val="auto"/>
        </w:rPr>
      </w:pPr>
    </w:p>
    <w:p>
      <w:pPr>
        <w:jc w:val="both"/>
        <w:ind w:left="660" w:hanging="4"/>
        <w:spacing w:after="0" w:line="230" w:lineRule="auto"/>
        <w:tabs>
          <w:tab w:leader="none" w:pos="1298"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remain outstanding for the period of three months following your termination of employment with any vesting of such award being suspended until it is determined whether there is a Change in Control during the three (3) month period following your termination of employment;</w:t>
      </w:r>
    </w:p>
    <w:p>
      <w:pPr>
        <w:spacing w:after="0" w:line="148" w:lineRule="exact"/>
        <w:rPr>
          <w:rFonts w:ascii="Times New Roman" w:cs="Times New Roman" w:eastAsia="Times New Roman" w:hAnsi="Times New Roman"/>
          <w:sz w:val="20"/>
          <w:szCs w:val="20"/>
          <w:color w:val="auto"/>
        </w:rPr>
      </w:pPr>
    </w:p>
    <w:p>
      <w:pPr>
        <w:jc w:val="both"/>
        <w:ind w:left="660" w:hanging="4"/>
        <w:spacing w:after="0" w:line="220" w:lineRule="auto"/>
        <w:tabs>
          <w:tab w:leader="none" w:pos="1296"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Change in Control occurs within the three (3) month period following your termination of employment, be treated as if you had remained employed by Skyworks through the effective date of the Change in Control and notwithstanding any vesting schedule, forfeiture provisions, or anything else to the contrary in the respective award agreement or plan document governing such award, subject to the same terms and conditions as in effect immediately prior to your termination of employment and subject to any applicable provisions of this Section 2; and</w:t>
      </w:r>
    </w:p>
    <w:p>
      <w:pPr>
        <w:spacing w:after="0" w:line="160" w:lineRule="exact"/>
        <w:rPr>
          <w:rFonts w:ascii="Times New Roman" w:cs="Times New Roman" w:eastAsia="Times New Roman" w:hAnsi="Times New Roman"/>
          <w:sz w:val="20"/>
          <w:szCs w:val="20"/>
          <w:color w:val="auto"/>
        </w:rPr>
      </w:pPr>
    </w:p>
    <w:p>
      <w:pPr>
        <w:ind w:left="660" w:hanging="4"/>
        <w:spacing w:after="0" w:line="233" w:lineRule="auto"/>
        <w:tabs>
          <w:tab w:leader="none" w:pos="1298"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no Change in Control occurs within the three (3) month period following your termination of employment, terminate and be of no further force or effect except as otherwise provided in this Agreement.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2.3. If a Change in Control occurs during the Initial Term or the Additional Term, then the following provisions shall apply to your then-outstanding equity awards (including any equity awards that remain outstanding as of the Change in Control pursuant to Section 2.2):</w:t>
      </w:r>
    </w:p>
    <w:p>
      <w:pPr>
        <w:spacing w:after="0" w:line="148" w:lineRule="exact"/>
        <w:rPr>
          <w:sz w:val="20"/>
          <w:szCs w:val="20"/>
          <w:color w:val="auto"/>
        </w:rPr>
      </w:pPr>
    </w:p>
    <w:p>
      <w:pPr>
        <w:jc w:val="both"/>
        <w:ind w:left="660" w:hanging="4"/>
        <w:spacing w:after="0" w:line="212" w:lineRule="auto"/>
        <w:tabs>
          <w:tab w:leader="none" w:pos="1298"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you hold a performance-based equity award that vests based upon the achievement of performance metrics and upon providing continued service to Skyworks, and the Change in Control occurs prior to the “measurement date” (i.e. the last day of the applicable performance period) for such award, then upon the effective date of the Change in Control such award shall be earned as to the greater of (i) the “Target” level of shares for such award, or (ii) the number of shares that would have been earned pursuant to the terms of such award based upon performance up through and including the day prior to the date of the Change in Control; provided, however, that if the Compensation Committee of the Board of Directors of Skyworks (the “</w:t>
      </w:r>
      <w:r>
        <w:rPr>
          <w:rFonts w:ascii="Times New Roman" w:cs="Times New Roman" w:eastAsia="Times New Roman" w:hAnsi="Times New Roman"/>
          <w:sz w:val="20"/>
          <w:szCs w:val="20"/>
          <w:u w:val="single" w:color="auto"/>
          <w:color w:val="auto"/>
        </w:rPr>
        <w:t>Compensation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Committee</w:t>
      </w:r>
      <w:r>
        <w:rPr>
          <w:rFonts w:ascii="Times New Roman" w:cs="Times New Roman" w:eastAsia="Times New Roman" w:hAnsi="Times New Roman"/>
          <w:sz w:val="20"/>
          <w:szCs w:val="20"/>
          <w:color w:val="auto"/>
        </w:rPr>
        <w:t>”) determines in its sole discretion that it is impracticable to calculate the number of shares that would have been earned under subsection (ii) above with respect to one or more of the applicable performance metrics of the award, then such award shall be earned as to the “Target” level of shares covered by such performance metric(s). For the avoidance of doubt, any deemed satisfaction of performance goals as described in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48" w:name="page49"/>
    <w:bookmarkEnd w:id="48"/>
    <w:p>
      <w:pPr>
        <w:spacing w:after="0" w:line="200" w:lineRule="exact"/>
        <w:rPr>
          <w:sz w:val="20"/>
          <w:szCs w:val="20"/>
          <w:color w:val="auto"/>
        </w:rPr>
      </w:pPr>
    </w:p>
    <w:p>
      <w:pPr>
        <w:spacing w:after="0" w:line="246" w:lineRule="exact"/>
        <w:rPr>
          <w:sz w:val="20"/>
          <w:szCs w:val="20"/>
          <w:color w:val="auto"/>
        </w:rPr>
      </w:pPr>
    </w:p>
    <w:p>
      <w:pPr>
        <w:ind w:left="660"/>
        <w:spacing w:after="0" w:line="233" w:lineRule="auto"/>
        <w:rPr>
          <w:sz w:val="20"/>
          <w:szCs w:val="20"/>
          <w:color w:val="auto"/>
        </w:rPr>
      </w:pPr>
      <w:r>
        <w:rPr>
          <w:rFonts w:ascii="Times New Roman" w:cs="Times New Roman" w:eastAsia="Times New Roman" w:hAnsi="Times New Roman"/>
          <w:sz w:val="20"/>
          <w:szCs w:val="20"/>
          <w:color w:val="auto"/>
        </w:rPr>
        <w:t>Section 2.3(a) shall occur prior to the assumption, substitution, or accelerated vesting of such award as provided in this Section 2.3 or in Section 2.4.</w:t>
      </w:r>
    </w:p>
    <w:p>
      <w:pPr>
        <w:spacing w:after="0" w:line="161" w:lineRule="exact"/>
        <w:rPr>
          <w:sz w:val="20"/>
          <w:szCs w:val="20"/>
          <w:color w:val="auto"/>
        </w:rPr>
      </w:pPr>
    </w:p>
    <w:p>
      <w:pPr>
        <w:jc w:val="both"/>
        <w:ind w:left="660" w:hanging="4"/>
        <w:spacing w:after="0" w:line="213" w:lineRule="auto"/>
        <w:tabs>
          <w:tab w:leader="none" w:pos="1296"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successor or surviving company in the Change in Control does not agree to assume, or substitute for, an equity award (or in which Skyworks is the ultimate parent corporation and does not agree to continue the equity award) on substantially similar terms with substantially equivalent economic benefits (which benefits shall include, for the avoidance of doubt, the liquidity of the securities underlying the assumed or substituted award following the Change in Control) as exist for such award immediately prior to the Change in Control, as determined in the sole discretion of the Compensation Committee, then such equity award shall, immediately prior to the Change in Control, automatically become vested, exercisable, and issuable, and any forfeiture restrictions thereon shall immediately lapse, as applicable, in each case, with respect to one-hundred percent (100%) of that number of then-unvested shares underlying such equity award, after giving effect to any deemed satisfaction of performance goals as described in Section 2.3(a).</w:t>
      </w:r>
    </w:p>
    <w:p>
      <w:pPr>
        <w:spacing w:after="0" w:line="161" w:lineRule="exact"/>
        <w:rPr>
          <w:rFonts w:ascii="Times New Roman" w:cs="Times New Roman" w:eastAsia="Times New Roman" w:hAnsi="Times New Roman"/>
          <w:sz w:val="20"/>
          <w:szCs w:val="20"/>
          <w:color w:val="auto"/>
        </w:rPr>
      </w:pPr>
    </w:p>
    <w:p>
      <w:pPr>
        <w:jc w:val="both"/>
        <w:ind w:left="660" w:hanging="4"/>
        <w:spacing w:after="0" w:line="213" w:lineRule="auto"/>
        <w:tabs>
          <w:tab w:leader="none" w:pos="1298"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successor or surviving company in the Change in Control agrees to assume, or substitute for, an outstanding equity award (or in which Skyworks is the ultimate parent corporation and agrees to continue the equity award) on substantially similar terms with substantially equivalent economic benefits (which benefits shall include, for the avoidance of doubt, the liquidity of the securities underlying the assumed or substituted award following the Change in Control) as exist for such award immediately prior to the Change in Control (but after giving effect to any deemed satisfaction of performance goals as described in Section 2.3(a)), as determined in the sole discretion of the Compensation Committee, then for the avoidance of doubt, such equity award shall continue to be subject to the same time-based vesting schedule to which the award was subject immediately prior to the Change in Control.</w:t>
      </w:r>
    </w:p>
    <w:p>
      <w:pPr>
        <w:spacing w:after="0" w:line="15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2.4.</w:t>
      </w:r>
      <w:r>
        <w:rPr>
          <w:sz w:val="20"/>
          <w:szCs w:val="20"/>
          <w:color w:val="auto"/>
        </w:rPr>
        <w:tab/>
      </w:r>
      <w:r>
        <w:rPr>
          <w:rFonts w:ascii="Times New Roman" w:cs="Times New Roman" w:eastAsia="Times New Roman" w:hAnsi="Times New Roman"/>
          <w:sz w:val="20"/>
          <w:szCs w:val="20"/>
          <w:color w:val="auto"/>
        </w:rPr>
        <w:t>Subject to the provisions of Sections 3.3, 8 and 12, each outstanding and unvested equity award held by you on the Equity</w:t>
      </w:r>
    </w:p>
    <w:p>
      <w:pPr>
        <w:spacing w:after="0" w:line="204" w:lineRule="auto"/>
        <w:rPr>
          <w:sz w:val="20"/>
          <w:szCs w:val="20"/>
          <w:color w:val="auto"/>
        </w:rPr>
      </w:pPr>
      <w:r>
        <w:rPr>
          <w:rFonts w:ascii="Times New Roman" w:cs="Times New Roman" w:eastAsia="Times New Roman" w:hAnsi="Times New Roman"/>
          <w:sz w:val="20"/>
          <w:szCs w:val="20"/>
          <w:color w:val="auto"/>
        </w:rPr>
        <w:t>Acceleration Date that, pursuant to its terms and after giving effect to any deemed satisfaction of performance goals as described in Section 2.3(a) and any deemed continued employment through the effective date of the Change in Control as described in Section 2.2, vests</w:t>
      </w:r>
    </w:p>
    <w:p>
      <w:pPr>
        <w:spacing w:after="0" w:line="211" w:lineRule="auto"/>
        <w:rPr>
          <w:sz w:val="20"/>
          <w:szCs w:val="20"/>
          <w:color w:val="auto"/>
        </w:rPr>
      </w:pPr>
      <w:r>
        <w:rPr>
          <w:rFonts w:ascii="Times New Roman" w:cs="Times New Roman" w:eastAsia="Times New Roman" w:hAnsi="Times New Roman"/>
          <w:sz w:val="20"/>
          <w:szCs w:val="20"/>
          <w:color w:val="auto"/>
        </w:rPr>
        <w:t>solely based upon providing continued service to Skyworks (or, if applicable, a successor corporation to Skyworks), including, without</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limitation, stock options, restricted stock awards (including restricted stock unit awards), and performance-based equity awards that are earned but unissued, shall on the Equity Acceleration Date automatically become vested, exercisable, and issuable, and any forfeiture</w:t>
      </w:r>
    </w:p>
    <w:p>
      <w:pPr>
        <w:spacing w:after="0" w:line="211" w:lineRule="auto"/>
        <w:rPr>
          <w:sz w:val="20"/>
          <w:szCs w:val="20"/>
          <w:color w:val="auto"/>
        </w:rPr>
      </w:pPr>
      <w:r>
        <w:rPr>
          <w:rFonts w:ascii="Times New Roman" w:cs="Times New Roman" w:eastAsia="Times New Roman" w:hAnsi="Times New Roman"/>
          <w:sz w:val="20"/>
          <w:szCs w:val="20"/>
          <w:color w:val="auto"/>
        </w:rPr>
        <w:t>restrictions thereon shall immediately lapse, as applicable, in each case, with respect to one-hundred percent (100%) of that number of then-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unvested shares underlying such equity award. For the avoidance of doubt, the reference in this Section 2.4 to “performance-based equity awards that are earned but unissued” shall include any awards (i) for which the measurement date occurs on or prior to the effective date of</w:t>
      </w:r>
    </w:p>
    <w:p>
      <w:pPr>
        <w:spacing w:after="0" w:line="211" w:lineRule="auto"/>
        <w:rPr>
          <w:sz w:val="20"/>
          <w:szCs w:val="20"/>
          <w:color w:val="auto"/>
        </w:rPr>
      </w:pPr>
      <w:r>
        <w:rPr>
          <w:rFonts w:ascii="Times New Roman" w:cs="Times New Roman" w:eastAsia="Times New Roman" w:hAnsi="Times New Roman"/>
          <w:sz w:val="20"/>
          <w:szCs w:val="20"/>
          <w:color w:val="auto"/>
        </w:rPr>
        <w:t>the Change in Control, and (ii) for which the Change in Control occurs prior to the measurement date and which are upon the Change in</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Control converted into, or substituted by, awards vesting solely based upon providing continued service to Skyworks or its successor, pursuant to Section 2.3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2.5. Subject to Section 12.4, any shares that are issued pursuant to Section 2.3(b) or Section 2.4 shall be issued to you on, or as soon as practicable (but not more than sixty (60) days) after, the Equity Acceleration Date (or such later date as may be required by Section 12.2).</w:t>
      </w:r>
    </w:p>
    <w:p>
      <w:pPr>
        <w:spacing w:after="0" w:line="144" w:lineRule="exact"/>
        <w:rPr>
          <w:sz w:val="20"/>
          <w:szCs w:val="20"/>
          <w:color w:val="auto"/>
        </w:rPr>
      </w:pPr>
    </w:p>
    <w:p>
      <w:pPr>
        <w:ind w:left="660" w:hanging="652"/>
        <w:spacing w:after="0"/>
        <w:tabs>
          <w:tab w:leader="none" w:pos="66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Termination of Employment Unrelated to Change in Control</w:t>
      </w:r>
    </w:p>
    <w:p>
      <w:pPr>
        <w:spacing w:after="0" w:line="19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9"/>
          <w:szCs w:val="19"/>
          <w:color w:val="auto"/>
        </w:rPr>
        <w:t>3.1. If, during the Initial Term or the Additional Term (as defined in Section 9), your employment with Skyworks is terminated by Skyworks without Cause more than three (3) months prior to a Change in Control or more than two (2) years following a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49" w:name="page50"/>
    <w:bookmarkEnd w:id="49"/>
    <w:p>
      <w:pPr>
        <w:spacing w:after="0" w:line="200" w:lineRule="exact"/>
        <w:rPr>
          <w:sz w:val="20"/>
          <w:szCs w:val="20"/>
          <w:color w:val="auto"/>
        </w:rPr>
      </w:pPr>
    </w:p>
    <w:p>
      <w:pPr>
        <w:spacing w:after="0" w:line="24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then you will receive the benefits specified in Section 3.2 below. For the avoidance of doubt, if at any time your employment is terminated by Skyworks for Cause or by you for any reason, you will not be entitled to receive the benefits specified in Section 3.2 below (or, for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avoidance of doubt, in Sections 1.2 or 2 above).</w:t>
      </w:r>
    </w:p>
    <w:p>
      <w:pPr>
        <w:spacing w:after="0" w:line="153"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20"/>
          <w:szCs w:val="20"/>
          <w:color w:val="auto"/>
        </w:rPr>
        <w:t>3.2. Subject to the provisions of Sections 3.3, 8 and 12, (a) in the event of any termination of your employment described in Section 3.1, Skyworks shall provide to you biweekly compensation continuation payments commencing as soon as practicable (but not more than sixty</w:t>
      </w:r>
    </w:p>
    <w:p>
      <w:pPr>
        <w:spacing w:after="0" w:line="2" w:lineRule="exact"/>
        <w:rPr>
          <w:sz w:val="20"/>
          <w:szCs w:val="20"/>
          <w:color w:val="auto"/>
        </w:rPr>
      </w:pPr>
    </w:p>
    <w:p>
      <w:pPr>
        <w:jc w:val="both"/>
        <w:ind w:firstLine="8"/>
        <w:spacing w:after="0" w:line="208" w:lineRule="auto"/>
        <w:tabs>
          <w:tab w:leader="none" w:pos="379"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after the date of such termination (or such later date as may be required by Section 12.2) and continuing for a period of twelve (12) months following the termination of your employment, with each such compensation continuation payment being equal to the quotient of (i) divided by (ii), where (i) equals the sum of (A) your then-current annual base salary, and (B) any short-term cash incentive payment then due, and (ii) equals 26 (which, for the avoidance of doubt, shall be the number of biweekly compensation continuation payments); (b) all of your then-vested outstanding Skyworks stock options shall remain exercisable for a period of twelve (12) months after the date of your employment termination (or, if earlier, until the last day of the full option term), subject to their terms and conditions, and (c) Skyworks shall make contributions to the cost of COBRA (Consolidated Omnibus Budget Reconciliation Act) coverage on your behalf (and on behalf of any applicable dependents) for a period of twelve (12) months after your termination if you elect COBRA coverage, and only for so long as such coverage continues in force; provided, however, that if you commence new employment and are eligible for a new group health plan in connection with such employment, Skyworks’ contributions toward COBRA coverage shall end when the new employment begins. The contribution to the cost of COBRA coverage to be made by Skyworks shall be determined on the same basis as Skyworks’ contribution to Skyworks-provided medical, dental and vision insurance coverage in effect immediately before your termination of your employment for an active employee with the same coverage elections. Notwithstanding the foregoing, in the event that Skyworks’ provision of such COBRA payments will violate the nondiscrimination requirements of applicable law, Skyworks will not provide contributions to the cost of COBRA and this benefit shall not apply.</w:t>
      </w:r>
    </w:p>
    <w:p>
      <w:pPr>
        <w:spacing w:after="0" w:line="174"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3.3. For the avoidance of doubt and notwithstanding anything in this Agreement to the contrary, in the event that you experience a termination of employment without Cause as described in Section 1.1 and are therefore eligible to receive the benefits set forth in</w:t>
      </w:r>
    </w:p>
    <w:p>
      <w:pPr>
        <w:spacing w:after="0" w:line="212" w:lineRule="auto"/>
        <w:rPr>
          <w:sz w:val="20"/>
          <w:szCs w:val="20"/>
          <w:color w:val="auto"/>
        </w:rPr>
      </w:pPr>
      <w:r>
        <w:rPr>
          <w:rFonts w:ascii="Times New Roman" w:cs="Times New Roman" w:eastAsia="Times New Roman" w:hAnsi="Times New Roman"/>
          <w:sz w:val="20"/>
          <w:szCs w:val="20"/>
          <w:color w:val="auto"/>
        </w:rPr>
        <w:t>Sections 1.2 and 2 above, then you shall not be eligible to receive any benefits set forth in Section 3.2 following the later of (a) the date of</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your termination of employment, and (b) the effective date of the Change in Control. Any payments and benefits to which you become entitled under Section 1.2 upon the effective date of a Change in Control, as a result of a qualifying termination of employment within the</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three (3) months prior to such Change in Control, shall be reduced in amount or duration, as applicable, equal to the payments and benefits you have received pursuant to Section 3.2 prior to the effective date of such Change in Control,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50" w:name="page51"/>
    <w:bookmarkEnd w:id="50"/>
    <w:p>
      <w:pPr>
        <w:spacing w:after="0" w:line="200" w:lineRule="exact"/>
        <w:rPr>
          <w:sz w:val="20"/>
          <w:szCs w:val="20"/>
          <w:color w:val="auto"/>
        </w:rPr>
      </w:pPr>
    </w:p>
    <w:p>
      <w:pPr>
        <w:spacing w:after="0" w:line="242" w:lineRule="exact"/>
        <w:rPr>
          <w:sz w:val="20"/>
          <w:szCs w:val="20"/>
          <w:color w:val="auto"/>
        </w:rPr>
      </w:pPr>
    </w:p>
    <w:p>
      <w:pPr>
        <w:ind w:left="660" w:hanging="652"/>
        <w:spacing w:after="0"/>
        <w:tabs>
          <w:tab w:leader="none" w:pos="66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Termination of Employment Due to Death or Disability</w:t>
      </w:r>
    </w:p>
    <w:p>
      <w:pPr>
        <w:spacing w:after="0" w:line="17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20"/>
          <w:szCs w:val="20"/>
          <w:color w:val="auto"/>
        </w:rPr>
        <w:t>In the event of your termination of employment due to death or permanent disability (within the meaning of Section 22(e)(3) of the</w:t>
      </w:r>
    </w:p>
    <w:p>
      <w:pPr>
        <w:spacing w:after="0" w:line="204" w:lineRule="auto"/>
        <w:rPr>
          <w:sz w:val="20"/>
          <w:szCs w:val="20"/>
          <w:color w:val="auto"/>
        </w:rPr>
      </w:pPr>
      <w:r>
        <w:rPr>
          <w:rFonts w:ascii="Times New Roman" w:cs="Times New Roman" w:eastAsia="Times New Roman" w:hAnsi="Times New Roman"/>
          <w:sz w:val="20"/>
          <w:szCs w:val="20"/>
          <w:color w:val="auto"/>
        </w:rPr>
        <w:t>Internal Revenue Code of 1986 (the “Code”)) during the Initial Term or the Additional Term, on the date of such termination each outstanding and unvested equity award held by you that, pursuant to its terms, vests solely based upon providing continued service to</w:t>
      </w:r>
    </w:p>
    <w:p>
      <w:pPr>
        <w:spacing w:after="0" w:line="211" w:lineRule="auto"/>
        <w:rPr>
          <w:sz w:val="20"/>
          <w:szCs w:val="20"/>
          <w:color w:val="auto"/>
        </w:rPr>
      </w:pPr>
      <w:r>
        <w:rPr>
          <w:rFonts w:ascii="Times New Roman" w:cs="Times New Roman" w:eastAsia="Times New Roman" w:hAnsi="Times New Roman"/>
          <w:sz w:val="20"/>
          <w:szCs w:val="20"/>
          <w:color w:val="auto"/>
        </w:rPr>
        <w:t>Skyworks, including, without limitation, stock options, restricted stock awards (including restricted stock unit awards), and performance-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based equity awards that are earned but unissued, shall automatically become vested, exercisable, and issuable, and any forfeiture restrictions thereon shall immediately lapse, as applicable, in each case, with respect to one-hundred percent (100%) of that number of then-unvested</w:t>
      </w:r>
    </w:p>
    <w:p>
      <w:pPr>
        <w:spacing w:after="0"/>
        <w:rPr>
          <w:sz w:val="20"/>
          <w:szCs w:val="20"/>
          <w:color w:val="auto"/>
        </w:rPr>
      </w:pPr>
      <w:r>
        <w:rPr>
          <w:rFonts w:ascii="Times New Roman" w:cs="Times New Roman" w:eastAsia="Times New Roman" w:hAnsi="Times New Roman"/>
          <w:sz w:val="20"/>
          <w:szCs w:val="20"/>
          <w:color w:val="auto"/>
        </w:rPr>
        <w:t>shares underlying such equity award.</w:t>
      </w:r>
    </w:p>
    <w:p>
      <w:pPr>
        <w:spacing w:after="0" w:line="167"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4.2. All outstanding stock options that are exercisable upon your termination of employment due to death or permanent disability (including any stock options that become vested and exercisable pursuant to Section 4.1) shall remain exercisable for a period of time</w:t>
      </w:r>
    </w:p>
    <w:p>
      <w:pPr>
        <w:spacing w:after="0" w:line="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9"/>
          <w:szCs w:val="19"/>
          <w:color w:val="auto"/>
        </w:rPr>
        <w:t>expiring on the earlier of (a) the one (1) year anniversary of your termination of employment due to death or permanent disability, and (b) the final expiration date of such stock options as set forth in the applicable stock option agreement, subject to their other terms and conditions.</w:t>
      </w:r>
    </w:p>
    <w:p>
      <w:pPr>
        <w:spacing w:after="0" w:line="145"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20"/>
          <w:szCs w:val="20"/>
          <w:color w:val="auto"/>
        </w:rPr>
        <w:t>4.3. In the event that you hold a performance-based equity award that vests based upon the achievement of performance metrics and upon providing continued service to Skyworks and your termination of employment due to death or permanent disability occurs prior to the</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“measurement date” (i.e. the last day of the applicable performance period) for such award, then such award shall, as of the measurement date, (a) be earned as to the greater of (i) the “Target” level of shares for such award, or (ii) the number of shares that would have been earned</w:t>
      </w:r>
    </w:p>
    <w:p>
      <w:pPr>
        <w:spacing w:after="0" w:line="211" w:lineRule="auto"/>
        <w:rPr>
          <w:sz w:val="20"/>
          <w:szCs w:val="20"/>
          <w:color w:val="auto"/>
        </w:rPr>
      </w:pPr>
      <w:r>
        <w:rPr>
          <w:rFonts w:ascii="Times New Roman" w:cs="Times New Roman" w:eastAsia="Times New Roman" w:hAnsi="Times New Roman"/>
          <w:sz w:val="20"/>
          <w:szCs w:val="20"/>
          <w:color w:val="auto"/>
        </w:rPr>
        <w:t>pursuant to the terms of such award had you remained employed through the measurement date, and (b) automatically become vested,</w:t>
      </w:r>
    </w:p>
    <w:p>
      <w:pPr>
        <w:spacing w:after="0" w:line="204" w:lineRule="auto"/>
        <w:rPr>
          <w:sz w:val="20"/>
          <w:szCs w:val="20"/>
          <w:color w:val="auto"/>
        </w:rPr>
      </w:pPr>
      <w:r>
        <w:rPr>
          <w:rFonts w:ascii="Times New Roman" w:cs="Times New Roman" w:eastAsia="Times New Roman" w:hAnsi="Times New Roman"/>
          <w:sz w:val="20"/>
          <w:szCs w:val="20"/>
          <w:color w:val="auto"/>
        </w:rPr>
        <w:t>exercisable, and issuable, and any forfeiture restrictions thereon shall immediately lapse, as applicable, in each case, as of the measurement date, with respect to one-hundred percent (100%) of that number of then-unvested shares underlying such equity award that are earned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pursuant to (a) above.</w:t>
      </w:r>
    </w:p>
    <w:p>
      <w:pPr>
        <w:spacing w:after="0" w:line="167"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20"/>
          <w:szCs w:val="20"/>
          <w:color w:val="auto"/>
        </w:rPr>
        <w:t>4.4. Subject to Section 12.4, any shares that are issued pursuant to Section 4.1 shall be issued to you (or to your estate, if applicable) as soon as practicable (but not more than sixty (60) days) after the date of your termination (or such later date as may be required by Section</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12.2). Subject to Section 12.4, any shares that are issued pursuant to Section 4.3 shall be issued to you (or to your estate, if applicable) as soon as practicable (but not more than sixty (60) days) after the measurement date.</w:t>
      </w:r>
    </w:p>
    <w:p>
      <w:pPr>
        <w:spacing w:after="0" w:line="145" w:lineRule="exact"/>
        <w:rPr>
          <w:sz w:val="20"/>
          <w:szCs w:val="20"/>
          <w:color w:val="auto"/>
        </w:rPr>
      </w:pPr>
    </w:p>
    <w:p>
      <w:pPr>
        <w:ind w:left="660" w:hanging="652"/>
        <w:spacing w:after="0"/>
        <w:tabs>
          <w:tab w:leader="none" w:pos="66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Other Terminations of Employment</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the event of your termination of employment by Skyworks for Cause or by you for any or no reason other than as a termination of employment described in Sections 1.1, 3.1, or 4.1, you shall not be entitled to any benefits under this Agreement; provided, however, that Skyworks shall pay you any unpaid wages and vacation as may be required by applicable law and provide you with the ability to elect any continued health coverage as may be required under COBRA or similar state law.</w:t>
      </w:r>
    </w:p>
    <w:p>
      <w:pPr>
        <w:spacing w:after="0" w:line="155" w:lineRule="exact"/>
        <w:rPr>
          <w:sz w:val="20"/>
          <w:szCs w:val="20"/>
          <w:color w:val="auto"/>
        </w:rPr>
      </w:pPr>
    </w:p>
    <w:p>
      <w:pPr>
        <w:ind w:left="660" w:hanging="652"/>
        <w:spacing w:after="0"/>
        <w:tabs>
          <w:tab w:leader="none" w:pos="66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Limitation on Benefits</w:t>
      </w:r>
    </w:p>
    <w:p>
      <w:pPr>
        <w:spacing w:after="0" w:line="18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6.1.</w:t>
      </w:r>
      <w:r>
        <w:rPr>
          <w:sz w:val="20"/>
          <w:szCs w:val="20"/>
          <w:color w:val="auto"/>
        </w:rPr>
        <w:tab/>
      </w:r>
      <w:r>
        <w:rPr>
          <w:rFonts w:ascii="Times New Roman" w:cs="Times New Roman" w:eastAsia="Times New Roman" w:hAnsi="Times New Roman"/>
          <w:sz w:val="20"/>
          <w:szCs w:val="20"/>
          <w:color w:val="auto"/>
        </w:rPr>
        <w:t>Notwithstanding anything contained in this Agreement to the contrary, to the extent that the payments and benefits provided under</w:t>
      </w:r>
    </w:p>
    <w:p>
      <w:pPr>
        <w:spacing w:after="0" w:line="221" w:lineRule="auto"/>
        <w:rPr>
          <w:sz w:val="20"/>
          <w:szCs w:val="20"/>
          <w:color w:val="auto"/>
        </w:rPr>
      </w:pPr>
      <w:r>
        <w:rPr>
          <w:rFonts w:ascii="Times New Roman" w:cs="Times New Roman" w:eastAsia="Times New Roman" w:hAnsi="Times New Roman"/>
          <w:sz w:val="20"/>
          <w:szCs w:val="20"/>
          <w:color w:val="auto"/>
        </w:rPr>
        <w:t>this Agreement, and payments and benefits provided to you, or for your benefit, under any other plan or agreement (such payments or benefits, the “Benefits”) would be subject to the excise tax imposed under Section 4999 of the Code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51" w:name="page52"/>
    <w:bookmarkEnd w:id="51"/>
    <w:p>
      <w:pPr>
        <w:spacing w:after="0" w:line="200" w:lineRule="exact"/>
        <w:rPr>
          <w:sz w:val="20"/>
          <w:szCs w:val="20"/>
          <w:color w:val="auto"/>
        </w:rPr>
      </w:pPr>
    </w:p>
    <w:p>
      <w:pPr>
        <w:spacing w:after="0" w:line="24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“Excise Tax”), the Benefits shall be reduced (but not below zero) if and to the extent that a reduction in the Benefits would result in your retaining a larger amount, on an after-tax basis (taking into account federal, state and local income taxes and the Excise Tax), than if you</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received all of the Benefits (such reduced amount, the “Limited Benefit Amount”).</w:t>
      </w:r>
    </w:p>
    <w:p>
      <w:pPr>
        <w:spacing w:after="0" w:line="153"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0"/>
          <w:szCs w:val="20"/>
          <w:color w:val="auto"/>
        </w:rPr>
        <w:t>6.2. A determination as to whether the Benefits shall be reduced to the Limited Benefit Amount pursuant to this Section 6 and the amount of such Limited Benefit Amount shall be made by Skyworks’ independent public accountants or another certified public accounting firm,</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executive compensation consulting firm or law firm of national reputation designated by Skyworks (the “Firm”) at Skyworks’ expense. The Firm shall provide its determination (the “Determination”), together with detailed supporting calculations and documentation to you and to</w:t>
      </w:r>
    </w:p>
    <w:p>
      <w:pPr>
        <w:spacing w:after="0" w:line="211" w:lineRule="auto"/>
        <w:rPr>
          <w:sz w:val="20"/>
          <w:szCs w:val="20"/>
          <w:color w:val="auto"/>
        </w:rPr>
      </w:pPr>
      <w:r>
        <w:rPr>
          <w:rFonts w:ascii="Times New Roman" w:cs="Times New Roman" w:eastAsia="Times New Roman" w:hAnsi="Times New Roman"/>
          <w:sz w:val="20"/>
          <w:szCs w:val="20"/>
          <w:color w:val="auto"/>
        </w:rPr>
        <w:t>Skyworks within ten (10) business days of the date on which your right to the Benefits is triggered (if requested at that time by you or by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Skyworks) or such other time as reasonably requested by you or by Skyworks. Unless you provide written notice to Skyworks within ten (10) business days of the delivery to you of the Determination that you dispute such Determination, the Determination shall be binding, final and</w:t>
      </w:r>
    </w:p>
    <w:p>
      <w:pPr>
        <w:spacing w:after="0" w:line="222" w:lineRule="auto"/>
        <w:rPr>
          <w:sz w:val="20"/>
          <w:szCs w:val="20"/>
          <w:color w:val="auto"/>
        </w:rPr>
      </w:pPr>
      <w:r>
        <w:rPr>
          <w:rFonts w:ascii="Times New Roman" w:cs="Times New Roman" w:eastAsia="Times New Roman" w:hAnsi="Times New Roman"/>
          <w:sz w:val="19"/>
          <w:szCs w:val="19"/>
          <w:color w:val="auto"/>
        </w:rPr>
        <w:t>conclusive upon you and Skyworks. If the Firm determines that no Excise Tax is payable by you with respect to any Benefits, it shall furnish</w:t>
      </w:r>
    </w:p>
    <w:p>
      <w:pPr>
        <w:spacing w:after="0" w:line="221" w:lineRule="auto"/>
        <w:rPr>
          <w:sz w:val="20"/>
          <w:szCs w:val="20"/>
          <w:color w:val="auto"/>
        </w:rPr>
      </w:pPr>
      <w:r>
        <w:rPr>
          <w:rFonts w:ascii="Times New Roman" w:cs="Times New Roman" w:eastAsia="Times New Roman" w:hAnsi="Times New Roman"/>
          <w:sz w:val="20"/>
          <w:szCs w:val="20"/>
          <w:color w:val="auto"/>
        </w:rPr>
        <w:t>to you and to Skyworks, in writing, a summary of the assumptions and calculations made by the Firm to support its conclusion that no Excise Tax will be imposed with respect to any such Benefits.</w:t>
      </w:r>
    </w:p>
    <w:p>
      <w:pPr>
        <w:spacing w:after="0" w:line="1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6.3.</w:t>
      </w:r>
      <w:r>
        <w:rPr>
          <w:sz w:val="20"/>
          <w:szCs w:val="20"/>
          <w:color w:val="auto"/>
        </w:rPr>
        <w:tab/>
      </w:r>
      <w:r>
        <w:rPr>
          <w:rFonts w:ascii="Times New Roman" w:cs="Times New Roman" w:eastAsia="Times New Roman" w:hAnsi="Times New Roman"/>
          <w:sz w:val="20"/>
          <w:szCs w:val="20"/>
          <w:color w:val="auto"/>
        </w:rPr>
        <w:t>Any reduction in payments and/or benefits pursuant to this Section 6 to effectuate the Limited Benefit Amount shall occur in the</w:t>
      </w:r>
    </w:p>
    <w:p>
      <w:pPr>
        <w:spacing w:after="0" w:line="221" w:lineRule="auto"/>
        <w:rPr>
          <w:sz w:val="20"/>
          <w:szCs w:val="20"/>
          <w:color w:val="auto"/>
        </w:rPr>
      </w:pPr>
      <w:r>
        <w:rPr>
          <w:rFonts w:ascii="Times New Roman" w:cs="Times New Roman" w:eastAsia="Times New Roman" w:hAnsi="Times New Roman"/>
          <w:sz w:val="20"/>
          <w:szCs w:val="20"/>
          <w:color w:val="auto"/>
        </w:rPr>
        <w:t>following order: (1) reduction of cash payments; (2) cancellation of accelerated vesting of equity awards other than stock options; (3) cancellation of accelerated vesting of stock options; and (4) reduction of other benefits payable to you.</w:t>
      </w:r>
    </w:p>
    <w:p>
      <w:pPr>
        <w:spacing w:after="0" w:line="158" w:lineRule="exact"/>
        <w:rPr>
          <w:sz w:val="20"/>
          <w:szCs w:val="20"/>
          <w:color w:val="auto"/>
        </w:rPr>
      </w:pPr>
    </w:p>
    <w:p>
      <w:pPr>
        <w:ind w:left="660" w:hanging="652"/>
        <w:spacing w:after="0"/>
        <w:tabs>
          <w:tab w:leader="none" w:pos="66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Non-Solicitation</w:t>
      </w:r>
    </w:p>
    <w:p>
      <w:pPr>
        <w:spacing w:after="0" w:line="193"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7.1. You agree that while employed by Skyworks and for one (1) year thereafter, you will not, either directly or through others, raid, solicit, or attempt to solicit any employee of Skyworks or any subsidiary or affiliate of Skyworks (collectively, the “Company”) to terminate</w:t>
      </w:r>
    </w:p>
    <w:p>
      <w:pPr>
        <w:spacing w:after="0" w:line="212" w:lineRule="auto"/>
        <w:rPr>
          <w:sz w:val="20"/>
          <w:szCs w:val="20"/>
          <w:color w:val="auto"/>
        </w:rPr>
      </w:pPr>
      <w:r>
        <w:rPr>
          <w:rFonts w:ascii="Times New Roman" w:cs="Times New Roman" w:eastAsia="Times New Roman" w:hAnsi="Times New Roman"/>
          <w:sz w:val="20"/>
          <w:szCs w:val="20"/>
          <w:color w:val="auto"/>
        </w:rPr>
        <w:t>his or her relationship with the Company in order to become an employee or independent contractor (including a consultant or advisor) to or</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for any person or entity. You further agree that you will not disrupt or interfere or attempt to disrupt or interfere with the Company’s relationships with such employees.</w:t>
      </w:r>
    </w:p>
    <w:p>
      <w:pPr>
        <w:spacing w:after="0" w:line="1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7.2.</w:t>
      </w:r>
      <w:r>
        <w:rPr>
          <w:sz w:val="20"/>
          <w:szCs w:val="20"/>
          <w:color w:val="auto"/>
        </w:rPr>
        <w:tab/>
      </w:r>
      <w:r>
        <w:rPr>
          <w:rFonts w:ascii="Times New Roman" w:cs="Times New Roman" w:eastAsia="Times New Roman" w:hAnsi="Times New Roman"/>
          <w:sz w:val="19"/>
          <w:szCs w:val="19"/>
          <w:color w:val="auto"/>
        </w:rPr>
        <w:t>You understand and acknowledge that Skyworks’ remedies at law for breach of any of the restrictions in this Section 7 are inadequate</w:t>
      </w:r>
    </w:p>
    <w:p>
      <w:pPr>
        <w:spacing w:after="0" w:line="204" w:lineRule="auto"/>
        <w:rPr>
          <w:sz w:val="20"/>
          <w:szCs w:val="20"/>
          <w:color w:val="auto"/>
        </w:rPr>
      </w:pPr>
      <w:r>
        <w:rPr>
          <w:rFonts w:ascii="Times New Roman" w:cs="Times New Roman" w:eastAsia="Times New Roman" w:hAnsi="Times New Roman"/>
          <w:sz w:val="20"/>
          <w:szCs w:val="20"/>
          <w:color w:val="auto"/>
        </w:rPr>
        <w:t>and that any such breach will cause irreparable harm to Skyworks. You therefore agree that in addition and as a supplement to such other rights and remedies as may exist in Skyworks’ favor, Skyworks may apply to any court having jurisdiction to enforce the specific</w:t>
      </w:r>
    </w:p>
    <w:p>
      <w:pPr>
        <w:spacing w:after="0" w:line="211" w:lineRule="auto"/>
        <w:rPr>
          <w:sz w:val="20"/>
          <w:szCs w:val="20"/>
          <w:color w:val="auto"/>
        </w:rPr>
      </w:pPr>
      <w:r>
        <w:rPr>
          <w:rFonts w:ascii="Times New Roman" w:cs="Times New Roman" w:eastAsia="Times New Roman" w:hAnsi="Times New Roman"/>
          <w:sz w:val="20"/>
          <w:szCs w:val="20"/>
          <w:color w:val="auto"/>
        </w:rPr>
        <w:t>performance of the restrictions in this Section 7, and may apply for injunctive relief against any act which would violate those restrictions.</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You also agree that in addition to any damages that may be recovered, the prevailing party in any legal action to enforce this non-solicitation agreement shall be entitled to recover its costs and attorneys’ fees from the other party.</w:t>
      </w:r>
    </w:p>
    <w:p>
      <w:pPr>
        <w:spacing w:after="0" w:line="158" w:lineRule="exact"/>
        <w:rPr>
          <w:sz w:val="20"/>
          <w:szCs w:val="20"/>
          <w:color w:val="auto"/>
        </w:rPr>
      </w:pPr>
    </w:p>
    <w:p>
      <w:pPr>
        <w:ind w:left="660" w:hanging="652"/>
        <w:spacing w:after="0"/>
        <w:tabs>
          <w:tab w:leader="none" w:pos="66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Release of Claims</w:t>
      </w:r>
    </w:p>
    <w:p>
      <w:pPr>
        <w:spacing w:after="0" w:line="2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Skyworks shall have no obligation to make any payments or provide any benefits pursuant to Sections 1, 2, or 3, as applicable, and you shall not be eligible to receive any such benefits, unless (a) you sign and deliver to the General Counsel of Skyworks a release of claims in substantially the form attached hereto as Exhibit A (the “Release”) and (b) the Release has become non-revocable by the sixtieth (60th) day following the date of termination of your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52" w:name="page53"/>
    <w:bookmarkEnd w:id="52"/>
    <w:p>
      <w:pPr>
        <w:spacing w:after="0" w:line="200" w:lineRule="exact"/>
        <w:rPr>
          <w:sz w:val="20"/>
          <w:szCs w:val="20"/>
          <w:color w:val="auto"/>
        </w:rPr>
      </w:pPr>
    </w:p>
    <w:p>
      <w:pPr>
        <w:spacing w:after="0" w:line="242" w:lineRule="exact"/>
        <w:rPr>
          <w:sz w:val="20"/>
          <w:szCs w:val="20"/>
          <w:color w:val="auto"/>
        </w:rPr>
      </w:pPr>
    </w:p>
    <w:p>
      <w:pPr>
        <w:ind w:left="660" w:hanging="652"/>
        <w:spacing w:after="0"/>
        <w:tabs>
          <w:tab w:leader="none" w:pos="66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Term</w:t>
      </w:r>
    </w:p>
    <w:p>
      <w:pPr>
        <w:spacing w:after="0" w:line="19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This Agreement shall become effective on the date executed by the parties hereto (the “Effective Date”), and shall remain effective for an initial term of two (2) years from the Effective Date (the “Initial Term”). Following the Initial Term, this Agreement shall renew automatically on the anniversary of the Effective Date for up to five (5) additional one (1) year periods (each an “Additional Term”) unless, at least ninety (90) days prior to the end of the then-current term of the Agreement, either party provides written notice to the other party that the Agreement shall not be extended. For the avoidance of doubt, a non-renewal of an extension of this Agreement is separate from, and shall not itself result in, a termination of your employment with the Company, nor shall the non-renewal of an extension of this Agreement for any reason constitute or give rise to Good Reason. This Agreement shall terminate automatically upon your termination of employment; provided, however, for the avoidance of doubt, that following such termination (i) the Company’s obligations to provide payments or benefits to you in accordance with the terms hereof shall survive any such termination of this Agreement and (ii) your obligations pursuant to Section 7 shall survive any such termination of this Agreement and extend throughout the non-solicitation period.</w:t>
      </w:r>
    </w:p>
    <w:p>
      <w:pPr>
        <w:spacing w:after="0" w:line="160" w:lineRule="exact"/>
        <w:rPr>
          <w:sz w:val="20"/>
          <w:szCs w:val="20"/>
          <w:color w:val="auto"/>
        </w:rPr>
      </w:pPr>
    </w:p>
    <w:p>
      <w:pPr>
        <w:ind w:left="640" w:hanging="632"/>
        <w:spacing w:after="0"/>
        <w:tabs>
          <w:tab w:leader="none" w:pos="64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Entire Agreement</w:t>
      </w:r>
    </w:p>
    <w:p>
      <w:pPr>
        <w:spacing w:after="0" w:line="193"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10.1. This Agreement contains the entire agreement and understanding of the parties with respect to the subject matter contained herein, and replaces and supersedes, as of the Effective Date, all prior agreements relating to such subject matter, including without limitation the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Change in Control/Severance Agreement between you and Skyworks dated August 29, 2016. For the avoidance of doubt, you shall not be eligible to receive severance or similar payments under any severance plan, program or policy maintained by Skyworks.</w:t>
      </w:r>
    </w:p>
    <w:p>
      <w:pPr>
        <w:spacing w:after="0" w:line="149"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0"/>
          <w:szCs w:val="20"/>
          <w:color w:val="auto"/>
        </w:rPr>
        <w:t>10.2. You acknowledge and agree that you will be subject to the provisions of the compensation clawback policy that Skyworks has in effect or may implement in future.</w:t>
      </w:r>
    </w:p>
    <w:p>
      <w:pPr>
        <w:spacing w:after="0" w:line="161"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0"/>
          <w:szCs w:val="20"/>
          <w:color w:val="auto"/>
        </w:rPr>
        <w:t>10.3. You acknowledge and agree that your employment with Skyworks will continue to be “at will” and that your employment can be terminated with or without Cause at any time, with or without advance notice.</w:t>
      </w:r>
    </w:p>
    <w:p>
      <w:pPr>
        <w:spacing w:after="0" w:line="157" w:lineRule="exact"/>
        <w:rPr>
          <w:sz w:val="20"/>
          <w:szCs w:val="20"/>
          <w:color w:val="auto"/>
        </w:rPr>
      </w:pPr>
    </w:p>
    <w:p>
      <w:pPr>
        <w:ind w:left="640" w:hanging="632"/>
        <w:spacing w:after="0"/>
        <w:tabs>
          <w:tab w:leader="none" w:pos="64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Definitions</w:t>
      </w:r>
    </w:p>
    <w:p>
      <w:pPr>
        <w:spacing w:after="0" w:line="19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11.1.</w:t>
      </w:r>
      <w:r>
        <w:rPr>
          <w:sz w:val="20"/>
          <w:szCs w:val="20"/>
          <w:color w:val="auto"/>
        </w:rPr>
        <w:tab/>
      </w:r>
      <w:r>
        <w:rPr>
          <w:rFonts w:ascii="Times New Roman" w:cs="Times New Roman" w:eastAsia="Times New Roman" w:hAnsi="Times New Roman"/>
          <w:sz w:val="19"/>
          <w:szCs w:val="19"/>
          <w:color w:val="auto"/>
        </w:rPr>
        <w:t>“Cause” means:</w:t>
      </w:r>
    </w:p>
    <w:p>
      <w:pPr>
        <w:spacing w:after="0" w:line="175" w:lineRule="exact"/>
        <w:rPr>
          <w:sz w:val="20"/>
          <w:szCs w:val="20"/>
          <w:color w:val="auto"/>
        </w:rPr>
      </w:pPr>
    </w:p>
    <w:p>
      <w:pPr>
        <w:ind w:left="1300" w:hanging="644"/>
        <w:spacing w:after="0"/>
        <w:tabs>
          <w:tab w:leader="none" w:pos="130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deliberate dishonesty that is significantly detrimental to the best interests of Skyworks or any subsidiary or affiliate;</w:t>
      </w:r>
    </w:p>
    <w:p>
      <w:pPr>
        <w:spacing w:after="0" w:line="18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 on your part constituting an act of moral turpitude;</w:t>
      </w:r>
    </w:p>
    <w:p>
      <w:pPr>
        <w:spacing w:after="0" w:line="188" w:lineRule="exact"/>
        <w:rPr>
          <w:rFonts w:ascii="Times New Roman" w:cs="Times New Roman" w:eastAsia="Times New Roman" w:hAnsi="Times New Roman"/>
          <w:sz w:val="20"/>
          <w:szCs w:val="20"/>
          <w:color w:val="auto"/>
        </w:rPr>
      </w:pPr>
    </w:p>
    <w:p>
      <w:pPr>
        <w:ind w:left="660" w:hanging="4"/>
        <w:spacing w:after="0" w:line="233" w:lineRule="auto"/>
        <w:tabs>
          <w:tab w:leader="none" w:pos="1298"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willful disloyalty to Skyworks or refusal or failure to obey the directions of the Board of Directors of Skyworks (the “</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or</w:t>
      </w:r>
    </w:p>
    <w:p>
      <w:pPr>
        <w:spacing w:after="0" w:line="160"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incompetent performance or substantial or continuing inattention to or neglect of duties assigned to you.</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determination of Cause must be made by the full Board at a meeting duly called.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53" w:name="page54"/>
    <w:bookmarkEnd w:id="53"/>
    <w:p>
      <w:pPr>
        <w:spacing w:after="0" w:line="200" w:lineRule="exact"/>
        <w:rPr>
          <w:sz w:val="20"/>
          <w:szCs w:val="20"/>
          <w:color w:val="auto"/>
        </w:rPr>
      </w:pPr>
    </w:p>
    <w:p>
      <w:pPr>
        <w:spacing w:after="0" w:line="24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11.2. “Change in Control” means an event or occurrence set forth in any one or more of subsections (a) through (d) below (including an event or occurrence that constitutes a Change in Control under one of such subsections but is specifically exempted from another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subsection):</w:t>
      </w:r>
    </w:p>
    <w:p>
      <w:pPr>
        <w:spacing w:after="0" w:line="153" w:lineRule="exact"/>
        <w:rPr>
          <w:sz w:val="20"/>
          <w:szCs w:val="20"/>
          <w:color w:val="auto"/>
        </w:rPr>
      </w:pPr>
    </w:p>
    <w:p>
      <w:pPr>
        <w:jc w:val="both"/>
        <w:ind w:left="660" w:hanging="4"/>
        <w:spacing w:after="0" w:line="223" w:lineRule="auto"/>
        <w:tabs>
          <w:tab w:leader="none" w:pos="1298"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acquisition by an individual, entity or group (within the meaning of Section 13(d)(3) or 14(d)(2) of the Securities Exchange Act of 1934, as amended (the “Exchange Act”)) (a “Person”) of beneficial ownership of any capital stock of Skyworks if, after such acquisition, such Person beneficially owns (within the meaning of Rule 13d-3 promulgated under the Exchange Act) 40% or more of either (x) the then-outstanding shares of common stock of Skyworks (the “Outstanding Company Common Stock”) or (y) the combined voting power of the then-outstanding securities of Skyworks entitled to vote generally in the election of directors (the “Outstanding Company Voting Securities”); provided, however, that for purposes of this subsection (a), the following acquisitions shall not constitute a Change in Control: (i) any acquisition directly from Skyworks (excluding an acquisition pursuant to the exercise, conversion or exchange of any security exercisable for, convertible into or exchangeable for common stock or voting securities of Skyworks, unless the Person exercising, converting or exchanging such security acquired such security directly from Skyworks or an underwriter or agent of Skyworks), (ii) any acquisition by Skyworks, (iii) any acquisition by any employee benefit plan (or related trust) sponsored or maintained by Skyworks or any corporation controlled by Skyworks, or (iv) any acquisition by any corporation pursuant to a transaction which complies with clauses (i) and (ii) of subsection (c) of this Section 11.2; or</w:t>
      </w:r>
    </w:p>
    <w:p>
      <w:pPr>
        <w:spacing w:after="0" w:line="155" w:lineRule="exact"/>
        <w:rPr>
          <w:rFonts w:ascii="Times New Roman" w:cs="Times New Roman" w:eastAsia="Times New Roman" w:hAnsi="Times New Roman"/>
          <w:sz w:val="19"/>
          <w:szCs w:val="19"/>
          <w:color w:val="auto"/>
        </w:rPr>
      </w:pPr>
    </w:p>
    <w:p>
      <w:pPr>
        <w:jc w:val="both"/>
        <w:ind w:left="660" w:hanging="4"/>
        <w:spacing w:after="0" w:line="214" w:lineRule="auto"/>
        <w:tabs>
          <w:tab w:leader="none" w:pos="1296"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time as the Continuing Directors (as defined below) do not constitute a majority of the Board (or, if applicable, the Board of Directors of a successor corporation to Skyworks), where the term “Continuing Director” means at any date a member of the Board (i) who was a member of the Board on the date of the execution of this Agreement or (ii) who was nominated or elected subsequent to such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provided, however, that there shall be excluded from this clause (ii)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or</w:t>
      </w:r>
    </w:p>
    <w:p>
      <w:pPr>
        <w:spacing w:after="0" w:line="152" w:lineRule="exact"/>
        <w:rPr>
          <w:rFonts w:ascii="Times New Roman" w:cs="Times New Roman" w:eastAsia="Times New Roman" w:hAnsi="Times New Roman"/>
          <w:sz w:val="20"/>
          <w:szCs w:val="20"/>
          <w:color w:val="auto"/>
        </w:rPr>
      </w:pPr>
    </w:p>
    <w:p>
      <w:pPr>
        <w:jc w:val="both"/>
        <w:ind w:left="660" w:hanging="4"/>
        <w:spacing w:after="0" w:line="211" w:lineRule="auto"/>
        <w:tabs>
          <w:tab w:leader="none" w:pos="1298"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consummation of a merger, consolidation, reorganization, recapitalization or statutory share exchange involving Skyworks or a sale or other disposition of all or substantially all of the assets of Skyworks in one or a series of transactions (a “Business Combination”), unless, immediately following such Business Combination, each of the following two conditions is satisfied: (i) all or substantially all of the individuals and entities who were the beneficial owners of the Outstanding Company Common Stock and Outstanding Company Voting Securities immediately prior to such Business Combination beneficially own, directly or indirectly, more than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limitation, a corporation which as a result of such transaction owns Skyworks or substantially all of Skyworks’ assets either directly or through one or more subsidiaries) (such resulting or acquiring corporation is referred to herein as the “Acquiring Corporation”) in substantially the same proportions as their ownership, immediately prior to such Business Combination, of the Outstanding Company Common Stock and Outstanding Company Voting Securities, respectively; and (ii) no Person (excluding any employee benefit plan (or related trust) maintained or sponsored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54" w:name="page55"/>
    <w:bookmarkEnd w:id="54"/>
    <w:p>
      <w:pPr>
        <w:spacing w:after="0" w:line="200" w:lineRule="exact"/>
        <w:rPr>
          <w:sz w:val="20"/>
          <w:szCs w:val="20"/>
          <w:color w:val="auto"/>
        </w:rPr>
      </w:pPr>
    </w:p>
    <w:p>
      <w:pPr>
        <w:spacing w:after="0" w:line="246" w:lineRule="exact"/>
        <w:rPr>
          <w:sz w:val="20"/>
          <w:szCs w:val="20"/>
          <w:color w:val="auto"/>
        </w:rPr>
      </w:pPr>
    </w:p>
    <w:p>
      <w:pPr>
        <w:ind w:left="660"/>
        <w:spacing w:after="0" w:line="227" w:lineRule="auto"/>
        <w:rPr>
          <w:sz w:val="20"/>
          <w:szCs w:val="20"/>
          <w:color w:val="auto"/>
        </w:rPr>
      </w:pPr>
      <w:r>
        <w:rPr>
          <w:rFonts w:ascii="Times New Roman" w:cs="Times New Roman" w:eastAsia="Times New Roman" w:hAnsi="Times New Roman"/>
          <w:sz w:val="19"/>
          <w:szCs w:val="19"/>
          <w:color w:val="auto"/>
        </w:rPr>
        <w:t>Skyworks or by the Acquiring Corporation) beneficially owns, directly or indirectly, 40% or more of the then-outstanding shares of common stock of the Acquiring Corporation, or of the combined voting power of the then-outstanding securities of such corporation</w:t>
      </w:r>
    </w:p>
    <w:p>
      <w:pPr>
        <w:ind w:left="660" w:right="20"/>
        <w:spacing w:after="0" w:line="221" w:lineRule="auto"/>
        <w:rPr>
          <w:sz w:val="20"/>
          <w:szCs w:val="20"/>
          <w:color w:val="auto"/>
        </w:rPr>
      </w:pPr>
      <w:r>
        <w:rPr>
          <w:rFonts w:ascii="Times New Roman" w:cs="Times New Roman" w:eastAsia="Times New Roman" w:hAnsi="Times New Roman"/>
          <w:sz w:val="20"/>
          <w:szCs w:val="20"/>
          <w:color w:val="auto"/>
        </w:rPr>
        <w:t>entitled to vote generally in the election of directors (except to the extent that such ownership existed prior to the Business Combination); or</w:t>
      </w:r>
    </w:p>
    <w:p>
      <w:pPr>
        <w:spacing w:after="0" w:line="162" w:lineRule="exact"/>
        <w:rPr>
          <w:sz w:val="20"/>
          <w:szCs w:val="20"/>
          <w:color w:val="auto"/>
        </w:rPr>
      </w:pPr>
    </w:p>
    <w:p>
      <w:pPr>
        <w:ind w:left="1300" w:hanging="644"/>
        <w:spacing w:after="0"/>
        <w:tabs>
          <w:tab w:leader="none" w:pos="130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approval by the stockholders of Skyworks of a complete liquidation or dissolution of Skyworks.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Notwithstanding anything herein to the contrary, to the extent that any payment or benefit hereunder constitutes nonqualified deferred compensation within the meaning of Section 409A (as defined below), then, with respect to such payment or benefit, any event constituting a Change in Control above must also constitute a “change in control event” within the meaning of Treasury Regulation Section 1.409A-3(i)(5) (i).</w:t>
      </w:r>
    </w:p>
    <w:p>
      <w:pPr>
        <w:spacing w:after="0" w:line="15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11.3.</w:t>
      </w:r>
      <w:r>
        <w:rPr>
          <w:sz w:val="20"/>
          <w:szCs w:val="20"/>
          <w:color w:val="auto"/>
        </w:rPr>
        <w:tab/>
      </w:r>
      <w:r>
        <w:rPr>
          <w:rFonts w:ascii="Times New Roman" w:cs="Times New Roman" w:eastAsia="Times New Roman" w:hAnsi="Times New Roman"/>
          <w:sz w:val="19"/>
          <w:szCs w:val="19"/>
          <w:color w:val="auto"/>
        </w:rPr>
        <w:t>“Good Reason” means the occurrence of any of the following events without your prior written consent:</w:t>
      </w:r>
    </w:p>
    <w:p>
      <w:pPr>
        <w:spacing w:after="0" w:line="189" w:lineRule="exact"/>
        <w:rPr>
          <w:sz w:val="20"/>
          <w:szCs w:val="20"/>
          <w:color w:val="auto"/>
        </w:rPr>
      </w:pPr>
    </w:p>
    <w:p>
      <w:pPr>
        <w:ind w:left="1300" w:hanging="644"/>
        <w:spacing w:after="0"/>
        <w:tabs>
          <w:tab w:leader="none" w:pos="130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diminution of your base compensation;</w:t>
      </w:r>
    </w:p>
    <w:p>
      <w:pPr>
        <w:spacing w:after="0" w:line="17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diminution in your authority, duties or responsibilities;</w:t>
      </w:r>
    </w:p>
    <w:p>
      <w:pPr>
        <w:spacing w:after="0" w:line="188" w:lineRule="exact"/>
        <w:rPr>
          <w:rFonts w:ascii="Times New Roman" w:cs="Times New Roman" w:eastAsia="Times New Roman" w:hAnsi="Times New Roman"/>
          <w:sz w:val="20"/>
          <w:szCs w:val="20"/>
          <w:color w:val="auto"/>
        </w:rPr>
      </w:pPr>
    </w:p>
    <w:p>
      <w:pPr>
        <w:jc w:val="both"/>
        <w:ind w:left="660" w:hanging="4"/>
        <w:spacing w:after="0" w:line="226" w:lineRule="auto"/>
        <w:tabs>
          <w:tab w:leader="none" w:pos="1298"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diminution in the authority, duties or responsibilities of the supervisor to whom you are required to report, such a material diminution to include the supervisor to whom you are required to report no longer reporting to the Board of Directors of Skyworks (or its successor or parent) or the analogous governing body of Skyworks (or its successor or parent);</w:t>
      </w:r>
    </w:p>
    <w:p>
      <w:pPr>
        <w:spacing w:after="0" w:line="160" w:lineRule="exact"/>
        <w:rPr>
          <w:rFonts w:ascii="Times New Roman" w:cs="Times New Roman" w:eastAsia="Times New Roman" w:hAnsi="Times New Roman"/>
          <w:sz w:val="20"/>
          <w:szCs w:val="20"/>
          <w:color w:val="auto"/>
        </w:rPr>
      </w:pPr>
    </w:p>
    <w:p>
      <w:pPr>
        <w:jc w:val="both"/>
        <w:ind w:left="660" w:hanging="4"/>
        <w:spacing w:after="0" w:line="222" w:lineRule="auto"/>
        <w:tabs>
          <w:tab w:leader="none" w:pos="1296"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change in the geographic location at which you are directed that you must perform your duties, which Skyworks has determined shall include a change in your principal place of employment at Skyworks’ or an affiliate’s direction from the location of your principal place of employment immediately prior to the Effective Date of this Agreement to a location more than fifty (50) miles from such principal place of employment; or</w:t>
      </w:r>
    </w:p>
    <w:p>
      <w:pPr>
        <w:spacing w:after="0" w:line="16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action or inaction constituting a material breach by Skyworks of the terms of this Agreement.</w:t>
      </w:r>
    </w:p>
    <w:p>
      <w:pPr>
        <w:spacing w:after="0" w:line="1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Your termination of employment shall not be deemed to be for Good Reason unless, within sixty (60) days of the occurrence of the event constituting Good Reason, you have provided Skyworks with (i) at least thirty (30) days’ advance written notice of your decision to terminate your employment for Good Reason, and (ii) a period of not less than thirty (30) days to cure the event or condition described in subsections (a), (b), (c), (d), or (e) above, and Skyworks has either failed to so cure the event or waived its right to cure the event, to the extent it is then subject to cure.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55" w:name="page56"/>
    <w:bookmarkEnd w:id="55"/>
    <w:p>
      <w:pPr>
        <w:spacing w:after="0" w:line="200" w:lineRule="exact"/>
        <w:rPr>
          <w:sz w:val="20"/>
          <w:szCs w:val="20"/>
          <w:color w:val="auto"/>
        </w:rPr>
      </w:pPr>
    </w:p>
    <w:p>
      <w:pPr>
        <w:spacing w:after="0" w:line="242" w:lineRule="exact"/>
        <w:rPr>
          <w:sz w:val="20"/>
          <w:szCs w:val="20"/>
          <w:color w:val="auto"/>
        </w:rPr>
      </w:pPr>
    </w:p>
    <w:p>
      <w:pPr>
        <w:ind w:left="640" w:hanging="632"/>
        <w:spacing w:after="0"/>
        <w:tabs>
          <w:tab w:leader="none" w:pos="64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Miscellaneous</w:t>
      </w:r>
    </w:p>
    <w:p>
      <w:pPr>
        <w:spacing w:after="0" w:line="17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12.1.</w:t>
        <w:tab/>
        <w:t>All claims by you for benefits under this Agreement shall be directed to and determined by the Board and shall be in writing. Any</w:t>
      </w:r>
    </w:p>
    <w:p>
      <w:pPr>
        <w:spacing w:after="0" w:line="204" w:lineRule="auto"/>
        <w:rPr>
          <w:sz w:val="20"/>
          <w:szCs w:val="20"/>
          <w:color w:val="auto"/>
        </w:rPr>
      </w:pPr>
      <w:r>
        <w:rPr>
          <w:rFonts w:ascii="Times New Roman" w:cs="Times New Roman" w:eastAsia="Times New Roman" w:hAnsi="Times New Roman"/>
          <w:sz w:val="20"/>
          <w:szCs w:val="20"/>
          <w:color w:val="auto"/>
        </w:rPr>
        <w:t>denial by the Board of a claim for benefits under this Agreement shall be delivered to you in writing and shall set forth the specific reasons for the denial and the specific provisions of this Agreement relied upon. The Board shall afford a reasonable opportunity to you for a review</w:t>
      </w:r>
    </w:p>
    <w:p>
      <w:pPr>
        <w:spacing w:after="0" w:line="211" w:lineRule="auto"/>
        <w:rPr>
          <w:sz w:val="20"/>
          <w:szCs w:val="20"/>
          <w:color w:val="auto"/>
        </w:rPr>
      </w:pPr>
      <w:r>
        <w:rPr>
          <w:rFonts w:ascii="Times New Roman" w:cs="Times New Roman" w:eastAsia="Times New Roman" w:hAnsi="Times New Roman"/>
          <w:sz w:val="20"/>
          <w:szCs w:val="20"/>
          <w:color w:val="auto"/>
        </w:rPr>
        <w:t>of the decision denying a claim. Any further dispute or controversy arising under or in connection with this Agreement shall be settled</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exclusively by arbitration in accordance with the terms and conditions of the Company’s standard form of arbitration agreement, which if you have not already entered into shall be signed by you contemporaneously with this Agreement as a condition of the severance arrangements</w:t>
      </w:r>
    </w:p>
    <w:p>
      <w:pPr>
        <w:spacing w:after="0" w:line="211" w:lineRule="auto"/>
        <w:rPr>
          <w:sz w:val="20"/>
          <w:szCs w:val="20"/>
          <w:color w:val="auto"/>
        </w:rPr>
      </w:pPr>
      <w:r>
        <w:rPr>
          <w:rFonts w:ascii="Times New Roman" w:cs="Times New Roman" w:eastAsia="Times New Roman" w:hAnsi="Times New Roman"/>
          <w:sz w:val="20"/>
          <w:szCs w:val="20"/>
          <w:color w:val="auto"/>
        </w:rPr>
        <w:t>hereunder. Skyworks agrees to pay as incurred, to the full extent permitted by law, all legal, accounting and other fees and expenses which</w:t>
      </w:r>
    </w:p>
    <w:p>
      <w:pPr>
        <w:spacing w:after="0" w:line="215" w:lineRule="auto"/>
        <w:rPr>
          <w:sz w:val="20"/>
          <w:szCs w:val="20"/>
          <w:color w:val="auto"/>
        </w:rPr>
      </w:pPr>
      <w:r>
        <w:rPr>
          <w:rFonts w:ascii="Times New Roman" w:cs="Times New Roman" w:eastAsia="Times New Roman" w:hAnsi="Times New Roman"/>
          <w:sz w:val="19"/>
          <w:szCs w:val="19"/>
          <w:color w:val="auto"/>
        </w:rPr>
        <w:t>you may reasonably incur as a result of any claim or contest (regardless of the outcome thereof) by Skyworks, you or others regarding the validity or enforceability of, or liability under, any provision of this Agreement or any guarantee of performance thereof (including as a result</w:t>
      </w:r>
    </w:p>
    <w:p>
      <w:pPr>
        <w:spacing w:after="0" w:line="222" w:lineRule="auto"/>
        <w:rPr>
          <w:sz w:val="20"/>
          <w:szCs w:val="20"/>
          <w:color w:val="auto"/>
        </w:rPr>
      </w:pPr>
      <w:r>
        <w:rPr>
          <w:rFonts w:ascii="Times New Roman" w:cs="Times New Roman" w:eastAsia="Times New Roman" w:hAnsi="Times New Roman"/>
          <w:sz w:val="19"/>
          <w:szCs w:val="19"/>
          <w:color w:val="auto"/>
        </w:rPr>
        <w:t>of any contest by you regarding the amount of any payment or benefits pursuant to this Agreement), plus in each case interest on any delayed</w:t>
      </w:r>
    </w:p>
    <w:p>
      <w:pPr>
        <w:spacing w:after="0" w:line="204" w:lineRule="auto"/>
        <w:rPr>
          <w:sz w:val="20"/>
          <w:szCs w:val="20"/>
          <w:color w:val="auto"/>
        </w:rPr>
      </w:pPr>
      <w:r>
        <w:rPr>
          <w:rFonts w:ascii="Times New Roman" w:cs="Times New Roman" w:eastAsia="Times New Roman" w:hAnsi="Times New Roman"/>
          <w:sz w:val="20"/>
          <w:szCs w:val="20"/>
          <w:color w:val="auto"/>
        </w:rPr>
        <w:t>payment at the applicable federal rate provided for in Section 7872(f)(2)(A) of the Code. Notwithstanding anything in this Agreement to the contrary, (a) no provision of this Agreement shall operate to extend the life of any option beyond the term originally stated in the applicable</w:t>
      </w:r>
    </w:p>
    <w:p>
      <w:pPr>
        <w:spacing w:after="0" w:line="211" w:lineRule="auto"/>
        <w:rPr>
          <w:sz w:val="20"/>
          <w:szCs w:val="20"/>
          <w:color w:val="auto"/>
        </w:rPr>
      </w:pPr>
      <w:r>
        <w:rPr>
          <w:rFonts w:ascii="Times New Roman" w:cs="Times New Roman" w:eastAsia="Times New Roman" w:hAnsi="Times New Roman"/>
          <w:sz w:val="20"/>
          <w:szCs w:val="20"/>
          <w:color w:val="auto"/>
        </w:rPr>
        <w:t>option grant or option agreement; (b) the reimbursement of a fee or expense pursuant to this Section 12 shall be provided not later than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calendar year following the calendar year in which the fee or expense was incurred, (c) the amount of fees and expenses eligible for reimbursement during any calendar year may not affect the amount of fees and expenses eligible for reimbursement in any other calendar</w:t>
      </w:r>
    </w:p>
    <w:p>
      <w:pPr>
        <w:spacing w:after="0" w:line="211" w:lineRule="auto"/>
        <w:rPr>
          <w:sz w:val="20"/>
          <w:szCs w:val="20"/>
          <w:color w:val="auto"/>
        </w:rPr>
      </w:pPr>
      <w:r>
        <w:rPr>
          <w:rFonts w:ascii="Times New Roman" w:cs="Times New Roman" w:eastAsia="Times New Roman" w:hAnsi="Times New Roman"/>
          <w:sz w:val="20"/>
          <w:szCs w:val="20"/>
          <w:color w:val="auto"/>
        </w:rPr>
        <w:t>year, (d) the right to reimbursement under this Section 12 is not subject to liquidation or exchange for another benefit and (e) the obligation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of Skyworks under this Section 12 shall survive the termination for any reason of this Agreement and shall remain in effect until the applicable statute of limitation has expired with respect to any claim or contest (regardless of the outcome thereof) by Skyworks, you or</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others regarding the validity or enforceability of, or liability under, any provision of this Agreement or any guarantee of performance thereof (including as a result of any contest by you regarding the amount of any payment or benefits pursuant to this Agreement).</w:t>
      </w:r>
    </w:p>
    <w:p>
      <w:pPr>
        <w:spacing w:after="0" w:line="149"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20"/>
          <w:szCs w:val="20"/>
          <w:color w:val="auto"/>
        </w:rPr>
        <w:t>12.2. This Agreement is intended to comply with or be exempt from Section 409A of the Code and any related regulations or other applicable guidance promulgated thereunder (collectively, “Section 409A”), to the extent applicable. It is the intent of the parties hereto that</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all severance payments and benefits provided pursuant to this Agreement qualify as short-term deferrals, as defined in Treasury Regulation §1.409A-1(a)(4), separation pay due to an involuntary separation from service under Treasury Regulation §1.409A-1(b)(9)(iii),</w:t>
      </w:r>
    </w:p>
    <w:p>
      <w:pPr>
        <w:spacing w:after="0" w:line="211" w:lineRule="auto"/>
        <w:rPr>
          <w:sz w:val="20"/>
          <w:szCs w:val="20"/>
          <w:color w:val="auto"/>
        </w:rPr>
      </w:pPr>
      <w:r>
        <w:rPr>
          <w:rFonts w:ascii="Times New Roman" w:cs="Times New Roman" w:eastAsia="Times New Roman" w:hAnsi="Times New Roman"/>
          <w:sz w:val="20"/>
          <w:szCs w:val="20"/>
          <w:color w:val="auto"/>
        </w:rPr>
        <w:t>reimbursement of medical benefits under Treasury Regulation §1.409A-1(b)(9)(v)(B), and/or limited payments, as defined in Treasury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Regulation §1.409A-1(b)(9)(v)(D), to the extent applicable. If (a) it is determined that any payments or benefits provided pursuant to this Agreement that are paid upon “separation from service” (as that term is used in Section 409A) constitute deferred compensation for purposes</w:t>
      </w:r>
    </w:p>
    <w:p>
      <w:pPr>
        <w:spacing w:after="0" w:line="222" w:lineRule="auto"/>
        <w:rPr>
          <w:sz w:val="20"/>
          <w:szCs w:val="20"/>
          <w:color w:val="auto"/>
        </w:rPr>
      </w:pPr>
      <w:r>
        <w:rPr>
          <w:rFonts w:ascii="Times New Roman" w:cs="Times New Roman" w:eastAsia="Times New Roman" w:hAnsi="Times New Roman"/>
          <w:sz w:val="19"/>
          <w:szCs w:val="19"/>
          <w:color w:val="auto"/>
        </w:rPr>
        <w:t>of Section 409A (after taking into account the exceptions listed in the prior sentence and/or any other applicable exceptions) and (b) you are a</w:t>
      </w:r>
    </w:p>
    <w:p>
      <w:pPr>
        <w:ind w:right="20"/>
        <w:spacing w:after="0" w:line="215" w:lineRule="auto"/>
        <w:rPr>
          <w:sz w:val="20"/>
          <w:szCs w:val="20"/>
          <w:color w:val="auto"/>
        </w:rPr>
      </w:pPr>
      <w:r>
        <w:rPr>
          <w:rFonts w:ascii="Times New Roman" w:cs="Times New Roman" w:eastAsia="Times New Roman" w:hAnsi="Times New Roman"/>
          <w:sz w:val="19"/>
          <w:szCs w:val="19"/>
          <w:color w:val="auto"/>
        </w:rPr>
        <w:t>“specified employee” (as that term is used in Section 409A) when your employment terminates, such payments or benefits (or portions thereof) that constitute deferred compensation payable upon a separation from service that are to be paid or provided during the six (6) month</w:t>
      </w:r>
    </w:p>
    <w:p>
      <w:pPr>
        <w:spacing w:after="0" w:line="222" w:lineRule="auto"/>
        <w:rPr>
          <w:sz w:val="20"/>
          <w:szCs w:val="20"/>
          <w:color w:val="auto"/>
        </w:rPr>
      </w:pPr>
      <w:r>
        <w:rPr>
          <w:rFonts w:ascii="Times New Roman" w:cs="Times New Roman" w:eastAsia="Times New Roman" w:hAnsi="Times New Roman"/>
          <w:sz w:val="19"/>
          <w:szCs w:val="19"/>
          <w:color w:val="auto"/>
        </w:rPr>
        <w:t>period following termination of your employment shall not be paid or provided until the first business day after the date that is six (6) months</w:t>
      </w:r>
    </w:p>
    <w:p>
      <w:pPr>
        <w:jc w:val="both"/>
        <w:ind w:right="20"/>
        <w:spacing w:after="0" w:line="204" w:lineRule="auto"/>
        <w:rPr>
          <w:sz w:val="20"/>
          <w:szCs w:val="20"/>
          <w:color w:val="auto"/>
        </w:rPr>
      </w:pPr>
      <w:r>
        <w:rPr>
          <w:rFonts w:ascii="Times New Roman" w:cs="Times New Roman" w:eastAsia="Times New Roman" w:hAnsi="Times New Roman"/>
          <w:sz w:val="20"/>
          <w:szCs w:val="20"/>
          <w:color w:val="auto"/>
        </w:rPr>
        <w:t>following termination of your employment or, if earlier, the first business day following the date of your death. The payment that is made pursuant to the prior sentence shall include the cumulative amount of any amounts that could not be paid during the six (6) month period.</w:t>
      </w:r>
    </w:p>
    <w:p>
      <w:pPr>
        <w:spacing w:after="0" w:line="197" w:lineRule="auto"/>
        <w:rPr>
          <w:sz w:val="20"/>
          <w:szCs w:val="20"/>
          <w:color w:val="auto"/>
        </w:rPr>
      </w:pPr>
      <w:r>
        <w:rPr>
          <w:rFonts w:ascii="Times New Roman" w:cs="Times New Roman" w:eastAsia="Times New Roman" w:hAnsi="Times New Roman"/>
          <w:sz w:val="20"/>
          <w:szCs w:val="20"/>
          <w:color w:val="auto"/>
        </w:rPr>
        <w:t>Each installment payment under this Agreement shall be treated as a separate payment as defined under Treasury Regulation §1.409A-2(b)</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56" w:name="page57"/>
    <w:bookmarkEnd w:id="56"/>
    <w:p>
      <w:pPr>
        <w:spacing w:after="0" w:line="200" w:lineRule="exact"/>
        <w:rPr>
          <w:sz w:val="20"/>
          <w:szCs w:val="20"/>
          <w:color w:val="auto"/>
        </w:rPr>
      </w:pPr>
    </w:p>
    <w:p>
      <w:pPr>
        <w:spacing w:after="0" w:line="246"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12.3. Except as expressly provided in this Section 12, neither you nor Skyworks shall have the right to accelerate or to defer the delivery of the payments or benefits to be made or provided under this Agreement and in no event shall you have the right to designate in which tax year</w:t>
      </w:r>
    </w:p>
    <w:p>
      <w:pPr>
        <w:spacing w:after="0" w:line="207" w:lineRule="auto"/>
        <w:rPr>
          <w:sz w:val="20"/>
          <w:szCs w:val="20"/>
          <w:color w:val="auto"/>
        </w:rPr>
      </w:pPr>
      <w:r>
        <w:rPr>
          <w:rFonts w:ascii="Times New Roman" w:cs="Times New Roman" w:eastAsia="Times New Roman" w:hAnsi="Times New Roman"/>
          <w:sz w:val="19"/>
          <w:szCs w:val="19"/>
          <w:color w:val="auto"/>
        </w:rPr>
        <w:t>a payment will be made or benefit will be provided. Accordingly, if the sixty (60) day period during which the Release (described in Section</w:t>
      </w:r>
    </w:p>
    <w:p>
      <w:pPr>
        <w:spacing w:after="0" w:line="1" w:lineRule="exact"/>
        <w:rPr>
          <w:sz w:val="20"/>
          <w:szCs w:val="20"/>
          <w:color w:val="auto"/>
        </w:rPr>
      </w:pPr>
    </w:p>
    <w:p>
      <w:pPr>
        <w:jc w:val="both"/>
        <w:ind w:firstLine="8"/>
        <w:spacing w:after="0" w:line="215" w:lineRule="auto"/>
        <w:tabs>
          <w:tab w:leader="none" w:pos="231"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must be executed, delivered, and become irrevocable straddles two tax years, no payments or benefits will be made or provided to you before the first business day of the second tax year. Notwithstanding anything in this Agreement to the contrary, references to employment termination in Sections 1, 2, or 4, as applicable, shall be interpreted to mean “separation from service,” as that term is used in Section 409A of the Code and related regulations. Accordingly, payments to be made under Sections 1, 2, or 4, as applicable, shall not be made unless a separation from service (within the meaning of Section 409A of the Code and related regulations) shall have occurred.</w:t>
      </w:r>
    </w:p>
    <w:p>
      <w:pPr>
        <w:spacing w:after="0" w:line="163"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0"/>
          <w:szCs w:val="20"/>
          <w:color w:val="auto"/>
        </w:rPr>
        <w:t>12.4. Skyworks may withhold (or cause to be withheld) from any payments made under this Agreement, all federal, state, city or other taxes as shall be required to be withheld pursuant to any law or governmental regulation or ruling.</w:t>
      </w:r>
    </w:p>
    <w:p>
      <w:pPr>
        <w:spacing w:after="0" w:line="15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12.5.</w:t>
      </w:r>
      <w:r>
        <w:rPr>
          <w:sz w:val="20"/>
          <w:szCs w:val="20"/>
          <w:color w:val="auto"/>
        </w:rPr>
        <w:tab/>
      </w:r>
      <w:r>
        <w:rPr>
          <w:rFonts w:ascii="Times New Roman" w:cs="Times New Roman" w:eastAsia="Times New Roman" w:hAnsi="Times New Roman"/>
          <w:sz w:val="19"/>
          <w:szCs w:val="19"/>
          <w:color w:val="auto"/>
        </w:rPr>
        <w:t>Skyworks shall require any successor (whether direct or indirect, by purchase, merger, consolidation, reorganization or otherwise) to</w:t>
      </w:r>
    </w:p>
    <w:p>
      <w:pPr>
        <w:spacing w:after="0" w:line="204" w:lineRule="auto"/>
        <w:rPr>
          <w:sz w:val="20"/>
          <w:szCs w:val="20"/>
          <w:color w:val="auto"/>
        </w:rPr>
      </w:pPr>
      <w:r>
        <w:rPr>
          <w:rFonts w:ascii="Times New Roman" w:cs="Times New Roman" w:eastAsia="Times New Roman" w:hAnsi="Times New Roman"/>
          <w:sz w:val="20"/>
          <w:szCs w:val="20"/>
          <w:color w:val="auto"/>
        </w:rPr>
        <w:t>all or substantially all of the business or assets of Skyworks (the “Acquisition”), as a condition precedent to the Acquisition, to expressly assume and agree in writing, with a copy to you, to perform this Agreement in the same manner and to the same extent as Skyworks would</w:t>
      </w:r>
    </w:p>
    <w:p>
      <w:pPr>
        <w:spacing w:after="0" w:line="211" w:lineRule="auto"/>
        <w:rPr>
          <w:sz w:val="20"/>
          <w:szCs w:val="20"/>
          <w:color w:val="auto"/>
        </w:rPr>
      </w:pPr>
      <w:r>
        <w:rPr>
          <w:rFonts w:ascii="Times New Roman" w:cs="Times New Roman" w:eastAsia="Times New Roman" w:hAnsi="Times New Roman"/>
          <w:sz w:val="20"/>
          <w:szCs w:val="20"/>
          <w:color w:val="auto"/>
        </w:rPr>
        <w:t>be required to perform this Agreement as if no such succession had taken place. You acknowledge and agree, and Skyworks acknowledges</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and agrees, that, without limitation to any other provision of this Agreement which is also “material,” this provision is a material term of this Agreement and an important clause benefiting you, to assure you that the obligation of Skyworks to provide you with the existing benefits</w:t>
      </w:r>
    </w:p>
    <w:p>
      <w:pPr>
        <w:spacing w:after="0" w:line="228" w:lineRule="auto"/>
        <w:rPr>
          <w:sz w:val="20"/>
          <w:szCs w:val="20"/>
          <w:color w:val="auto"/>
        </w:rPr>
      </w:pPr>
      <w:r>
        <w:rPr>
          <w:rFonts w:ascii="Times New Roman" w:cs="Times New Roman" w:eastAsia="Times New Roman" w:hAnsi="Times New Roman"/>
          <w:sz w:val="20"/>
          <w:szCs w:val="20"/>
          <w:color w:val="auto"/>
        </w:rPr>
        <w:t>made available under this Agreement, are adhered to by any successor to Skyworks, and the provision also benefits Skyworks in that the assurance to you afforded by this provision is an important retention incentive to have you remain in the employment of Skyworks.</w:t>
      </w:r>
    </w:p>
    <w:p>
      <w:pPr>
        <w:spacing w:after="0" w:line="14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12.6.</w:t>
      </w:r>
      <w:r>
        <w:rPr>
          <w:sz w:val="20"/>
          <w:szCs w:val="20"/>
          <w:color w:val="auto"/>
        </w:rPr>
        <w:tab/>
      </w:r>
      <w:r>
        <w:rPr>
          <w:rFonts w:ascii="Times New Roman" w:cs="Times New Roman" w:eastAsia="Times New Roman" w:hAnsi="Times New Roman"/>
          <w:sz w:val="19"/>
          <w:szCs w:val="19"/>
          <w:color w:val="auto"/>
        </w:rPr>
        <w:t>This Agreement may be modified only by a written instrument executed by both parties.</w:t>
      </w:r>
    </w:p>
    <w:p>
      <w:pPr>
        <w:spacing w:after="0" w:line="18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12.7.</w:t>
        <w:tab/>
        <w:t>This Agreement and any disputes hereunder shall be governed by and construed in accordance with the internal laws of the State of</w:t>
      </w:r>
    </w:p>
    <w:p>
      <w:pPr>
        <w:spacing w:after="0" w:line="221" w:lineRule="auto"/>
        <w:rPr>
          <w:sz w:val="20"/>
          <w:szCs w:val="20"/>
          <w:color w:val="auto"/>
        </w:rPr>
      </w:pPr>
      <w:r>
        <w:rPr>
          <w:rFonts w:ascii="Times New Roman" w:cs="Times New Roman" w:eastAsia="Times New Roman" w:hAnsi="Times New Roman"/>
          <w:sz w:val="20"/>
          <w:szCs w:val="20"/>
          <w:color w:val="auto"/>
        </w:rPr>
        <w:t>California without giving effect to any choice or conflict of law provision or rule (whether of California or any other jurisdiction) that would cause the application of laws of any jurisdiction other than those of California.</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40" w:right="339" w:bottom="1440" w:gutter="0" w:footer="0" w:header="0"/>
        </w:sectPr>
      </w:pPr>
    </w:p>
    <w:bookmarkStart w:id="57" w:name="page58"/>
    <w:bookmarkEnd w:id="57"/>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Please sign both copies of this Agreement and return one to Skyworks.</w:t>
      </w:r>
    </w:p>
    <w:p>
      <w:pPr>
        <w:spacing w:after="0" w:line="25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Sincerely,</w:t>
      </w:r>
    </w:p>
    <w:p>
      <w:pPr>
        <w:spacing w:after="0" w:line="283" w:lineRule="exact"/>
        <w:rPr>
          <w:sz w:val="20"/>
          <w:szCs w:val="20"/>
          <w:color w:val="auto"/>
        </w:rPr>
      </w:pPr>
    </w:p>
    <w:p>
      <w:pPr>
        <w:ind w:left="80"/>
        <w:spacing w:after="0"/>
        <w:tabs>
          <w:tab w:leader="none" w:pos="5680" w:val="left"/>
        </w:tabs>
        <w:rPr>
          <w:sz w:val="20"/>
          <w:szCs w:val="20"/>
          <w:color w:val="auto"/>
        </w:rPr>
      </w:pPr>
      <w:r>
        <w:rPr>
          <w:rFonts w:ascii="Times New Roman" w:cs="Times New Roman" w:eastAsia="Times New Roman" w:hAnsi="Times New Roman"/>
          <w:sz w:val="20"/>
          <w:szCs w:val="20"/>
          <w:color w:val="auto"/>
        </w:rPr>
        <w:t>SKYWORKS SOLUTIONS, INC.</w:t>
      </w:r>
      <w:r>
        <w:rPr>
          <w:sz w:val="20"/>
          <w:szCs w:val="20"/>
          <w:color w:val="auto"/>
        </w:rPr>
        <w:tab/>
      </w:r>
      <w:r>
        <w:rPr>
          <w:rFonts w:ascii="Times New Roman" w:cs="Times New Roman" w:eastAsia="Times New Roman" w:hAnsi="Times New Roman"/>
          <w:sz w:val="19"/>
          <w:szCs w:val="19"/>
          <w:color w:val="auto"/>
        </w:rPr>
        <w:t>AGREED TO:</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 Liam K. Griffin</w:t>
            </w:r>
          </w:p>
        </w:tc>
        <w:tc>
          <w:tcPr>
            <w:tcW w:w="280" w:type="dxa"/>
            <w:vAlign w:val="bottom"/>
          </w:tcPr>
          <w:p>
            <w:pPr>
              <w:spacing w:after="0"/>
              <w:rPr>
                <w:sz w:val="22"/>
                <w:szCs w:val="22"/>
                <w:color w:val="auto"/>
              </w:rPr>
            </w:pPr>
          </w:p>
        </w:tc>
        <w:tc>
          <w:tcPr>
            <w:tcW w:w="56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 Kris Sennesael</w:t>
            </w:r>
          </w:p>
        </w:tc>
        <w:tc>
          <w:tcPr>
            <w:tcW w:w="0" w:type="dxa"/>
            <w:vAlign w:val="bottom"/>
          </w:tcPr>
          <w:p>
            <w:pPr>
              <w:spacing w:after="0"/>
              <w:rPr>
                <w:sz w:val="1"/>
                <w:szCs w:val="1"/>
                <w:color w:val="auto"/>
              </w:rPr>
            </w:pPr>
          </w:p>
        </w:tc>
      </w:tr>
      <w:tr>
        <w:trPr>
          <w:trHeight w:val="244"/>
        </w:trPr>
        <w:tc>
          <w:tcPr>
            <w:tcW w:w="56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Liam K. Griffin</w:t>
            </w:r>
          </w:p>
        </w:tc>
        <w:tc>
          <w:tcPr>
            <w:tcW w:w="56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Kris Sennesael</w:t>
            </w:r>
          </w:p>
        </w:tc>
        <w:tc>
          <w:tcPr>
            <w:tcW w:w="0" w:type="dxa"/>
            <w:vAlign w:val="bottom"/>
          </w:tcPr>
          <w:p>
            <w:pPr>
              <w:spacing w:after="0"/>
              <w:rPr>
                <w:sz w:val="1"/>
                <w:szCs w:val="1"/>
                <w:color w:val="auto"/>
              </w:rPr>
            </w:pPr>
          </w:p>
        </w:tc>
      </w:tr>
      <w:tr>
        <w:trPr>
          <w:trHeight w:val="258"/>
        </w:trPr>
        <w:tc>
          <w:tcPr>
            <w:tcW w:w="56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Chairman, Chief Executive Officer and President</w:t>
            </w:r>
          </w:p>
        </w:tc>
        <w:tc>
          <w:tcPr>
            <w:tcW w:w="560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Date:</w:t>
            </w:r>
          </w:p>
        </w:tc>
        <w:tc>
          <w:tcPr>
            <w:tcW w:w="0" w:type="dxa"/>
            <w:vAlign w:val="bottom"/>
          </w:tcPr>
          <w:p>
            <w:pPr>
              <w:spacing w:after="0"/>
              <w:rPr>
                <w:sz w:val="1"/>
                <w:szCs w:val="1"/>
                <w:color w:val="auto"/>
              </w:rPr>
            </w:pPr>
          </w:p>
        </w:tc>
      </w:tr>
      <w:tr>
        <w:trPr>
          <w:trHeight w:val="214"/>
        </w:trPr>
        <w:tc>
          <w:tcPr>
            <w:tcW w:w="5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5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May 10, 2023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40"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Release of Claims</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 xml:space="preserve">In consideration for receiving benefits pursuant to Sections 1, 2, or 3, as applicable, of the Amended and Restated Change in Control/Severance Agreement dated May 10, 2023, between you and Skyworks Solutions, Inc. (the “Company”) (the “Agreement”), you, on behalf of yourself and your representatives, agents, estate, heirs, successors and assigns, agree to and do hereby fully, forever, irrevocably and unconditionally waive, release and discharge the Company, and each of its affiliated or related entities, parents, subsidiaries, predecessors, successors, assigns, divisions, owners, stockholders, partners, directors, officers, attorneys, insurers, benefit plans, employees and agents, whether previously or hereinafter affiliated in any manner, as well as all persons or entities acting by, through, or in concert with any of them (collectively, the “Released Parties”), from any and all claims, debts, contracts, obligations, promises, controversies, agreements, liabilities, charges, demands, actions, suits, disputes, agreements, damages, attorneys’ fees, and complaints of every kind and nature whatsoever, whether or not now known, suspected, claimed, matured or unmatured, existing or contingent, from the beginning of time until the moment you have signed this Agreement, against the Released Parties (whether directly or indirectly), or any of them, by reason of any act, event or omission concerning any matter, cause or thing, including, but not limited to, any and all claims arising out of or relating to your employment with and/or separation from the Company, including without limiting the generality of the foregoing, all claims under Title VII of the Civil Rights Act of 1964, 42 U.S.C. § 2000e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the Age Discrimination in Employment Act of 1967, 29 U.S.C. § 621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(including the Older Workers Benefit Protection Act), the Genetic Information Nondiscrimination Act of 2008, 42 U.S.C. § 2000ff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the Rehabilitation Act of 1973, 29 U.S.C. § 701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the Fair Credit Reporting Act, 15 U.S.C. § 1681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the Equal Pay Act of 1963, 29 U.S.C. § 206(d), the Americans With Disabilities Act of 1990, 42 U.S.C. § 12101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the Family and Medical Leave Act of 1993, 29 U.S.C. § 2601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the Worker Adjustment Retraining and Notification Act, 29 U.S.C. § 2101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the Employee Retirement Income Security Act of 1974, 29 U.S.C. § 1001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and any applicable Executive Orders, all as amended; all claims arising out of the California Fair Employment and Housing Act, Cal. Gov’t. Code § 12900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the California Equal Pay Act, Cal. Lab. Code § 1197.5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the California Family Rights Act, Cal. Gov’t. Code § 12945.1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and § 19702.3, the Cal-WARN Act, Cal. Lab. Code §§ 1400-1408, Cal. Lab. Code § 233 (California’s kin care law), Cal. Code Regs. tit. 2, §§ 7291.2– 7291.16 (California’s pregnancy leave law), California Unruh Civil Rights Act, Cal. Civ. Code § 51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and Cal. Lab. Code §§ 98.6 and 1102.5 (California whistleblower protection laws), all as amended; all common law claims including, but not limited to, actions for wrongful discharge, breach of contract, infliction of emotional distress, defamation, misrepresentation, and fraud; all claims to any non-vested ownership interest in the Company or any of its affiliates, contractual or otherwise; all state and federal whistleblower claims to the maximum extent permitted by law; and any claim or damage arising out of your employment with and/or separation from the Company (including a claim for retaliation) under any common law theory</w:t>
      </w:r>
    </w:p>
    <w:p>
      <w:pPr>
        <w:spacing w:after="0" w:line="23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or any federal, state or local statute or ordinance not expressly referenced above; </w:t>
      </w:r>
      <w:r>
        <w:rPr>
          <w:rFonts w:ascii="Times New Roman" w:cs="Times New Roman" w:eastAsia="Times New Roman" w:hAnsi="Times New Roman"/>
          <w:sz w:val="20"/>
          <w:szCs w:val="20"/>
          <w:i w:val="1"/>
          <w:iCs w:val="1"/>
          <w:color w:val="auto"/>
        </w:rPr>
        <w:t>provided, however, that this release of claims does not waive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any claims that cannot be waived as a matter of law, and it also does not prevent you from filing a charge with, cooperating with, or participating in any investigation or proceeding before, the Equal Employment Opportunity Commission or a state fair employment practices agency (except that you acknowledge that you may not recover any monetary benefits in connection with any such charge, investigation, or proceeding, and you further waive any rights or claims to any payment, benefit, attorneys’ fees or other remedial relief in connection with any such charge, investigation or proceeding</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ectPr>
          <w:pgSz w:w="11900" w:h="16838" w:orient="portrait"/>
          <w:cols w:equalWidth="0" w:num="1">
            <w:col w:w="11240"/>
          </w:cols>
          <w:pgMar w:left="320" w:top="1328" w:right="339" w:bottom="1440" w:gutter="0" w:footer="0" w:header="0"/>
        </w:sectPr>
      </w:pPr>
    </w:p>
    <w:bookmarkStart w:id="59" w:name="page60"/>
    <w:bookmarkEnd w:id="59"/>
    <w:p>
      <w:pPr>
        <w:spacing w:after="0" w:line="283" w:lineRule="auto"/>
        <w:rPr>
          <w:sz w:val="20"/>
          <w:szCs w:val="20"/>
          <w:color w:val="auto"/>
        </w:rPr>
      </w:pPr>
      <w:r>
        <w:rPr>
          <w:rFonts w:ascii="Times New Roman" w:cs="Times New Roman" w:eastAsia="Times New Roman" w:hAnsi="Times New Roman"/>
          <w:sz w:val="20"/>
          <w:szCs w:val="20"/>
          <w:color w:val="auto"/>
        </w:rPr>
        <w:t>You knowingly and voluntarily waive any and all rights you may have under Section 1542 of the California Civil Code, or any other similar state statutes or laws, regarding the waiver of unknown claims.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1542 states:</w:t>
      </w:r>
    </w:p>
    <w:p>
      <w:pPr>
        <w:spacing w:after="0" w:line="229" w:lineRule="exact"/>
        <w:rPr>
          <w:sz w:val="20"/>
          <w:szCs w:val="20"/>
          <w:color w:val="auto"/>
        </w:rPr>
      </w:pPr>
    </w:p>
    <w:p>
      <w:pPr>
        <w:jc w:val="both"/>
        <w:ind w:left="660" w:right="700"/>
        <w:spacing w:after="0" w:line="258" w:lineRule="auto"/>
        <w:rPr>
          <w:sz w:val="20"/>
          <w:szCs w:val="20"/>
          <w:color w:val="auto"/>
        </w:rPr>
      </w:pPr>
      <w:r>
        <w:rPr>
          <w:rFonts w:ascii="Times New Roman" w:cs="Times New Roman" w:eastAsia="Times New Roman" w:hAnsi="Times New Roman"/>
          <w:sz w:val="20"/>
          <w:szCs w:val="20"/>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Notwithstanding the provisions of Section 1542, or any similar state statutes or laws, and for the purpose of implementing a full and complete release and discharge of the Released Parties, you expressly acknowledge that this Agreement is intended to include and does include in its effect, without limitation, all claims which you do not know or suspect to exist in your favor against the Released Parties, or any of them, at the moment of execution hereof, and that this Agreement expressly contemplates the extinguishment of all such claims.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SIGNING THIS AGREEMENT, YOU REPRESENT AND AGREE THAT:</w:t>
      </w:r>
    </w:p>
    <w:p>
      <w:pPr>
        <w:spacing w:after="0" w:line="202" w:lineRule="exact"/>
        <w:rPr>
          <w:sz w:val="20"/>
          <w:szCs w:val="20"/>
          <w:color w:val="auto"/>
        </w:rPr>
      </w:pPr>
    </w:p>
    <w:p>
      <w:pPr>
        <w:jc w:val="both"/>
        <w:ind w:left="660" w:hanging="652"/>
        <w:spacing w:after="0" w:line="220" w:lineRule="auto"/>
        <w:tabs>
          <w:tab w:leader="none" w:pos="66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UNDERSTAND ALL OF ITS TERMS AND KNOW THAT YOU ARE GIVING UP IMPORTANT RIGHTS, INCLUDING BUT NOT LIMITED TO, RIGHTS UNDER THE AGE DISCRIMINATION IN EMPLOYMENT ACT OF 1967, AS AMENDED BY THE OLDER WORKERS BENEFIT PROTECTION ACT; TITLE VII OF THE CIVIL RIGHTS ACT OF 1964, AS AMENDED; THE EQUAL PAY ACT OF 1963; THE AMERICANS WITH DISABILITIES ACT OF 1990; AND THE EMPLOYEE RETIREMENT INCOME SECURITY ACT OF 1974, AS AMENDED;</w:t>
      </w:r>
    </w:p>
    <w:p>
      <w:pPr>
        <w:spacing w:after="0" w:line="147" w:lineRule="exact"/>
        <w:rPr>
          <w:rFonts w:ascii="Times New Roman" w:cs="Times New Roman" w:eastAsia="Times New Roman" w:hAnsi="Times New Roman"/>
          <w:sz w:val="20"/>
          <w:szCs w:val="20"/>
          <w:color w:val="auto"/>
        </w:rPr>
      </w:pPr>
    </w:p>
    <w:p>
      <w:pPr>
        <w:jc w:val="both"/>
        <w:ind w:left="660" w:hanging="652"/>
        <w:spacing w:after="0" w:line="230" w:lineRule="auto"/>
        <w:tabs>
          <w:tab w:leader="none" w:pos="66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ARE ADVISED TO CONSULT WITH AN ATTORNEY BEFORE EXECUTING IT AND YOU HAVE EITHER DONE SO OR, AFTER CAREFUL READING AND CONSIDERATION, YOU HAVE CHOSEN NOT TO DO SO OF YOUR OWN VOLITION;</w:t>
      </w:r>
    </w:p>
    <w:p>
      <w:pPr>
        <w:spacing w:after="0" w:line="148"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HAVE HAD AT LEAST 21 DAYS FROM THE DATE OF YOUR RECEIPT OF THIS AGREEMENT SUBSTANTIALLY IN ITS FINAL FORM ON _______________ __, _____ TO CONSIDER IT; AND</w:t>
      </w:r>
    </w:p>
    <w:p>
      <w:pPr>
        <w:spacing w:after="0" w:line="161" w:lineRule="exact"/>
        <w:rPr>
          <w:rFonts w:ascii="Times New Roman" w:cs="Times New Roman" w:eastAsia="Times New Roman" w:hAnsi="Times New Roman"/>
          <w:sz w:val="20"/>
          <w:szCs w:val="20"/>
          <w:color w:val="auto"/>
        </w:rPr>
      </w:pPr>
    </w:p>
    <w:p>
      <w:pPr>
        <w:jc w:val="both"/>
        <w:ind w:left="660" w:hanging="652"/>
        <w:spacing w:after="0" w:line="226" w:lineRule="auto"/>
        <w:tabs>
          <w:tab w:leader="none" w:pos="66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UNDERSTAND THAT YOU HAVE SEVEN DAYS AFTER THE EXECUTION OF THIS AGREEMENT TO REVOKE IT AND THAT THIS AGREEMENT SHALL NOT BECOME EFFECTIVE OR ENFORCEABLE UNTIL THE REVOCATION PERIOD HAS EXPIRED.</w:t>
      </w: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Agreed: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40005</wp:posOffset>
            </wp:positionV>
            <wp:extent cx="244284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0">
                      <a:extLst>
                        <a:ext uri="{28A0092B-C50C-407E-A947-70E740481C1C}"/>
                      </a:extLst>
                    </a:blip>
                    <a:srcRect/>
                    <a:stretch>
                      <a:fillRect/>
                    </a:stretch>
                  </pic:blipFill>
                  <pic:spPr bwMode="auto">
                    <a:xfrm>
                      <a:off x="0" y="0"/>
                      <a:ext cx="2442845"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40005</wp:posOffset>
            </wp:positionV>
            <wp:extent cx="20916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1">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61"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20"/>
          <w:szCs w:val="20"/>
          <w:color w:val="auto"/>
        </w:rPr>
        <w:t>Date</w:t>
      </w:r>
    </w:p>
    <w:p>
      <w:pPr>
        <w:spacing w:after="0" w:line="3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Acknowledged: SKYWORKS SOLUTIONS, INC.</w:t>
      </w: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40005</wp:posOffset>
            </wp:positionV>
            <wp:extent cx="244284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2">
                      <a:extLst>
                        <a:ext uri="{28A0092B-C50C-407E-A947-70E740481C1C}"/>
                      </a:extLst>
                    </a:blip>
                    <a:srcRect/>
                    <a:stretch>
                      <a:fillRect/>
                    </a:stretch>
                  </pic:blipFill>
                  <pic:spPr bwMode="auto">
                    <a:xfrm>
                      <a:off x="0" y="0"/>
                      <a:ext cx="2442845"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40005</wp:posOffset>
            </wp:positionV>
            <wp:extent cx="20916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3">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61"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20"/>
          <w:szCs w:val="20"/>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w:t>
      </w:r>
    </w:p>
    <w:p>
      <w:pPr>
        <w:sectPr>
          <w:pgSz w:w="11900" w:h="16838" w:orient="portrait"/>
          <w:cols w:equalWidth="0" w:num="1">
            <w:col w:w="11240"/>
          </w:cols>
          <w:pgMar w:left="320" w:top="1332" w:right="339" w:bottom="1440" w:gutter="0" w:footer="0" w:header="0"/>
        </w:sectPr>
      </w:pPr>
    </w:p>
    <w:bookmarkStart w:id="60" w:name="page61"/>
    <w:bookmarkEnd w:id="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2917190</wp:posOffset>
            </wp:positionH>
            <wp:positionV relativeFrom="page">
              <wp:posOffset>88900</wp:posOffset>
            </wp:positionV>
            <wp:extent cx="1722755" cy="5657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1722755" cy="565785"/>
                    </a:xfrm>
                    <a:prstGeom prst="rect">
                      <a:avLst/>
                    </a:prstGeom>
                    <a:noFill/>
                  </pic:spPr>
                </pic:pic>
              </a:graphicData>
            </a:graphic>
          </wp:anchor>
        </w:drawing>
      </w:r>
    </w:p>
    <w:p>
      <w:pPr>
        <w:spacing w:after="0" w:line="2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10.14</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May 10,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Robert J. Terry</w:t>
      </w:r>
    </w:p>
    <w:p>
      <w:pPr>
        <w:spacing w:after="0" w:line="24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Re:</w:t>
      </w:r>
      <w:r>
        <w:rPr>
          <w:sz w:val="20"/>
          <w:szCs w:val="20"/>
          <w:color w:val="auto"/>
        </w:rPr>
        <w:tab/>
      </w:r>
      <w:r>
        <w:rPr>
          <w:rFonts w:ascii="Times New Roman" w:cs="Times New Roman" w:eastAsia="Times New Roman" w:hAnsi="Times New Roman"/>
          <w:sz w:val="19"/>
          <w:szCs w:val="19"/>
          <w:color w:val="auto"/>
        </w:rPr>
        <w:t>Amended and Restated Change in Control / Severance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Robert: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letter agreement (the “Agreement”) sets out the severance arrangements concerning your employment with Skyworks Solutions,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(“Skyworks”).</w:t>
      </w:r>
    </w:p>
    <w:p>
      <w:pPr>
        <w:spacing w:after="0" w:line="196" w:lineRule="exact"/>
        <w:rPr>
          <w:sz w:val="20"/>
          <w:szCs w:val="20"/>
          <w:color w:val="auto"/>
        </w:rPr>
      </w:pPr>
    </w:p>
    <w:p>
      <w:pPr>
        <w:ind w:left="660" w:hanging="652"/>
        <w:spacing w:after="0"/>
        <w:tabs>
          <w:tab w:leader="none" w:pos="66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Termination of Employment Related to Change in Control</w:t>
      </w:r>
    </w:p>
    <w:p>
      <w:pPr>
        <w:spacing w:after="0" w:line="179"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9"/>
          <w:szCs w:val="19"/>
          <w:color w:val="auto"/>
        </w:rPr>
        <w:t>1.1. If: (a) a Change in Control occurs during the Initial Term or the Additional Term (as defined in Section 9) and (b) your employment with Skyworks is terminated by Skyworks without Cause or you terminate your employment with Skyworks for Good Reason, in either case</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within the period of time commencing three (3) months prior to and ending two (2) years following the Change in Control, then you will receive the benefits provided in Section 1.2 and Section 2 below.</w:t>
      </w:r>
    </w:p>
    <w:p>
      <w:pPr>
        <w:spacing w:after="0" w:line="16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0"/>
          <w:szCs w:val="20"/>
          <w:color w:val="auto"/>
        </w:rPr>
        <w:t>1.2. Subject to the provisions of Sections 3.3, 8 and 12, (a) as soon as practicable (but not more than sixty (60) days) after the date of any termination of your employment described in Section 1.1 (or such later date as may be required by this Section 1.2 or by Section 12.2),</w:t>
      </w:r>
    </w:p>
    <w:p>
      <w:pPr>
        <w:spacing w:after="0" w:line="224" w:lineRule="auto"/>
        <w:rPr>
          <w:sz w:val="20"/>
          <w:szCs w:val="20"/>
          <w:color w:val="auto"/>
        </w:rPr>
      </w:pPr>
      <w:r>
        <w:rPr>
          <w:rFonts w:ascii="Times New Roman" w:cs="Times New Roman" w:eastAsia="Times New Roman" w:hAnsi="Times New Roman"/>
          <w:sz w:val="19"/>
          <w:szCs w:val="19"/>
          <w:color w:val="auto"/>
        </w:rPr>
        <w:t>Skyworks shall pay you a lump sum equal to one and one-half (1.5) times the sum of (i) your rate of annual base salary in effect immediately</w:t>
      </w:r>
    </w:p>
    <w:p>
      <w:pPr>
        <w:spacing w:after="0" w:line="215" w:lineRule="auto"/>
        <w:rPr>
          <w:sz w:val="20"/>
          <w:szCs w:val="20"/>
          <w:color w:val="auto"/>
        </w:rPr>
      </w:pPr>
      <w:r>
        <w:rPr>
          <w:rFonts w:ascii="Times New Roman" w:cs="Times New Roman" w:eastAsia="Times New Roman" w:hAnsi="Times New Roman"/>
          <w:sz w:val="19"/>
          <w:szCs w:val="19"/>
          <w:color w:val="auto"/>
        </w:rPr>
        <w:t>prior to the Change in Control, and (ii) the greater of (A) the average of the annual short-term cash incentive payments you received for each of the three years prior to the year in which the Change in Control occurs, or (B) your target annual short-term cash incentive opportunity for</w:t>
      </w:r>
    </w:p>
    <w:p>
      <w:pPr>
        <w:spacing w:after="0" w:line="211" w:lineRule="auto"/>
        <w:rPr>
          <w:sz w:val="20"/>
          <w:szCs w:val="20"/>
          <w:color w:val="auto"/>
        </w:rPr>
      </w:pPr>
      <w:r>
        <w:rPr>
          <w:rFonts w:ascii="Times New Roman" w:cs="Times New Roman" w:eastAsia="Times New Roman" w:hAnsi="Times New Roman"/>
          <w:sz w:val="20"/>
          <w:szCs w:val="20"/>
          <w:color w:val="auto"/>
        </w:rPr>
        <w:t>the year in which the Change in Control occurs (without regard to the relative achievement of any performance milestones which would</w:t>
      </w:r>
    </w:p>
    <w:p>
      <w:pPr>
        <w:jc w:val="both"/>
        <w:spacing w:after="0" w:line="204" w:lineRule="auto"/>
        <w:rPr>
          <w:sz w:val="20"/>
          <w:szCs w:val="20"/>
          <w:color w:val="auto"/>
        </w:rPr>
      </w:pPr>
      <w:r>
        <w:rPr>
          <w:rFonts w:ascii="Times New Roman" w:cs="Times New Roman" w:eastAsia="Times New Roman" w:hAnsi="Times New Roman"/>
          <w:sz w:val="20"/>
          <w:szCs w:val="20"/>
          <w:color w:val="auto"/>
        </w:rPr>
        <w:t>otherwise impact payment of the short-term cash incentive); (b) on the date of any termination described in Section 1.1, all of your then-outstanding Skyworks stock options shall remain exercisable for a period of eighteen (18) months after the termination date (or, if earlier,</w:t>
      </w:r>
    </w:p>
    <w:p>
      <w:pPr>
        <w:spacing w:after="0" w:line="223" w:lineRule="auto"/>
        <w:rPr>
          <w:sz w:val="20"/>
          <w:szCs w:val="20"/>
          <w:color w:val="auto"/>
        </w:rPr>
      </w:pPr>
      <w:r>
        <w:rPr>
          <w:rFonts w:ascii="Times New Roman" w:cs="Times New Roman" w:eastAsia="Times New Roman" w:hAnsi="Times New Roman"/>
          <w:sz w:val="19"/>
          <w:szCs w:val="19"/>
          <w:color w:val="auto"/>
        </w:rPr>
        <w:t>until the last day of the full option term), subject to their other terms and conditions; and (c) Skyworks shall make contributions to the cost of</w:t>
      </w:r>
    </w:p>
    <w:p>
      <w:pPr>
        <w:spacing w:after="0" w:line="204" w:lineRule="auto"/>
        <w:rPr>
          <w:sz w:val="20"/>
          <w:szCs w:val="20"/>
          <w:color w:val="auto"/>
        </w:rPr>
      </w:pPr>
      <w:r>
        <w:rPr>
          <w:rFonts w:ascii="Times New Roman" w:cs="Times New Roman" w:eastAsia="Times New Roman" w:hAnsi="Times New Roman"/>
          <w:sz w:val="20"/>
          <w:szCs w:val="20"/>
          <w:color w:val="auto"/>
        </w:rPr>
        <w:t>COBRA (Consolidated Omnibus Budget Reconciliation Act) coverage on your behalf (and on behalf of any applicable dependents) for a period of eighteen (18) months after your termination if you elect COBRA coverage, and only for so long as such coverage continues in</w:t>
      </w:r>
    </w:p>
    <w:p>
      <w:pPr>
        <w:spacing w:after="0" w:line="211" w:lineRule="auto"/>
        <w:rPr>
          <w:sz w:val="20"/>
          <w:szCs w:val="20"/>
          <w:color w:val="auto"/>
        </w:rPr>
      </w:pPr>
      <w:r>
        <w:rPr>
          <w:rFonts w:ascii="Times New Roman" w:cs="Times New Roman" w:eastAsia="Times New Roman" w:hAnsi="Times New Roman"/>
          <w:sz w:val="20"/>
          <w:szCs w:val="20"/>
          <w:color w:val="auto"/>
        </w:rPr>
        <w:t>force; provided, however, that if you commence new employment and are eligible for a new group health plan in connection with such</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employment, Skyworks’ contributions toward COBRA coverage shall end when the new employment begins. The contribution to the cost of COBRA coverage to be made by Skyworks shall be determined on the same basis as Skyworks’ contribution to Skyworks-provided medical,</w:t>
      </w:r>
    </w:p>
    <w:p>
      <w:pPr>
        <w:spacing w:after="0" w:line="211" w:lineRule="auto"/>
        <w:rPr>
          <w:sz w:val="20"/>
          <w:szCs w:val="20"/>
          <w:color w:val="auto"/>
        </w:rPr>
      </w:pPr>
      <w:r>
        <w:rPr>
          <w:rFonts w:ascii="Times New Roman" w:cs="Times New Roman" w:eastAsia="Times New Roman" w:hAnsi="Times New Roman"/>
          <w:sz w:val="20"/>
          <w:szCs w:val="20"/>
          <w:color w:val="auto"/>
        </w:rPr>
        <w:t>dental, and vision insurance coverage in effect immediately before your termination of your employment for an active employee with the</w:t>
      </w:r>
    </w:p>
    <w:p>
      <w:pPr>
        <w:spacing w:after="0" w:line="204" w:lineRule="auto"/>
        <w:rPr>
          <w:sz w:val="20"/>
          <w:szCs w:val="20"/>
          <w:color w:val="auto"/>
        </w:rPr>
      </w:pPr>
      <w:r>
        <w:rPr>
          <w:rFonts w:ascii="Times New Roman" w:cs="Times New Roman" w:eastAsia="Times New Roman" w:hAnsi="Times New Roman"/>
          <w:sz w:val="20"/>
          <w:szCs w:val="20"/>
          <w:color w:val="auto"/>
        </w:rPr>
        <w:t>same coverage elections. Notwithstanding the foregoing, in the event that Skyworks’ provision of such COBRA payments will violate the nondiscrimination requirements of applicable law, Skyworks will not provide contributions to the cost of COBRA and this benefit shall not</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apply. Notwithstanding anything in this agreement to the contrary, in the event that your employment is terminated prior to the Change in Control, no payments shall be made under this Section 1.2 until after the effective date of the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Skyworks Solutions, Inc. </w:t>
      </w:r>
      <w:r>
        <w:rPr>
          <w:rFonts w:ascii="Arial" w:cs="Arial" w:eastAsia="Arial" w:hAnsi="Arial"/>
          <w:sz w:val="16"/>
          <w:szCs w:val="16"/>
          <w:color w:val="808080"/>
        </w:rPr>
        <w:t>●</w:t>
      </w:r>
      <w:r>
        <w:rPr>
          <w:rFonts w:ascii="Arial" w:cs="Arial" w:eastAsia="Arial" w:hAnsi="Arial"/>
          <w:sz w:val="16"/>
          <w:szCs w:val="16"/>
          <w:color w:val="auto"/>
        </w:rPr>
        <w:t xml:space="preserve"> 5260 California Avenue, Irvine, CA 92617</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949.231.3000 </w:t>
      </w:r>
      <w:r>
        <w:rPr>
          <w:rFonts w:ascii="Arial" w:cs="Arial" w:eastAsia="Arial" w:hAnsi="Arial"/>
          <w:sz w:val="16"/>
          <w:szCs w:val="16"/>
          <w:color w:val="808080"/>
        </w:rPr>
        <w:t>●</w:t>
      </w:r>
      <w:r>
        <w:rPr>
          <w:rFonts w:ascii="Arial" w:cs="Arial" w:eastAsia="Arial" w:hAnsi="Arial"/>
          <w:sz w:val="16"/>
          <w:szCs w:val="16"/>
          <w:color w:val="auto"/>
        </w:rPr>
        <w:t xml:space="preserve"> www.skyworksinc.com</w:t>
      </w:r>
    </w:p>
    <w:p>
      <w:pPr>
        <w:sectPr>
          <w:pgSz w:w="11900" w:h="16838" w:orient="portrait"/>
          <w:cols w:equalWidth="0" w:num="1">
            <w:col w:w="11240"/>
          </w:cols>
          <w:pgMar w:left="320" w:top="1440" w:right="339" w:bottom="1440" w:gutter="0" w:footer="0" w:header="0"/>
        </w:sectPr>
      </w:pPr>
    </w:p>
    <w:bookmarkStart w:id="61" w:name="page62"/>
    <w:bookmarkEnd w:id="61"/>
    <w:p>
      <w:pPr>
        <w:spacing w:after="0" w:line="200" w:lineRule="exact"/>
        <w:rPr>
          <w:sz w:val="20"/>
          <w:szCs w:val="20"/>
          <w:color w:val="auto"/>
        </w:rPr>
      </w:pPr>
    </w:p>
    <w:p>
      <w:pPr>
        <w:spacing w:after="0" w:line="242" w:lineRule="exact"/>
        <w:rPr>
          <w:sz w:val="20"/>
          <w:szCs w:val="20"/>
          <w:color w:val="auto"/>
        </w:rPr>
      </w:pPr>
    </w:p>
    <w:p>
      <w:pPr>
        <w:ind w:left="660" w:hanging="652"/>
        <w:spacing w:after="0"/>
        <w:tabs>
          <w:tab w:leader="none" w:pos="66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Effect of Change in Control on Equity Awards</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color w:val="auto"/>
        </w:rPr>
        <w:t>For purposes of this Section 2, “Equity Acceleration Date” means:</w:t>
      </w:r>
    </w:p>
    <w:p>
      <w:pPr>
        <w:spacing w:after="0" w:line="189" w:lineRule="exact"/>
        <w:rPr>
          <w:sz w:val="20"/>
          <w:szCs w:val="20"/>
          <w:color w:val="auto"/>
        </w:rPr>
      </w:pPr>
    </w:p>
    <w:p>
      <w:pPr>
        <w:jc w:val="both"/>
        <w:ind w:left="660" w:hanging="4"/>
        <w:spacing w:after="0" w:line="226" w:lineRule="auto"/>
        <w:tabs>
          <w:tab w:leader="none" w:pos="1298"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effective date of the Change in Control, in the event that you experience a termination of employment described in Section 1.1 that is within the period of time commencing three (3) months prior to the Change in Control and ending on the effective date of the Change in Control; or</w:t>
      </w:r>
    </w:p>
    <w:p>
      <w:pPr>
        <w:spacing w:after="0" w:line="160" w:lineRule="exact"/>
        <w:rPr>
          <w:rFonts w:ascii="Times New Roman" w:cs="Times New Roman" w:eastAsia="Times New Roman" w:hAnsi="Times New Roman"/>
          <w:sz w:val="20"/>
          <w:szCs w:val="20"/>
          <w:color w:val="auto"/>
        </w:rPr>
      </w:pPr>
    </w:p>
    <w:p>
      <w:pPr>
        <w:jc w:val="both"/>
        <w:ind w:left="660" w:hanging="4"/>
        <w:spacing w:after="0" w:line="215" w:lineRule="auto"/>
        <w:tabs>
          <w:tab w:leader="none" w:pos="1296"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effective date of your termination of employment, in the event that you experience a termination of employment described in Section 1.1 that is within the period of time commencing on the effective date of the Change in Control and ending two</w:t>
      </w:r>
    </w:p>
    <w:p>
      <w:pPr>
        <w:spacing w:after="0" w:line="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 years following the Change in Control.</w:t>
      </w:r>
    </w:p>
    <w:p>
      <w:pPr>
        <w:spacing w:after="0" w:line="167"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2.2. In the event that you experience a termination of employment without Cause or for Good Reason, as described in Section 1.1, that is within the period of time commencing three (3) months prior to the Change in Control and ending on the effective date of the Change in</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Control, then on the date of your termination, each outstanding and unvested equity award held by you as of the day prior to the date of your termination of employment shall:</w:t>
      </w:r>
    </w:p>
    <w:p>
      <w:pPr>
        <w:spacing w:after="0" w:line="149" w:lineRule="exact"/>
        <w:rPr>
          <w:sz w:val="20"/>
          <w:szCs w:val="20"/>
          <w:color w:val="auto"/>
        </w:rPr>
      </w:pPr>
    </w:p>
    <w:p>
      <w:pPr>
        <w:jc w:val="both"/>
        <w:ind w:left="660" w:hanging="4"/>
        <w:spacing w:after="0" w:line="230" w:lineRule="auto"/>
        <w:tabs>
          <w:tab w:leader="none" w:pos="1298"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remain outstanding for the period of three months following your termination of employment with any vesting of such award being suspended until it is determined whether there is a Change in Control during the three (3) month period following your termination of employment;</w:t>
      </w:r>
    </w:p>
    <w:p>
      <w:pPr>
        <w:spacing w:after="0" w:line="148" w:lineRule="exact"/>
        <w:rPr>
          <w:rFonts w:ascii="Times New Roman" w:cs="Times New Roman" w:eastAsia="Times New Roman" w:hAnsi="Times New Roman"/>
          <w:sz w:val="20"/>
          <w:szCs w:val="20"/>
          <w:color w:val="auto"/>
        </w:rPr>
      </w:pPr>
    </w:p>
    <w:p>
      <w:pPr>
        <w:jc w:val="both"/>
        <w:ind w:left="660" w:hanging="4"/>
        <w:spacing w:after="0" w:line="220" w:lineRule="auto"/>
        <w:tabs>
          <w:tab w:leader="none" w:pos="1296"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Change in Control occurs within the three (3) month period following your termination of employment, be treated as if you had remained employed by Skyworks through the effective date of the Change in Control and notwithstanding any vesting schedule, forfeiture provisions, or anything else to the contrary in the respective award agreement or plan document governing such award, subject to the same terms and conditions as in effect immediately prior to your termination of employment and subject to any applicable provisions of this Section 2; and</w:t>
      </w:r>
    </w:p>
    <w:p>
      <w:pPr>
        <w:spacing w:after="0" w:line="160" w:lineRule="exact"/>
        <w:rPr>
          <w:rFonts w:ascii="Times New Roman" w:cs="Times New Roman" w:eastAsia="Times New Roman" w:hAnsi="Times New Roman"/>
          <w:sz w:val="20"/>
          <w:szCs w:val="20"/>
          <w:color w:val="auto"/>
        </w:rPr>
      </w:pPr>
    </w:p>
    <w:p>
      <w:pPr>
        <w:ind w:left="660" w:hanging="4"/>
        <w:spacing w:after="0" w:line="233" w:lineRule="auto"/>
        <w:tabs>
          <w:tab w:leader="none" w:pos="1298"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no Change in Control occurs within the three (3) month period following your termination of employment, terminate and be of no further force or effect except as otherwise provided in this Agreement.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2.3. If a Change in Control occurs during the Initial Term or the Additional Term, then the following provisions shall apply to your then-outstanding equity awards (including any equity awards that remain outstanding as of the Change in Control pursuant to Section 2.2):</w:t>
      </w:r>
    </w:p>
    <w:p>
      <w:pPr>
        <w:spacing w:after="0" w:line="148" w:lineRule="exact"/>
        <w:rPr>
          <w:sz w:val="20"/>
          <w:szCs w:val="20"/>
          <w:color w:val="auto"/>
        </w:rPr>
      </w:pPr>
    </w:p>
    <w:p>
      <w:pPr>
        <w:jc w:val="both"/>
        <w:ind w:left="660" w:hanging="4"/>
        <w:spacing w:after="0" w:line="212" w:lineRule="auto"/>
        <w:tabs>
          <w:tab w:leader="none" w:pos="1298"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you hold a performance-based equity award that vests based upon the achievement of performance metrics and upon providing continued service to Skyworks, and the Change in Control occurs prior to the “measurement date” (i.e. the last day of the applicable performance period) for such award, then upon the effective date of the Change in Control such award shall be earned as to the greater of (i) the “Target” level of shares for such award, or (ii) the number of shares that would have been earned pursuant to the terms of such award based upon performance up through and including the day prior to the date of the Change in Control; provided, however, that if the Compensation Committee of the Board of Directors of Skyworks (the “</w:t>
      </w:r>
      <w:r>
        <w:rPr>
          <w:rFonts w:ascii="Times New Roman" w:cs="Times New Roman" w:eastAsia="Times New Roman" w:hAnsi="Times New Roman"/>
          <w:sz w:val="20"/>
          <w:szCs w:val="20"/>
          <w:u w:val="single" w:color="auto"/>
          <w:color w:val="auto"/>
        </w:rPr>
        <w:t>Compensation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Committee</w:t>
      </w:r>
      <w:r>
        <w:rPr>
          <w:rFonts w:ascii="Times New Roman" w:cs="Times New Roman" w:eastAsia="Times New Roman" w:hAnsi="Times New Roman"/>
          <w:sz w:val="20"/>
          <w:szCs w:val="20"/>
          <w:color w:val="auto"/>
        </w:rPr>
        <w:t>”) determines in its sole discretion that it is impracticable to calculate the number of shares that would have been earned under subsection (ii) above with respect to one or more of the applicable performance metrics of the award, then such award shall be earned as to the “Target” level of shares covered by such performance metric(s). For the avoidance of doubt, any deemed satisfaction of performance goals as described in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62" w:name="page63"/>
    <w:bookmarkEnd w:id="62"/>
    <w:p>
      <w:pPr>
        <w:spacing w:after="0" w:line="200" w:lineRule="exact"/>
        <w:rPr>
          <w:sz w:val="20"/>
          <w:szCs w:val="20"/>
          <w:color w:val="auto"/>
        </w:rPr>
      </w:pPr>
    </w:p>
    <w:p>
      <w:pPr>
        <w:spacing w:after="0" w:line="246" w:lineRule="exact"/>
        <w:rPr>
          <w:sz w:val="20"/>
          <w:szCs w:val="20"/>
          <w:color w:val="auto"/>
        </w:rPr>
      </w:pPr>
    </w:p>
    <w:p>
      <w:pPr>
        <w:ind w:left="660"/>
        <w:spacing w:after="0" w:line="233" w:lineRule="auto"/>
        <w:rPr>
          <w:sz w:val="20"/>
          <w:szCs w:val="20"/>
          <w:color w:val="auto"/>
        </w:rPr>
      </w:pPr>
      <w:r>
        <w:rPr>
          <w:rFonts w:ascii="Times New Roman" w:cs="Times New Roman" w:eastAsia="Times New Roman" w:hAnsi="Times New Roman"/>
          <w:sz w:val="20"/>
          <w:szCs w:val="20"/>
          <w:color w:val="auto"/>
        </w:rPr>
        <w:t>Section 2.3(a) shall occur prior to the assumption, substitution, or accelerated vesting of such award as provided in this Section 2.3 or in Section 2.4.</w:t>
      </w:r>
    </w:p>
    <w:p>
      <w:pPr>
        <w:spacing w:after="0" w:line="161" w:lineRule="exact"/>
        <w:rPr>
          <w:sz w:val="20"/>
          <w:szCs w:val="20"/>
          <w:color w:val="auto"/>
        </w:rPr>
      </w:pPr>
    </w:p>
    <w:p>
      <w:pPr>
        <w:jc w:val="both"/>
        <w:ind w:left="660" w:hanging="4"/>
        <w:spacing w:after="0" w:line="213" w:lineRule="auto"/>
        <w:tabs>
          <w:tab w:leader="none" w:pos="1296"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successor or surviving company in the Change in Control does not agree to assume, or substitute for, an equity award (or in which Skyworks is the ultimate parent corporation and does not agree to continue the equity award) on substantially similar terms with substantially equivalent economic benefits (which benefits shall include, for the avoidance of doubt, the liquidity of the securities underlying the assumed or substituted award following the Change in Control) as exist for such award immediately prior to the Change in Control, as determined in the sole discretion of the Compensation Committee, then such equity award shall, immediately prior to the Change in Control, automatically become vested, exercisable, and issuable, and any forfeiture restrictions thereon shall immediately lapse, as applicable, in each case, with respect to one-hundred percent (100%) of that number of then-unvested shares underlying such equity award, after giving effect to any deemed satisfaction of performance goals as described in Section 2.3(a).</w:t>
      </w:r>
    </w:p>
    <w:p>
      <w:pPr>
        <w:spacing w:after="0" w:line="161" w:lineRule="exact"/>
        <w:rPr>
          <w:rFonts w:ascii="Times New Roman" w:cs="Times New Roman" w:eastAsia="Times New Roman" w:hAnsi="Times New Roman"/>
          <w:sz w:val="20"/>
          <w:szCs w:val="20"/>
          <w:color w:val="auto"/>
        </w:rPr>
      </w:pPr>
    </w:p>
    <w:p>
      <w:pPr>
        <w:jc w:val="both"/>
        <w:ind w:left="660" w:hanging="4"/>
        <w:spacing w:after="0" w:line="213" w:lineRule="auto"/>
        <w:tabs>
          <w:tab w:leader="none" w:pos="1298"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successor or surviving company in the Change in Control agrees to assume, or substitute for, an outstanding equity award (or in which Skyworks is the ultimate parent corporation and agrees to continue the equity award) on substantially similar terms with substantially equivalent economic benefits (which benefits shall include, for the avoidance of doubt, the liquidity of the securities underlying the assumed or substituted award following the Change in Control) as exist for such award immediately prior to the Change in Control (but after giving effect to any deemed satisfaction of performance goals as described in Section 2.3(a)), as determined in the sole discretion of the Compensation Committee, then for the avoidance of doubt, such equity award shall continue to be subject to the same time-based vesting schedule to which the award was subject immediately prior to the Change in Control.</w:t>
      </w:r>
    </w:p>
    <w:p>
      <w:pPr>
        <w:spacing w:after="0" w:line="15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2.4.</w:t>
      </w:r>
      <w:r>
        <w:rPr>
          <w:sz w:val="20"/>
          <w:szCs w:val="20"/>
          <w:color w:val="auto"/>
        </w:rPr>
        <w:tab/>
      </w:r>
      <w:r>
        <w:rPr>
          <w:rFonts w:ascii="Times New Roman" w:cs="Times New Roman" w:eastAsia="Times New Roman" w:hAnsi="Times New Roman"/>
          <w:sz w:val="20"/>
          <w:szCs w:val="20"/>
          <w:color w:val="auto"/>
        </w:rPr>
        <w:t>Subject to the provisions of Sections 3.3, 8 and 12, each outstanding and unvested equity award held by you on the Equity</w:t>
      </w:r>
    </w:p>
    <w:p>
      <w:pPr>
        <w:spacing w:after="0" w:line="204" w:lineRule="auto"/>
        <w:rPr>
          <w:sz w:val="20"/>
          <w:szCs w:val="20"/>
          <w:color w:val="auto"/>
        </w:rPr>
      </w:pPr>
      <w:r>
        <w:rPr>
          <w:rFonts w:ascii="Times New Roman" w:cs="Times New Roman" w:eastAsia="Times New Roman" w:hAnsi="Times New Roman"/>
          <w:sz w:val="20"/>
          <w:szCs w:val="20"/>
          <w:color w:val="auto"/>
        </w:rPr>
        <w:t>Acceleration Date that, pursuant to its terms and after giving effect to any deemed satisfaction of performance goals as described in Section 2.3(a) and any deemed continued employment through the effective date of the Change in Control as described in Section 2.2, vests</w:t>
      </w:r>
    </w:p>
    <w:p>
      <w:pPr>
        <w:spacing w:after="0" w:line="211" w:lineRule="auto"/>
        <w:rPr>
          <w:sz w:val="20"/>
          <w:szCs w:val="20"/>
          <w:color w:val="auto"/>
        </w:rPr>
      </w:pPr>
      <w:r>
        <w:rPr>
          <w:rFonts w:ascii="Times New Roman" w:cs="Times New Roman" w:eastAsia="Times New Roman" w:hAnsi="Times New Roman"/>
          <w:sz w:val="20"/>
          <w:szCs w:val="20"/>
          <w:color w:val="auto"/>
        </w:rPr>
        <w:t>solely based upon providing continued service to Skyworks (or, if applicable, a successor corporation to Skyworks), including, without</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limitation, stock options, restricted stock awards (including restricted stock unit awards), and performance-based equity awards that are earned but unissued, shall on the Equity Acceleration Date automatically become vested, exercisable, and issuable, and any forfeiture</w:t>
      </w:r>
    </w:p>
    <w:p>
      <w:pPr>
        <w:spacing w:after="0" w:line="211" w:lineRule="auto"/>
        <w:rPr>
          <w:sz w:val="20"/>
          <w:szCs w:val="20"/>
          <w:color w:val="auto"/>
        </w:rPr>
      </w:pPr>
      <w:r>
        <w:rPr>
          <w:rFonts w:ascii="Times New Roman" w:cs="Times New Roman" w:eastAsia="Times New Roman" w:hAnsi="Times New Roman"/>
          <w:sz w:val="20"/>
          <w:szCs w:val="20"/>
          <w:color w:val="auto"/>
        </w:rPr>
        <w:t>restrictions thereon shall immediately lapse, as applicable, in each case, with respect to one-hundred percent (100%) of that number of then-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unvested shares underlying such equity award. For the avoidance of doubt, the reference in this Section 2.4 to “performance-based equity awards that are earned but unissued” shall include any awards (i) for which the measurement date occurs on or prior to the effective date of</w:t>
      </w:r>
    </w:p>
    <w:p>
      <w:pPr>
        <w:spacing w:after="0" w:line="211" w:lineRule="auto"/>
        <w:rPr>
          <w:sz w:val="20"/>
          <w:szCs w:val="20"/>
          <w:color w:val="auto"/>
        </w:rPr>
      </w:pPr>
      <w:r>
        <w:rPr>
          <w:rFonts w:ascii="Times New Roman" w:cs="Times New Roman" w:eastAsia="Times New Roman" w:hAnsi="Times New Roman"/>
          <w:sz w:val="20"/>
          <w:szCs w:val="20"/>
          <w:color w:val="auto"/>
        </w:rPr>
        <w:t>the Change in Control, and (ii) for which the Change in Control occurs prior to the measurement date and which are upon the Change in</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Control converted into, or substituted by, awards vesting solely based upon providing continued service to Skyworks or its successor, pursuant to Section 2.3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2.5. Subject to Section 12.4, any shares that are issued pursuant to Section 2.3(b) or Section 2.4 shall be issued to you on, or as soon as practicable (but not more than sixty (60) days) after, the Equity Acceleration Date (or such later date as may be required by Section 12.2).</w:t>
      </w:r>
    </w:p>
    <w:p>
      <w:pPr>
        <w:spacing w:after="0" w:line="144" w:lineRule="exact"/>
        <w:rPr>
          <w:sz w:val="20"/>
          <w:szCs w:val="20"/>
          <w:color w:val="auto"/>
        </w:rPr>
      </w:pPr>
    </w:p>
    <w:p>
      <w:pPr>
        <w:ind w:left="660" w:hanging="652"/>
        <w:spacing w:after="0"/>
        <w:tabs>
          <w:tab w:leader="none" w:pos="66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Termination of Employment Unrelated to Change in Control</w:t>
      </w:r>
    </w:p>
    <w:p>
      <w:pPr>
        <w:spacing w:after="0" w:line="19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9"/>
          <w:szCs w:val="19"/>
          <w:color w:val="auto"/>
        </w:rPr>
        <w:t>3.1. If, during the Initial Term or the Additional Term (as defined in Section 9), your employment with Skyworks is terminated by Skyworks without Cause more than three (3) months prior to a Change in Control or more than two (2) years following a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63" w:name="page64"/>
    <w:bookmarkEnd w:id="63"/>
    <w:p>
      <w:pPr>
        <w:spacing w:after="0" w:line="200" w:lineRule="exact"/>
        <w:rPr>
          <w:sz w:val="20"/>
          <w:szCs w:val="20"/>
          <w:color w:val="auto"/>
        </w:rPr>
      </w:pPr>
    </w:p>
    <w:p>
      <w:pPr>
        <w:spacing w:after="0" w:line="24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then you will receive the benefits specified in Section 3.2 below. For the avoidance of doubt, if at any time your employment is terminated by Skyworks for Cause or by you for any reason, you will not be entitled to receive the benefits specified in Section 3.2 below (or, for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avoidance of doubt, in Sections 1.2 or 2 above).</w:t>
      </w:r>
    </w:p>
    <w:p>
      <w:pPr>
        <w:spacing w:after="0" w:line="153"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20"/>
          <w:szCs w:val="20"/>
          <w:color w:val="auto"/>
        </w:rPr>
        <w:t>3.2. Subject to the provisions of Sections 3.3, 8 and 12, (a) in the event of any termination of your employment described in Section 3.1, Skyworks shall provide to you biweekly compensation continuation payments commencing as soon as practicable (but not more than sixty</w:t>
      </w:r>
    </w:p>
    <w:p>
      <w:pPr>
        <w:spacing w:after="0" w:line="2" w:lineRule="exact"/>
        <w:rPr>
          <w:sz w:val="20"/>
          <w:szCs w:val="20"/>
          <w:color w:val="auto"/>
        </w:rPr>
      </w:pPr>
    </w:p>
    <w:p>
      <w:pPr>
        <w:jc w:val="both"/>
        <w:ind w:firstLine="8"/>
        <w:spacing w:after="0" w:line="208" w:lineRule="auto"/>
        <w:tabs>
          <w:tab w:leader="none" w:pos="379"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after the date of such termination (or such later date as may be required by Section 12.2) and continuing for a period of twelve (12) months following the termination of your employment, with each such compensation continuation payment being equal to the quotient of (i) divided by (ii), where (i) equals the sum of (A) your then-current annual base salary, and (B) any short-term cash incentive payment then due, and (ii) equals 26 (which, for the avoidance of doubt, shall be the number of biweekly compensation continuation payments); (b) all of your then-vested outstanding Skyworks stock options shall remain exercisable for a period of twelve (12) months after the date of your employment termination (or, if earlier, until the last day of the full option term), subject to their terms and conditions, and (c) Skyworks shall make contributions to the cost of COBRA (Consolidated Omnibus Budget Reconciliation Act) coverage on your behalf (and on behalf of any applicable dependents) for a period of twelve (12) months after your termination if you elect COBRA coverage, and only for so long as such coverage continues in force; provided, however, that if you commence new employment and are eligible for a new group health plan in connection with such employment, Skyworks’ contributions toward COBRA coverage shall end when the new employment begins. The contribution to the cost of COBRA coverage to be made by Skyworks shall be determined on the same basis as Skyworks’ contribution to Skyworks-provided medical, dental and vision insurance coverage in effect immediately before your termination of your employment for an active employee with the same coverage elections. Notwithstanding the foregoing, in the event that Skyworks’ provision of such COBRA payments will violate the nondiscrimination requirements of applicable law, Skyworks will not provide contributions to the cost of COBRA and this benefit shall not apply.</w:t>
      </w:r>
    </w:p>
    <w:p>
      <w:pPr>
        <w:spacing w:after="0" w:line="174"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3.3. For the avoidance of doubt and notwithstanding anything in this Agreement to the contrary, in the event that you experience a termination of employment without Cause as described in Section 1.1 and are therefore eligible to receive the benefits set forth in</w:t>
      </w:r>
    </w:p>
    <w:p>
      <w:pPr>
        <w:spacing w:after="0" w:line="212" w:lineRule="auto"/>
        <w:rPr>
          <w:sz w:val="20"/>
          <w:szCs w:val="20"/>
          <w:color w:val="auto"/>
        </w:rPr>
      </w:pPr>
      <w:r>
        <w:rPr>
          <w:rFonts w:ascii="Times New Roman" w:cs="Times New Roman" w:eastAsia="Times New Roman" w:hAnsi="Times New Roman"/>
          <w:sz w:val="20"/>
          <w:szCs w:val="20"/>
          <w:color w:val="auto"/>
        </w:rPr>
        <w:t>Sections 1.2 and 2 above, then you shall not be eligible to receive any benefits set forth in Section 3.2 following the later of (a) the date of</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your termination of employment, and (b) the effective date of the Change in Control. Any payments and benefits to which you become entitled under Section 1.2 upon the effective date of a Change in Control, as a result of a qualifying termination of employment within the</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three (3) months prior to such Change in Control, shall be reduced in amount or duration, as applicable, equal to the payments and benefits you have received pursuant to Section 3.2 prior to the effective date of such Change in Control,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64" w:name="page65"/>
    <w:bookmarkEnd w:id="64"/>
    <w:p>
      <w:pPr>
        <w:spacing w:after="0" w:line="200" w:lineRule="exact"/>
        <w:rPr>
          <w:sz w:val="20"/>
          <w:szCs w:val="20"/>
          <w:color w:val="auto"/>
        </w:rPr>
      </w:pPr>
    </w:p>
    <w:p>
      <w:pPr>
        <w:spacing w:after="0" w:line="242" w:lineRule="exact"/>
        <w:rPr>
          <w:sz w:val="20"/>
          <w:szCs w:val="20"/>
          <w:color w:val="auto"/>
        </w:rPr>
      </w:pPr>
    </w:p>
    <w:p>
      <w:pPr>
        <w:ind w:left="660" w:hanging="652"/>
        <w:spacing w:after="0"/>
        <w:tabs>
          <w:tab w:leader="none" w:pos="66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Termination of Employment Due to Death or Disability</w:t>
      </w:r>
    </w:p>
    <w:p>
      <w:pPr>
        <w:spacing w:after="0" w:line="17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20"/>
          <w:szCs w:val="20"/>
          <w:color w:val="auto"/>
        </w:rPr>
        <w:t>In the event of your termination of employment due to death or permanent disability (within the meaning of Section 22(e)(3) of the</w:t>
      </w:r>
    </w:p>
    <w:p>
      <w:pPr>
        <w:spacing w:after="0" w:line="204" w:lineRule="auto"/>
        <w:rPr>
          <w:sz w:val="20"/>
          <w:szCs w:val="20"/>
          <w:color w:val="auto"/>
        </w:rPr>
      </w:pPr>
      <w:r>
        <w:rPr>
          <w:rFonts w:ascii="Times New Roman" w:cs="Times New Roman" w:eastAsia="Times New Roman" w:hAnsi="Times New Roman"/>
          <w:sz w:val="20"/>
          <w:szCs w:val="20"/>
          <w:color w:val="auto"/>
        </w:rPr>
        <w:t>Internal Revenue Code of 1986 (the “Code”)) during the Initial Term or the Additional Term, on the date of such termination each outstanding and unvested equity award held by you that, pursuant to its terms, vests solely based upon providing continued service to</w:t>
      </w:r>
    </w:p>
    <w:p>
      <w:pPr>
        <w:spacing w:after="0" w:line="211" w:lineRule="auto"/>
        <w:rPr>
          <w:sz w:val="20"/>
          <w:szCs w:val="20"/>
          <w:color w:val="auto"/>
        </w:rPr>
      </w:pPr>
      <w:r>
        <w:rPr>
          <w:rFonts w:ascii="Times New Roman" w:cs="Times New Roman" w:eastAsia="Times New Roman" w:hAnsi="Times New Roman"/>
          <w:sz w:val="20"/>
          <w:szCs w:val="20"/>
          <w:color w:val="auto"/>
        </w:rPr>
        <w:t>Skyworks, including, without limitation, stock options, restricted stock awards (including restricted stock unit awards), and performance-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based equity awards that are earned but unissued, shall automatically become vested, exercisable, and issuable, and any forfeiture restrictions thereon shall immediately lapse, as applicable, in each case, with respect to one-hundred percent (100%) of that number of then-unvested</w:t>
      </w:r>
    </w:p>
    <w:p>
      <w:pPr>
        <w:spacing w:after="0"/>
        <w:rPr>
          <w:sz w:val="20"/>
          <w:szCs w:val="20"/>
          <w:color w:val="auto"/>
        </w:rPr>
      </w:pPr>
      <w:r>
        <w:rPr>
          <w:rFonts w:ascii="Times New Roman" w:cs="Times New Roman" w:eastAsia="Times New Roman" w:hAnsi="Times New Roman"/>
          <w:sz w:val="20"/>
          <w:szCs w:val="20"/>
          <w:color w:val="auto"/>
        </w:rPr>
        <w:t>shares underlying such equity award.</w:t>
      </w:r>
    </w:p>
    <w:p>
      <w:pPr>
        <w:spacing w:after="0" w:line="167"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4.2. All outstanding stock options that are exercisable upon your termination of employment due to death or permanent disability (including any stock options that become vested and exercisable pursuant to Section 4.1) shall remain exercisable for a period of time</w:t>
      </w:r>
    </w:p>
    <w:p>
      <w:pPr>
        <w:spacing w:after="0" w:line="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9"/>
          <w:szCs w:val="19"/>
          <w:color w:val="auto"/>
        </w:rPr>
        <w:t>expiring on the earlier of (a) the one (1) year anniversary of your termination of employment due to death or permanent disability, and (b) the final expiration date of such stock options as set forth in the applicable stock option agreement, subject to their other terms and conditions.</w:t>
      </w:r>
    </w:p>
    <w:p>
      <w:pPr>
        <w:spacing w:after="0" w:line="145"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20"/>
          <w:szCs w:val="20"/>
          <w:color w:val="auto"/>
        </w:rPr>
        <w:t>4.3. In the event that you hold a performance-based equity award that vests based upon the achievement of performance metrics and upon providing continued service to Skyworks and your termination of employment due to death or permanent disability occurs prior to the</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“measurement date” (i.e. the last day of the applicable performance period) for such award, then such award shall, as of the measurement date, (a) be earned as to the greater of (i) the “Target” level of shares for such award, or (ii) the number of shares that would have been earned</w:t>
      </w:r>
    </w:p>
    <w:p>
      <w:pPr>
        <w:spacing w:after="0" w:line="211" w:lineRule="auto"/>
        <w:rPr>
          <w:sz w:val="20"/>
          <w:szCs w:val="20"/>
          <w:color w:val="auto"/>
        </w:rPr>
      </w:pPr>
      <w:r>
        <w:rPr>
          <w:rFonts w:ascii="Times New Roman" w:cs="Times New Roman" w:eastAsia="Times New Roman" w:hAnsi="Times New Roman"/>
          <w:sz w:val="20"/>
          <w:szCs w:val="20"/>
          <w:color w:val="auto"/>
        </w:rPr>
        <w:t>pursuant to the terms of such award had you remained employed through the measurement date, and (b) automatically become vested,</w:t>
      </w:r>
    </w:p>
    <w:p>
      <w:pPr>
        <w:spacing w:after="0" w:line="204" w:lineRule="auto"/>
        <w:rPr>
          <w:sz w:val="20"/>
          <w:szCs w:val="20"/>
          <w:color w:val="auto"/>
        </w:rPr>
      </w:pPr>
      <w:r>
        <w:rPr>
          <w:rFonts w:ascii="Times New Roman" w:cs="Times New Roman" w:eastAsia="Times New Roman" w:hAnsi="Times New Roman"/>
          <w:sz w:val="20"/>
          <w:szCs w:val="20"/>
          <w:color w:val="auto"/>
        </w:rPr>
        <w:t>exercisable, and issuable, and any forfeiture restrictions thereon shall immediately lapse, as applicable, in each case, as of the measurement date, with respect to one-hundred percent (100%) of that number of then-unvested shares underlying such equity award that are earned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pursuant to (a) above.</w:t>
      </w:r>
    </w:p>
    <w:p>
      <w:pPr>
        <w:spacing w:after="0" w:line="167"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20"/>
          <w:szCs w:val="20"/>
          <w:color w:val="auto"/>
        </w:rPr>
        <w:t>4.4. Subject to Section 12.4, any shares that are issued pursuant to Section 4.1 shall be issued to you (or to your estate, if applicable) as soon as practicable (but not more than sixty (60) days) after the date of your termination (or such later date as may be required by Section</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12.2). Subject to Section 12.4, any shares that are issued pursuant to Section 4.3 shall be issued to you (or to your estate, if applicable) as soon as practicable (but not more than sixty (60) days) after the measurement date.</w:t>
      </w:r>
    </w:p>
    <w:p>
      <w:pPr>
        <w:spacing w:after="0" w:line="145" w:lineRule="exact"/>
        <w:rPr>
          <w:sz w:val="20"/>
          <w:szCs w:val="20"/>
          <w:color w:val="auto"/>
        </w:rPr>
      </w:pPr>
    </w:p>
    <w:p>
      <w:pPr>
        <w:ind w:left="660" w:hanging="652"/>
        <w:spacing w:after="0"/>
        <w:tabs>
          <w:tab w:leader="none" w:pos="66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Other Terminations of Employment</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the event of your termination of employment by Skyworks for Cause or by you for any or no reason other than as a termination of employment described in Sections 1.1, 3.1, or 4.1, you shall not be entitled to any benefits under this Agreement; provided, however, that Skyworks shall pay you any unpaid wages and vacation as may be required by applicable law and provide you with the ability to elect any continued health coverage as may be required under COBRA or similar state law.</w:t>
      </w:r>
    </w:p>
    <w:p>
      <w:pPr>
        <w:spacing w:after="0" w:line="155" w:lineRule="exact"/>
        <w:rPr>
          <w:sz w:val="20"/>
          <w:szCs w:val="20"/>
          <w:color w:val="auto"/>
        </w:rPr>
      </w:pPr>
    </w:p>
    <w:p>
      <w:pPr>
        <w:ind w:left="660" w:hanging="652"/>
        <w:spacing w:after="0"/>
        <w:tabs>
          <w:tab w:leader="none" w:pos="66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Limitation on Benefits</w:t>
      </w:r>
    </w:p>
    <w:p>
      <w:pPr>
        <w:spacing w:after="0" w:line="18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6.1.</w:t>
      </w:r>
      <w:r>
        <w:rPr>
          <w:sz w:val="20"/>
          <w:szCs w:val="20"/>
          <w:color w:val="auto"/>
        </w:rPr>
        <w:tab/>
      </w:r>
      <w:r>
        <w:rPr>
          <w:rFonts w:ascii="Times New Roman" w:cs="Times New Roman" w:eastAsia="Times New Roman" w:hAnsi="Times New Roman"/>
          <w:sz w:val="20"/>
          <w:szCs w:val="20"/>
          <w:color w:val="auto"/>
        </w:rPr>
        <w:t>Notwithstanding anything contained in this Agreement to the contrary, to the extent that the payments and benefits provided under</w:t>
      </w:r>
    </w:p>
    <w:p>
      <w:pPr>
        <w:spacing w:after="0" w:line="221" w:lineRule="auto"/>
        <w:rPr>
          <w:sz w:val="20"/>
          <w:szCs w:val="20"/>
          <w:color w:val="auto"/>
        </w:rPr>
      </w:pPr>
      <w:r>
        <w:rPr>
          <w:rFonts w:ascii="Times New Roman" w:cs="Times New Roman" w:eastAsia="Times New Roman" w:hAnsi="Times New Roman"/>
          <w:sz w:val="20"/>
          <w:szCs w:val="20"/>
          <w:color w:val="auto"/>
        </w:rPr>
        <w:t>this Agreement, and payments and benefits provided to you, or for your benefit, under any other plan or agreement (such payments or benefits, the “Benefits”) would be subject to the excise tax imposed under Section 4999 of the Code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65" w:name="page66"/>
    <w:bookmarkEnd w:id="65"/>
    <w:p>
      <w:pPr>
        <w:spacing w:after="0" w:line="200" w:lineRule="exact"/>
        <w:rPr>
          <w:sz w:val="20"/>
          <w:szCs w:val="20"/>
          <w:color w:val="auto"/>
        </w:rPr>
      </w:pPr>
    </w:p>
    <w:p>
      <w:pPr>
        <w:spacing w:after="0" w:line="24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“Excise Tax”), the Benefits shall be reduced (but not below zero) if and to the extent that a reduction in the Benefits would result in your retaining a larger amount, on an after-tax basis (taking into account federal, state and local income taxes and the Excise Tax), than if you</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received all of the Benefits (such reduced amount, the “Limited Benefit Amount”).</w:t>
      </w:r>
    </w:p>
    <w:p>
      <w:pPr>
        <w:spacing w:after="0" w:line="153"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0"/>
          <w:szCs w:val="20"/>
          <w:color w:val="auto"/>
        </w:rPr>
        <w:t>6.2. A determination as to whether the Benefits shall be reduced to the Limited Benefit Amount pursuant to this Section 6 and the amount of such Limited Benefit Amount shall be made by Skyworks’ independent public accountants or another certified public accounting firm,</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executive compensation consulting firm or law firm of national reputation designated by Skyworks (the “Firm”) at Skyworks’ expense. The Firm shall provide its determination (the “Determination”), together with detailed supporting calculations and documentation to you and to</w:t>
      </w:r>
    </w:p>
    <w:p>
      <w:pPr>
        <w:spacing w:after="0" w:line="211" w:lineRule="auto"/>
        <w:rPr>
          <w:sz w:val="20"/>
          <w:szCs w:val="20"/>
          <w:color w:val="auto"/>
        </w:rPr>
      </w:pPr>
      <w:r>
        <w:rPr>
          <w:rFonts w:ascii="Times New Roman" w:cs="Times New Roman" w:eastAsia="Times New Roman" w:hAnsi="Times New Roman"/>
          <w:sz w:val="20"/>
          <w:szCs w:val="20"/>
          <w:color w:val="auto"/>
        </w:rPr>
        <w:t>Skyworks within ten (10) business days of the date on which your right to the Benefits is triggered (if requested at that time by you or by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Skyworks) or such other time as reasonably requested by you or by Skyworks. Unless you provide written notice to Skyworks within ten (10) business days of the delivery to you of the Determination that you dispute such Determination, the Determination shall be binding, final and</w:t>
      </w:r>
    </w:p>
    <w:p>
      <w:pPr>
        <w:spacing w:after="0" w:line="222" w:lineRule="auto"/>
        <w:rPr>
          <w:sz w:val="20"/>
          <w:szCs w:val="20"/>
          <w:color w:val="auto"/>
        </w:rPr>
      </w:pPr>
      <w:r>
        <w:rPr>
          <w:rFonts w:ascii="Times New Roman" w:cs="Times New Roman" w:eastAsia="Times New Roman" w:hAnsi="Times New Roman"/>
          <w:sz w:val="19"/>
          <w:szCs w:val="19"/>
          <w:color w:val="auto"/>
        </w:rPr>
        <w:t>conclusive upon you and Skyworks. If the Firm determines that no Excise Tax is payable by you with respect to any Benefits, it shall furnish</w:t>
      </w:r>
    </w:p>
    <w:p>
      <w:pPr>
        <w:spacing w:after="0" w:line="221" w:lineRule="auto"/>
        <w:rPr>
          <w:sz w:val="20"/>
          <w:szCs w:val="20"/>
          <w:color w:val="auto"/>
        </w:rPr>
      </w:pPr>
      <w:r>
        <w:rPr>
          <w:rFonts w:ascii="Times New Roman" w:cs="Times New Roman" w:eastAsia="Times New Roman" w:hAnsi="Times New Roman"/>
          <w:sz w:val="20"/>
          <w:szCs w:val="20"/>
          <w:color w:val="auto"/>
        </w:rPr>
        <w:t>to you and to Skyworks, in writing, a summary of the assumptions and calculations made by the Firm to support its conclusion that no Excise Tax will be imposed with respect to any such Benefits.</w:t>
      </w:r>
    </w:p>
    <w:p>
      <w:pPr>
        <w:spacing w:after="0" w:line="1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6.3.</w:t>
      </w:r>
      <w:r>
        <w:rPr>
          <w:sz w:val="20"/>
          <w:szCs w:val="20"/>
          <w:color w:val="auto"/>
        </w:rPr>
        <w:tab/>
      </w:r>
      <w:r>
        <w:rPr>
          <w:rFonts w:ascii="Times New Roman" w:cs="Times New Roman" w:eastAsia="Times New Roman" w:hAnsi="Times New Roman"/>
          <w:sz w:val="20"/>
          <w:szCs w:val="20"/>
          <w:color w:val="auto"/>
        </w:rPr>
        <w:t>Any reduction in payments and/or benefits pursuant to this Section 6 to effectuate the Limited Benefit Amount shall occur in the</w:t>
      </w:r>
    </w:p>
    <w:p>
      <w:pPr>
        <w:spacing w:after="0" w:line="221" w:lineRule="auto"/>
        <w:rPr>
          <w:sz w:val="20"/>
          <w:szCs w:val="20"/>
          <w:color w:val="auto"/>
        </w:rPr>
      </w:pPr>
      <w:r>
        <w:rPr>
          <w:rFonts w:ascii="Times New Roman" w:cs="Times New Roman" w:eastAsia="Times New Roman" w:hAnsi="Times New Roman"/>
          <w:sz w:val="20"/>
          <w:szCs w:val="20"/>
          <w:color w:val="auto"/>
        </w:rPr>
        <w:t>following order: (1) reduction of cash payments; (2) cancellation of accelerated vesting of equity awards other than stock options; (3) cancellation of accelerated vesting of stock options; and (4) reduction of other benefits payable to you.</w:t>
      </w:r>
    </w:p>
    <w:p>
      <w:pPr>
        <w:spacing w:after="0" w:line="158" w:lineRule="exact"/>
        <w:rPr>
          <w:sz w:val="20"/>
          <w:szCs w:val="20"/>
          <w:color w:val="auto"/>
        </w:rPr>
      </w:pPr>
    </w:p>
    <w:p>
      <w:pPr>
        <w:ind w:left="660" w:hanging="652"/>
        <w:spacing w:after="0"/>
        <w:tabs>
          <w:tab w:leader="none" w:pos="66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Non-Solicitation</w:t>
      </w:r>
    </w:p>
    <w:p>
      <w:pPr>
        <w:spacing w:after="0" w:line="193"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7.1. You agree that while employed by Skyworks and for one (1) year thereafter, you will not, either directly or through others, raid, solicit, or attempt to solicit any employee of Skyworks or any subsidiary or affiliate of Skyworks (collectively, the “Company”) to terminate</w:t>
      </w:r>
    </w:p>
    <w:p>
      <w:pPr>
        <w:spacing w:after="0" w:line="212" w:lineRule="auto"/>
        <w:rPr>
          <w:sz w:val="20"/>
          <w:szCs w:val="20"/>
          <w:color w:val="auto"/>
        </w:rPr>
      </w:pPr>
      <w:r>
        <w:rPr>
          <w:rFonts w:ascii="Times New Roman" w:cs="Times New Roman" w:eastAsia="Times New Roman" w:hAnsi="Times New Roman"/>
          <w:sz w:val="20"/>
          <w:szCs w:val="20"/>
          <w:color w:val="auto"/>
        </w:rPr>
        <w:t>his or her relationship with the Company in order to become an employee or independent contractor (including a consultant or advisor) to or</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for any person or entity. You further agree that you will not disrupt or interfere or attempt to disrupt or interfere with the Company’s relationships with such employees.</w:t>
      </w:r>
    </w:p>
    <w:p>
      <w:pPr>
        <w:spacing w:after="0" w:line="1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7.2.</w:t>
      </w:r>
      <w:r>
        <w:rPr>
          <w:sz w:val="20"/>
          <w:szCs w:val="20"/>
          <w:color w:val="auto"/>
        </w:rPr>
        <w:tab/>
      </w:r>
      <w:r>
        <w:rPr>
          <w:rFonts w:ascii="Times New Roman" w:cs="Times New Roman" w:eastAsia="Times New Roman" w:hAnsi="Times New Roman"/>
          <w:sz w:val="19"/>
          <w:szCs w:val="19"/>
          <w:color w:val="auto"/>
        </w:rPr>
        <w:t>You understand and acknowledge that Skyworks’ remedies at law for breach of any of the restrictions in this Section 7 are inadequate</w:t>
      </w:r>
    </w:p>
    <w:p>
      <w:pPr>
        <w:spacing w:after="0" w:line="204" w:lineRule="auto"/>
        <w:rPr>
          <w:sz w:val="20"/>
          <w:szCs w:val="20"/>
          <w:color w:val="auto"/>
        </w:rPr>
      </w:pPr>
      <w:r>
        <w:rPr>
          <w:rFonts w:ascii="Times New Roman" w:cs="Times New Roman" w:eastAsia="Times New Roman" w:hAnsi="Times New Roman"/>
          <w:sz w:val="20"/>
          <w:szCs w:val="20"/>
          <w:color w:val="auto"/>
        </w:rPr>
        <w:t>and that any such breach will cause irreparable harm to Skyworks. You therefore agree that in addition and as a supplement to such other rights and remedies as may exist in Skyworks’ favor, Skyworks may apply to any court having jurisdiction to enforce the specific</w:t>
      </w:r>
    </w:p>
    <w:p>
      <w:pPr>
        <w:spacing w:after="0" w:line="211" w:lineRule="auto"/>
        <w:rPr>
          <w:sz w:val="20"/>
          <w:szCs w:val="20"/>
          <w:color w:val="auto"/>
        </w:rPr>
      </w:pPr>
      <w:r>
        <w:rPr>
          <w:rFonts w:ascii="Times New Roman" w:cs="Times New Roman" w:eastAsia="Times New Roman" w:hAnsi="Times New Roman"/>
          <w:sz w:val="20"/>
          <w:szCs w:val="20"/>
          <w:color w:val="auto"/>
        </w:rPr>
        <w:t>performance of the restrictions in this Section 7, and may apply for injunctive relief against any act which would violate those restrictions.</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You also agree that in addition to any damages that may be recovered, the prevailing party in any legal action to enforce this non-solicitation agreement shall be entitled to recover its costs and attorneys’ fees from the other party.</w:t>
      </w:r>
    </w:p>
    <w:p>
      <w:pPr>
        <w:spacing w:after="0" w:line="158" w:lineRule="exact"/>
        <w:rPr>
          <w:sz w:val="20"/>
          <w:szCs w:val="20"/>
          <w:color w:val="auto"/>
        </w:rPr>
      </w:pPr>
    </w:p>
    <w:p>
      <w:pPr>
        <w:ind w:left="660" w:hanging="652"/>
        <w:spacing w:after="0"/>
        <w:tabs>
          <w:tab w:leader="none" w:pos="66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Release of Claims</w:t>
      </w:r>
    </w:p>
    <w:p>
      <w:pPr>
        <w:spacing w:after="0" w:line="2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Skyworks shall have no obligation to make any payments or provide any benefits pursuant to Sections 1, 2, or 3, as applicable, and you shall not be eligible to receive any such benefits, unless (a) you sign and deliver to the General Counsel of Skyworks a release of claims in substantially the form attached hereto as Exhibit A (the “Release”) and (b) the Release has become non-revocable by the sixtieth (60th) day following the date of termination of your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66" w:name="page67"/>
    <w:bookmarkEnd w:id="66"/>
    <w:p>
      <w:pPr>
        <w:spacing w:after="0" w:line="200" w:lineRule="exact"/>
        <w:rPr>
          <w:sz w:val="20"/>
          <w:szCs w:val="20"/>
          <w:color w:val="auto"/>
        </w:rPr>
      </w:pPr>
    </w:p>
    <w:p>
      <w:pPr>
        <w:spacing w:after="0" w:line="242" w:lineRule="exact"/>
        <w:rPr>
          <w:sz w:val="20"/>
          <w:szCs w:val="20"/>
          <w:color w:val="auto"/>
        </w:rPr>
      </w:pPr>
    </w:p>
    <w:p>
      <w:pPr>
        <w:ind w:left="660" w:hanging="652"/>
        <w:spacing w:after="0"/>
        <w:tabs>
          <w:tab w:leader="none" w:pos="66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Term</w:t>
      </w:r>
    </w:p>
    <w:p>
      <w:pPr>
        <w:spacing w:after="0" w:line="19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This Agreement shall become effective on the date executed by the parties hereto (the “Effective Date”), and shall remain effective for an initial term of two (2) years from the Effective Date (the “Initial Term”). Following the Initial Term, this Agreement shall renew automatically on the anniversary of the Effective Date for up to five (5) additional one (1) year periods (each an “Additional Term”) unless, at least ninety (90) days prior to the end of the then-current term of the Agreement, either party provides written notice to the other party that the Agreement shall not be extended. For the avoidance of doubt, a non-renewal of an extension of this Agreement is separate from, and shall not itself result in, a termination of your employment with the Company, nor shall the non-renewal of an extension of this Agreement for any reason constitute or give rise to Good Reason. This Agreement shall terminate automatically upon your termination of employment; provided, however, for the avoidance of doubt, that following such termination (i) the Company’s obligations to provide payments or benefits to you in accordance with the terms hereof shall survive any such termination of this Agreement and (ii) your obligations pursuant to Section 7 shall survive any such termination of this Agreement and extend throughout the non-solicitation period.</w:t>
      </w:r>
    </w:p>
    <w:p>
      <w:pPr>
        <w:spacing w:after="0" w:line="160" w:lineRule="exact"/>
        <w:rPr>
          <w:sz w:val="20"/>
          <w:szCs w:val="20"/>
          <w:color w:val="auto"/>
        </w:rPr>
      </w:pPr>
    </w:p>
    <w:p>
      <w:pPr>
        <w:ind w:left="640" w:hanging="632"/>
        <w:spacing w:after="0"/>
        <w:tabs>
          <w:tab w:leader="none" w:pos="64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Entire Agreement</w:t>
      </w:r>
    </w:p>
    <w:p>
      <w:pPr>
        <w:spacing w:after="0" w:line="193"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10.1. This Agreement contains the entire agreement and understanding of the parties with respect to the subject matter contained herein, and replaces and supersedes, as of the Effective Date, all prior agreements relating to such subject matter, including without limitation the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Change in Control/Severance Agreement between you and Skyworks dated November 10, 2016. For the avoidance of doubt, you shall not be eligible to receive severance or similar payments under any severance plan, program or policy maintained by Skyworks.</w:t>
      </w:r>
    </w:p>
    <w:p>
      <w:pPr>
        <w:spacing w:after="0" w:line="149"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0"/>
          <w:szCs w:val="20"/>
          <w:color w:val="auto"/>
        </w:rPr>
        <w:t>10.2. You acknowledge and agree that you will be subject to the provisions of the compensation clawback policy that Skyworks has in effect or may implement in future.</w:t>
      </w:r>
    </w:p>
    <w:p>
      <w:pPr>
        <w:spacing w:after="0" w:line="161"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0"/>
          <w:szCs w:val="20"/>
          <w:color w:val="auto"/>
        </w:rPr>
        <w:t>10.3. You acknowledge and agree that your employment with Skyworks will continue to be “at will” and that your employment can be terminated with or without Cause at any time, with or without advance notice.</w:t>
      </w:r>
    </w:p>
    <w:p>
      <w:pPr>
        <w:spacing w:after="0" w:line="157" w:lineRule="exact"/>
        <w:rPr>
          <w:sz w:val="20"/>
          <w:szCs w:val="20"/>
          <w:color w:val="auto"/>
        </w:rPr>
      </w:pPr>
    </w:p>
    <w:p>
      <w:pPr>
        <w:ind w:left="640" w:hanging="632"/>
        <w:spacing w:after="0"/>
        <w:tabs>
          <w:tab w:leader="none" w:pos="64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Definitions</w:t>
      </w:r>
    </w:p>
    <w:p>
      <w:pPr>
        <w:spacing w:after="0" w:line="19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11.1.</w:t>
      </w:r>
      <w:r>
        <w:rPr>
          <w:sz w:val="20"/>
          <w:szCs w:val="20"/>
          <w:color w:val="auto"/>
        </w:rPr>
        <w:tab/>
      </w:r>
      <w:r>
        <w:rPr>
          <w:rFonts w:ascii="Times New Roman" w:cs="Times New Roman" w:eastAsia="Times New Roman" w:hAnsi="Times New Roman"/>
          <w:sz w:val="19"/>
          <w:szCs w:val="19"/>
          <w:color w:val="auto"/>
        </w:rPr>
        <w:t>“Cause” means:</w:t>
      </w:r>
    </w:p>
    <w:p>
      <w:pPr>
        <w:spacing w:after="0" w:line="175" w:lineRule="exact"/>
        <w:rPr>
          <w:sz w:val="20"/>
          <w:szCs w:val="20"/>
          <w:color w:val="auto"/>
        </w:rPr>
      </w:pPr>
    </w:p>
    <w:p>
      <w:pPr>
        <w:ind w:left="1300" w:hanging="644"/>
        <w:spacing w:after="0"/>
        <w:tabs>
          <w:tab w:leader="none" w:pos="130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deliberate dishonesty that is significantly detrimental to the best interests of Skyworks or any subsidiary or affiliate;</w:t>
      </w:r>
    </w:p>
    <w:p>
      <w:pPr>
        <w:spacing w:after="0" w:line="18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 on your part constituting an act of moral turpitude;</w:t>
      </w:r>
    </w:p>
    <w:p>
      <w:pPr>
        <w:spacing w:after="0" w:line="188" w:lineRule="exact"/>
        <w:rPr>
          <w:rFonts w:ascii="Times New Roman" w:cs="Times New Roman" w:eastAsia="Times New Roman" w:hAnsi="Times New Roman"/>
          <w:sz w:val="20"/>
          <w:szCs w:val="20"/>
          <w:color w:val="auto"/>
        </w:rPr>
      </w:pPr>
    </w:p>
    <w:p>
      <w:pPr>
        <w:ind w:left="660" w:hanging="4"/>
        <w:spacing w:after="0" w:line="233" w:lineRule="auto"/>
        <w:tabs>
          <w:tab w:leader="none" w:pos="1298"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willful disloyalty to Skyworks or refusal or failure to obey the directions of the Board of Directors of Skyworks (the “</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or</w:t>
      </w:r>
    </w:p>
    <w:p>
      <w:pPr>
        <w:spacing w:after="0" w:line="160"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incompetent performance or substantial or continuing inattention to or neglect of duties assigned to you.</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determination of Cause must be made by the full Board at a meeting duly called.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67" w:name="page68"/>
    <w:bookmarkEnd w:id="67"/>
    <w:p>
      <w:pPr>
        <w:spacing w:after="0" w:line="200" w:lineRule="exact"/>
        <w:rPr>
          <w:sz w:val="20"/>
          <w:szCs w:val="20"/>
          <w:color w:val="auto"/>
        </w:rPr>
      </w:pPr>
    </w:p>
    <w:p>
      <w:pPr>
        <w:spacing w:after="0" w:line="24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11.2. “Change in Control” means an event or occurrence set forth in any one or more of subsections (a) through (d) below (including an event or occurrence that constitutes a Change in Control under one of such subsections but is specifically exempted from another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subsection):</w:t>
      </w:r>
    </w:p>
    <w:p>
      <w:pPr>
        <w:spacing w:after="0" w:line="153" w:lineRule="exact"/>
        <w:rPr>
          <w:sz w:val="20"/>
          <w:szCs w:val="20"/>
          <w:color w:val="auto"/>
        </w:rPr>
      </w:pPr>
    </w:p>
    <w:p>
      <w:pPr>
        <w:jc w:val="both"/>
        <w:ind w:left="660" w:hanging="4"/>
        <w:spacing w:after="0" w:line="223" w:lineRule="auto"/>
        <w:tabs>
          <w:tab w:leader="none" w:pos="1298"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acquisition by an individual, entity or group (within the meaning of Section 13(d)(3) or 14(d)(2) of the Securities Exchange Act of 1934, as amended (the “Exchange Act”)) (a “Person”) of beneficial ownership of any capital stock of Skyworks if, after such acquisition, such Person beneficially owns (within the meaning of Rule 13d-3 promulgated under the Exchange Act) 40% or more of either (x) the then-outstanding shares of common stock of Skyworks (the “Outstanding Company Common Stock”) or (y) the combined voting power of the then-outstanding securities of Skyworks entitled to vote generally in the election of directors (the “Outstanding Company Voting Securities”); provided, however, that for purposes of this subsection (a), the following acquisitions shall not constitute a Change in Control: (i) any acquisition directly from Skyworks (excluding an acquisition pursuant to the exercise, conversion or exchange of any security exercisable for, convertible into or exchangeable for common stock or voting securities of Skyworks, unless the Person exercising, converting or exchanging such security acquired such security directly from Skyworks or an underwriter or agent of Skyworks), (ii) any acquisition by Skyworks, (iii) any acquisition by any employee benefit plan (or related trust) sponsored or maintained by Skyworks or any corporation controlled by Skyworks, or (iv) any acquisition by any corporation pursuant to a transaction which complies with clauses (i) and (ii) of subsection (c) of this Section 11.2; or</w:t>
      </w:r>
    </w:p>
    <w:p>
      <w:pPr>
        <w:spacing w:after="0" w:line="155" w:lineRule="exact"/>
        <w:rPr>
          <w:rFonts w:ascii="Times New Roman" w:cs="Times New Roman" w:eastAsia="Times New Roman" w:hAnsi="Times New Roman"/>
          <w:sz w:val="19"/>
          <w:szCs w:val="19"/>
          <w:color w:val="auto"/>
        </w:rPr>
      </w:pPr>
    </w:p>
    <w:p>
      <w:pPr>
        <w:jc w:val="both"/>
        <w:ind w:left="660" w:hanging="4"/>
        <w:spacing w:after="0" w:line="214" w:lineRule="auto"/>
        <w:tabs>
          <w:tab w:leader="none" w:pos="1296"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time as the Continuing Directors (as defined below) do not constitute a majority of the Board (or, if applicable, the Board of Directors of a successor corporation to Skyworks), where the term “Continuing Director” means at any date a member of the Board (i) who was a member of the Board on the date of the execution of this Agreement or (ii) who was nominated or elected subsequent to such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provided, however, that there shall be excluded from this clause (ii)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or</w:t>
      </w:r>
    </w:p>
    <w:p>
      <w:pPr>
        <w:spacing w:after="0" w:line="152" w:lineRule="exact"/>
        <w:rPr>
          <w:rFonts w:ascii="Times New Roman" w:cs="Times New Roman" w:eastAsia="Times New Roman" w:hAnsi="Times New Roman"/>
          <w:sz w:val="20"/>
          <w:szCs w:val="20"/>
          <w:color w:val="auto"/>
        </w:rPr>
      </w:pPr>
    </w:p>
    <w:p>
      <w:pPr>
        <w:jc w:val="both"/>
        <w:ind w:left="660" w:hanging="4"/>
        <w:spacing w:after="0" w:line="211" w:lineRule="auto"/>
        <w:tabs>
          <w:tab w:leader="none" w:pos="1298"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consummation of a merger, consolidation, reorganization, recapitalization or statutory share exchange involving Skyworks or a sale or other disposition of all or substantially all of the assets of Skyworks in one or a series of transactions (a “Business Combination”), unless, immediately following such Business Combination, each of the following two conditions is satisfied: (i) all or substantially all of the individuals and entities who were the beneficial owners of the Outstanding Company Common Stock and Outstanding Company Voting Securities immediately prior to such Business Combination beneficially own, directly or indirectly, more than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limitation, a corporation which as a result of such transaction owns Skyworks or substantially all of Skyworks’ assets either directly or through one or more subsidiaries) (such resulting or acquiring corporation is referred to herein as the “Acquiring Corporation”) in substantially the same proportions as their ownership, immediately prior to such Business Combination, of the Outstanding Company Common Stock and Outstanding Company Voting Securities, respectively; and (ii) no Person (excluding any employee benefit plan (or related trust) maintained or sponsored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68" w:name="page69"/>
    <w:bookmarkEnd w:id="68"/>
    <w:p>
      <w:pPr>
        <w:spacing w:after="0" w:line="200" w:lineRule="exact"/>
        <w:rPr>
          <w:sz w:val="20"/>
          <w:szCs w:val="20"/>
          <w:color w:val="auto"/>
        </w:rPr>
      </w:pPr>
    </w:p>
    <w:p>
      <w:pPr>
        <w:spacing w:after="0" w:line="246" w:lineRule="exact"/>
        <w:rPr>
          <w:sz w:val="20"/>
          <w:szCs w:val="20"/>
          <w:color w:val="auto"/>
        </w:rPr>
      </w:pPr>
    </w:p>
    <w:p>
      <w:pPr>
        <w:ind w:left="660"/>
        <w:spacing w:after="0" w:line="227" w:lineRule="auto"/>
        <w:rPr>
          <w:sz w:val="20"/>
          <w:szCs w:val="20"/>
          <w:color w:val="auto"/>
        </w:rPr>
      </w:pPr>
      <w:r>
        <w:rPr>
          <w:rFonts w:ascii="Times New Roman" w:cs="Times New Roman" w:eastAsia="Times New Roman" w:hAnsi="Times New Roman"/>
          <w:sz w:val="19"/>
          <w:szCs w:val="19"/>
          <w:color w:val="auto"/>
        </w:rPr>
        <w:t>Skyworks or by the Acquiring Corporation) beneficially owns, directly or indirectly, 40% or more of the then-outstanding shares of common stock of the Acquiring Corporation, or of the combined voting power of the then-outstanding securities of such corporation</w:t>
      </w:r>
    </w:p>
    <w:p>
      <w:pPr>
        <w:ind w:left="660" w:right="20"/>
        <w:spacing w:after="0" w:line="221" w:lineRule="auto"/>
        <w:rPr>
          <w:sz w:val="20"/>
          <w:szCs w:val="20"/>
          <w:color w:val="auto"/>
        </w:rPr>
      </w:pPr>
      <w:r>
        <w:rPr>
          <w:rFonts w:ascii="Times New Roman" w:cs="Times New Roman" w:eastAsia="Times New Roman" w:hAnsi="Times New Roman"/>
          <w:sz w:val="20"/>
          <w:szCs w:val="20"/>
          <w:color w:val="auto"/>
        </w:rPr>
        <w:t>entitled to vote generally in the election of directors (except to the extent that such ownership existed prior to the Business Combination); or</w:t>
      </w:r>
    </w:p>
    <w:p>
      <w:pPr>
        <w:spacing w:after="0" w:line="162" w:lineRule="exact"/>
        <w:rPr>
          <w:sz w:val="20"/>
          <w:szCs w:val="20"/>
          <w:color w:val="auto"/>
        </w:rPr>
      </w:pPr>
    </w:p>
    <w:p>
      <w:pPr>
        <w:ind w:left="1300" w:hanging="644"/>
        <w:spacing w:after="0"/>
        <w:tabs>
          <w:tab w:leader="none" w:pos="130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approval by the stockholders of Skyworks of a complete liquidation or dissolution of Skyworks.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Notwithstanding anything herein to the contrary, to the extent that any payment or benefit hereunder constitutes nonqualified deferred compensation within the meaning of Section 409A (as defined below), then, with respect to such payment or benefit, any event constituting a Change in Control above must also constitute a “change in control event” within the meaning of Treasury Regulation Section 1.409A-3(i)(5) (i).</w:t>
      </w:r>
    </w:p>
    <w:p>
      <w:pPr>
        <w:spacing w:after="0" w:line="15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11.3.</w:t>
      </w:r>
      <w:r>
        <w:rPr>
          <w:sz w:val="20"/>
          <w:szCs w:val="20"/>
          <w:color w:val="auto"/>
        </w:rPr>
        <w:tab/>
      </w:r>
      <w:r>
        <w:rPr>
          <w:rFonts w:ascii="Times New Roman" w:cs="Times New Roman" w:eastAsia="Times New Roman" w:hAnsi="Times New Roman"/>
          <w:sz w:val="19"/>
          <w:szCs w:val="19"/>
          <w:color w:val="auto"/>
        </w:rPr>
        <w:t>“Good Reason” means the occurrence of any of the following events without your prior written consent:</w:t>
      </w:r>
    </w:p>
    <w:p>
      <w:pPr>
        <w:spacing w:after="0" w:line="189" w:lineRule="exact"/>
        <w:rPr>
          <w:sz w:val="20"/>
          <w:szCs w:val="20"/>
          <w:color w:val="auto"/>
        </w:rPr>
      </w:pPr>
    </w:p>
    <w:p>
      <w:pPr>
        <w:ind w:left="1300" w:hanging="644"/>
        <w:spacing w:after="0"/>
        <w:tabs>
          <w:tab w:leader="none" w:pos="130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diminution of your base compensation;</w:t>
      </w:r>
    </w:p>
    <w:p>
      <w:pPr>
        <w:spacing w:after="0" w:line="17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diminution in your authority, duties or responsibilities;</w:t>
      </w:r>
    </w:p>
    <w:p>
      <w:pPr>
        <w:spacing w:after="0" w:line="188" w:lineRule="exact"/>
        <w:rPr>
          <w:rFonts w:ascii="Times New Roman" w:cs="Times New Roman" w:eastAsia="Times New Roman" w:hAnsi="Times New Roman"/>
          <w:sz w:val="20"/>
          <w:szCs w:val="20"/>
          <w:color w:val="auto"/>
        </w:rPr>
      </w:pPr>
    </w:p>
    <w:p>
      <w:pPr>
        <w:jc w:val="both"/>
        <w:ind w:left="660" w:hanging="4"/>
        <w:spacing w:after="0" w:line="226" w:lineRule="auto"/>
        <w:tabs>
          <w:tab w:leader="none" w:pos="1298"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diminution in the authority, duties or responsibilities of the supervisor to whom you are required to report, such a material diminution to include the supervisor to whom you are required to report no longer reporting to the Board of Directors of Skyworks (or its successor or parent) or the analogous governing body of Skyworks (or its successor or parent);</w:t>
      </w:r>
    </w:p>
    <w:p>
      <w:pPr>
        <w:spacing w:after="0" w:line="160" w:lineRule="exact"/>
        <w:rPr>
          <w:rFonts w:ascii="Times New Roman" w:cs="Times New Roman" w:eastAsia="Times New Roman" w:hAnsi="Times New Roman"/>
          <w:sz w:val="20"/>
          <w:szCs w:val="20"/>
          <w:color w:val="auto"/>
        </w:rPr>
      </w:pPr>
    </w:p>
    <w:p>
      <w:pPr>
        <w:jc w:val="both"/>
        <w:ind w:left="660" w:hanging="4"/>
        <w:spacing w:after="0" w:line="222" w:lineRule="auto"/>
        <w:tabs>
          <w:tab w:leader="none" w:pos="1296"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change in the geographic location at which you are directed that you must perform your duties, which Skyworks has determined shall include a change in your principal place of employment at Skyworks’ or an affiliate’s direction from the location of your principal place of employment immediately prior to the Effective Date of this Agreement to a location more than fifty (50) miles from such principal place of employment; or</w:t>
      </w:r>
    </w:p>
    <w:p>
      <w:pPr>
        <w:spacing w:after="0" w:line="16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action or inaction constituting a material breach by Skyworks of the terms of this Agreement.</w:t>
      </w:r>
    </w:p>
    <w:p>
      <w:pPr>
        <w:spacing w:after="0" w:line="1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Your termination of employment shall not be deemed to be for Good Reason unless, within sixty (60) days of the occurrence of the event constituting Good Reason, you have provided Skyworks with (i) at least thirty (30) days’ advance written notice of your decision to terminate your employment for Good Reason, and (ii) a period of not less than thirty (30) days to cure the event or condition described in subsections (a), (b), (c), (d), or (e) above, and Skyworks has either failed to so cure the event or waived its right to cure the event, to the extent it is then subject to cure.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69" w:name="page70"/>
    <w:bookmarkEnd w:id="69"/>
    <w:p>
      <w:pPr>
        <w:spacing w:after="0" w:line="200" w:lineRule="exact"/>
        <w:rPr>
          <w:sz w:val="20"/>
          <w:szCs w:val="20"/>
          <w:color w:val="auto"/>
        </w:rPr>
      </w:pPr>
    </w:p>
    <w:p>
      <w:pPr>
        <w:spacing w:after="0" w:line="242" w:lineRule="exact"/>
        <w:rPr>
          <w:sz w:val="20"/>
          <w:szCs w:val="20"/>
          <w:color w:val="auto"/>
        </w:rPr>
      </w:pPr>
    </w:p>
    <w:p>
      <w:pPr>
        <w:ind w:left="640" w:hanging="632"/>
        <w:spacing w:after="0"/>
        <w:tabs>
          <w:tab w:leader="none" w:pos="64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Miscellaneous</w:t>
      </w:r>
    </w:p>
    <w:p>
      <w:pPr>
        <w:spacing w:after="0" w:line="17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12.1.</w:t>
        <w:tab/>
        <w:t>All claims by you for benefits under this Agreement shall be directed to and determined by the Board and shall be in writing. Any</w:t>
      </w:r>
    </w:p>
    <w:p>
      <w:pPr>
        <w:spacing w:after="0" w:line="204" w:lineRule="auto"/>
        <w:rPr>
          <w:sz w:val="20"/>
          <w:szCs w:val="20"/>
          <w:color w:val="auto"/>
        </w:rPr>
      </w:pPr>
      <w:r>
        <w:rPr>
          <w:rFonts w:ascii="Times New Roman" w:cs="Times New Roman" w:eastAsia="Times New Roman" w:hAnsi="Times New Roman"/>
          <w:sz w:val="20"/>
          <w:szCs w:val="20"/>
          <w:color w:val="auto"/>
        </w:rPr>
        <w:t>denial by the Board of a claim for benefits under this Agreement shall be delivered to you in writing and shall set forth the specific reasons for the denial and the specific provisions of this Agreement relied upon. The Board shall afford a reasonable opportunity to you for a review</w:t>
      </w:r>
    </w:p>
    <w:p>
      <w:pPr>
        <w:spacing w:after="0" w:line="211" w:lineRule="auto"/>
        <w:rPr>
          <w:sz w:val="20"/>
          <w:szCs w:val="20"/>
          <w:color w:val="auto"/>
        </w:rPr>
      </w:pPr>
      <w:r>
        <w:rPr>
          <w:rFonts w:ascii="Times New Roman" w:cs="Times New Roman" w:eastAsia="Times New Roman" w:hAnsi="Times New Roman"/>
          <w:sz w:val="20"/>
          <w:szCs w:val="20"/>
          <w:color w:val="auto"/>
        </w:rPr>
        <w:t>of the decision denying a claim. Any further dispute or controversy arising under or in connection with this Agreement shall be settled</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exclusively by arbitration in accordance with the terms and conditions of the Company’s standard form of arbitration agreement, which if you have not already entered into shall be signed by you contemporaneously with this Agreement as a condition of the severance arrangements</w:t>
      </w:r>
    </w:p>
    <w:p>
      <w:pPr>
        <w:spacing w:after="0" w:line="211" w:lineRule="auto"/>
        <w:rPr>
          <w:sz w:val="20"/>
          <w:szCs w:val="20"/>
          <w:color w:val="auto"/>
        </w:rPr>
      </w:pPr>
      <w:r>
        <w:rPr>
          <w:rFonts w:ascii="Times New Roman" w:cs="Times New Roman" w:eastAsia="Times New Roman" w:hAnsi="Times New Roman"/>
          <w:sz w:val="20"/>
          <w:szCs w:val="20"/>
          <w:color w:val="auto"/>
        </w:rPr>
        <w:t>hereunder. Skyworks agrees to pay as incurred, to the full extent permitted by law, all legal, accounting and other fees and expenses which</w:t>
      </w:r>
    </w:p>
    <w:p>
      <w:pPr>
        <w:spacing w:after="0" w:line="215" w:lineRule="auto"/>
        <w:rPr>
          <w:sz w:val="20"/>
          <w:szCs w:val="20"/>
          <w:color w:val="auto"/>
        </w:rPr>
      </w:pPr>
      <w:r>
        <w:rPr>
          <w:rFonts w:ascii="Times New Roman" w:cs="Times New Roman" w:eastAsia="Times New Roman" w:hAnsi="Times New Roman"/>
          <w:sz w:val="19"/>
          <w:szCs w:val="19"/>
          <w:color w:val="auto"/>
        </w:rPr>
        <w:t>you may reasonably incur as a result of any claim or contest (regardless of the outcome thereof) by Skyworks, you or others regarding the validity or enforceability of, or liability under, any provision of this Agreement or any guarantee of performance thereof (including as a result</w:t>
      </w:r>
    </w:p>
    <w:p>
      <w:pPr>
        <w:spacing w:after="0" w:line="222" w:lineRule="auto"/>
        <w:rPr>
          <w:sz w:val="20"/>
          <w:szCs w:val="20"/>
          <w:color w:val="auto"/>
        </w:rPr>
      </w:pPr>
      <w:r>
        <w:rPr>
          <w:rFonts w:ascii="Times New Roman" w:cs="Times New Roman" w:eastAsia="Times New Roman" w:hAnsi="Times New Roman"/>
          <w:sz w:val="19"/>
          <w:szCs w:val="19"/>
          <w:color w:val="auto"/>
        </w:rPr>
        <w:t>of any contest by you regarding the amount of any payment or benefits pursuant to this Agreement), plus in each case interest on any delayed</w:t>
      </w:r>
    </w:p>
    <w:p>
      <w:pPr>
        <w:spacing w:after="0" w:line="204" w:lineRule="auto"/>
        <w:rPr>
          <w:sz w:val="20"/>
          <w:szCs w:val="20"/>
          <w:color w:val="auto"/>
        </w:rPr>
      </w:pPr>
      <w:r>
        <w:rPr>
          <w:rFonts w:ascii="Times New Roman" w:cs="Times New Roman" w:eastAsia="Times New Roman" w:hAnsi="Times New Roman"/>
          <w:sz w:val="20"/>
          <w:szCs w:val="20"/>
          <w:color w:val="auto"/>
        </w:rPr>
        <w:t>payment at the applicable federal rate provided for in Section 7872(f)(2)(A) of the Code. Notwithstanding anything in this Agreement to the contrary, (a) no provision of this Agreement shall operate to extend the life of any option beyond the term originally stated in the applicable</w:t>
      </w:r>
    </w:p>
    <w:p>
      <w:pPr>
        <w:spacing w:after="0" w:line="211" w:lineRule="auto"/>
        <w:rPr>
          <w:sz w:val="20"/>
          <w:szCs w:val="20"/>
          <w:color w:val="auto"/>
        </w:rPr>
      </w:pPr>
      <w:r>
        <w:rPr>
          <w:rFonts w:ascii="Times New Roman" w:cs="Times New Roman" w:eastAsia="Times New Roman" w:hAnsi="Times New Roman"/>
          <w:sz w:val="20"/>
          <w:szCs w:val="20"/>
          <w:color w:val="auto"/>
        </w:rPr>
        <w:t>option grant or option agreement; (b) the reimbursement of a fee or expense pursuant to this Section 12 shall be provided not later than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calendar year following the calendar year in which the fee or expense was incurred, (c) the amount of fees and expenses eligible for reimbursement during any calendar year may not affect the amount of fees and expenses eligible for reimbursement in any other calendar</w:t>
      </w:r>
    </w:p>
    <w:p>
      <w:pPr>
        <w:spacing w:after="0" w:line="211" w:lineRule="auto"/>
        <w:rPr>
          <w:sz w:val="20"/>
          <w:szCs w:val="20"/>
          <w:color w:val="auto"/>
        </w:rPr>
      </w:pPr>
      <w:r>
        <w:rPr>
          <w:rFonts w:ascii="Times New Roman" w:cs="Times New Roman" w:eastAsia="Times New Roman" w:hAnsi="Times New Roman"/>
          <w:sz w:val="20"/>
          <w:szCs w:val="20"/>
          <w:color w:val="auto"/>
        </w:rPr>
        <w:t>year, (d) the right to reimbursement under this Section 12 is not subject to liquidation or exchange for another benefit and (e) the obligation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of Skyworks under this Section 12 shall survive the termination for any reason of this Agreement and shall remain in effect until the applicable statute of limitation has expired with respect to any claim or contest (regardless of the outcome thereof) by Skyworks, you or</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others regarding the validity or enforceability of, or liability under, any provision of this Agreement or any guarantee of performance thereof (including as a result of any contest by you regarding the amount of any payment or benefits pursuant to this Agreement).</w:t>
      </w:r>
    </w:p>
    <w:p>
      <w:pPr>
        <w:spacing w:after="0" w:line="149"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20"/>
          <w:szCs w:val="20"/>
          <w:color w:val="auto"/>
        </w:rPr>
        <w:t>12.2. This Agreement is intended to comply with or be exempt from Section 409A of the Code and any related regulations or other applicable guidance promulgated thereunder (collectively, “Section 409A”), to the extent applicable. It is the intent of the parties hereto that</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all severance payments and benefits provided pursuant to this Agreement qualify as short-term deferrals, as defined in Treasury Regulation §1.409A-1(a)(4), separation pay due to an involuntary separation from service under Treasury Regulation §1.409A-1(b)(9)(iii),</w:t>
      </w:r>
    </w:p>
    <w:p>
      <w:pPr>
        <w:spacing w:after="0" w:line="211" w:lineRule="auto"/>
        <w:rPr>
          <w:sz w:val="20"/>
          <w:szCs w:val="20"/>
          <w:color w:val="auto"/>
        </w:rPr>
      </w:pPr>
      <w:r>
        <w:rPr>
          <w:rFonts w:ascii="Times New Roman" w:cs="Times New Roman" w:eastAsia="Times New Roman" w:hAnsi="Times New Roman"/>
          <w:sz w:val="20"/>
          <w:szCs w:val="20"/>
          <w:color w:val="auto"/>
        </w:rPr>
        <w:t>reimbursement of medical benefits under Treasury Regulation §1.409A-1(b)(9)(v)(B), and/or limited payments, as defined in Treasury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Regulation §1.409A-1(b)(9)(v)(D), to the extent applicable. If (a) it is determined that any payments or benefits provided pursuant to this Agreement that are paid upon “separation from service” (as that term is used in Section 409A) constitute deferred compensation for purposes</w:t>
      </w:r>
    </w:p>
    <w:p>
      <w:pPr>
        <w:spacing w:after="0" w:line="222" w:lineRule="auto"/>
        <w:rPr>
          <w:sz w:val="20"/>
          <w:szCs w:val="20"/>
          <w:color w:val="auto"/>
        </w:rPr>
      </w:pPr>
      <w:r>
        <w:rPr>
          <w:rFonts w:ascii="Times New Roman" w:cs="Times New Roman" w:eastAsia="Times New Roman" w:hAnsi="Times New Roman"/>
          <w:sz w:val="19"/>
          <w:szCs w:val="19"/>
          <w:color w:val="auto"/>
        </w:rPr>
        <w:t>of Section 409A (after taking into account the exceptions listed in the prior sentence and/or any other applicable exceptions) and (b) you are a</w:t>
      </w:r>
    </w:p>
    <w:p>
      <w:pPr>
        <w:ind w:right="20"/>
        <w:spacing w:after="0" w:line="215" w:lineRule="auto"/>
        <w:rPr>
          <w:sz w:val="20"/>
          <w:szCs w:val="20"/>
          <w:color w:val="auto"/>
        </w:rPr>
      </w:pPr>
      <w:r>
        <w:rPr>
          <w:rFonts w:ascii="Times New Roman" w:cs="Times New Roman" w:eastAsia="Times New Roman" w:hAnsi="Times New Roman"/>
          <w:sz w:val="19"/>
          <w:szCs w:val="19"/>
          <w:color w:val="auto"/>
        </w:rPr>
        <w:t>“specified employee” (as that term is used in Section 409A) when your employment terminates, such payments or benefits (or portions thereof) that constitute deferred compensation payable upon a separation from service that are to be paid or provided during the six (6) month</w:t>
      </w:r>
    </w:p>
    <w:p>
      <w:pPr>
        <w:spacing w:after="0" w:line="222" w:lineRule="auto"/>
        <w:rPr>
          <w:sz w:val="20"/>
          <w:szCs w:val="20"/>
          <w:color w:val="auto"/>
        </w:rPr>
      </w:pPr>
      <w:r>
        <w:rPr>
          <w:rFonts w:ascii="Times New Roman" w:cs="Times New Roman" w:eastAsia="Times New Roman" w:hAnsi="Times New Roman"/>
          <w:sz w:val="19"/>
          <w:szCs w:val="19"/>
          <w:color w:val="auto"/>
        </w:rPr>
        <w:t>period following termination of your employment shall not be paid or provided until the first business day after the date that is six (6) months</w:t>
      </w:r>
    </w:p>
    <w:p>
      <w:pPr>
        <w:jc w:val="both"/>
        <w:ind w:right="20"/>
        <w:spacing w:after="0" w:line="204" w:lineRule="auto"/>
        <w:rPr>
          <w:sz w:val="20"/>
          <w:szCs w:val="20"/>
          <w:color w:val="auto"/>
        </w:rPr>
      </w:pPr>
      <w:r>
        <w:rPr>
          <w:rFonts w:ascii="Times New Roman" w:cs="Times New Roman" w:eastAsia="Times New Roman" w:hAnsi="Times New Roman"/>
          <w:sz w:val="20"/>
          <w:szCs w:val="20"/>
          <w:color w:val="auto"/>
        </w:rPr>
        <w:t>following termination of your employment or, if earlier, the first business day following the date of your death. The payment that is made pursuant to the prior sentence shall include the cumulative amount of any amounts that could not be paid during the six (6) month period.</w:t>
      </w:r>
    </w:p>
    <w:p>
      <w:pPr>
        <w:spacing w:after="0" w:line="197" w:lineRule="auto"/>
        <w:rPr>
          <w:sz w:val="20"/>
          <w:szCs w:val="20"/>
          <w:color w:val="auto"/>
        </w:rPr>
      </w:pPr>
      <w:r>
        <w:rPr>
          <w:rFonts w:ascii="Times New Roman" w:cs="Times New Roman" w:eastAsia="Times New Roman" w:hAnsi="Times New Roman"/>
          <w:sz w:val="20"/>
          <w:szCs w:val="20"/>
          <w:color w:val="auto"/>
        </w:rPr>
        <w:t>Each installment payment under this Agreement shall be treated as a separate payment as defined under Treasury Regulation §1.409A-2(b)</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70" w:name="page71"/>
    <w:bookmarkEnd w:id="70"/>
    <w:p>
      <w:pPr>
        <w:spacing w:after="0" w:line="200" w:lineRule="exact"/>
        <w:rPr>
          <w:sz w:val="20"/>
          <w:szCs w:val="20"/>
          <w:color w:val="auto"/>
        </w:rPr>
      </w:pPr>
    </w:p>
    <w:p>
      <w:pPr>
        <w:spacing w:after="0" w:line="246"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12.3. Except as expressly provided in this Section 12, neither you nor Skyworks shall have the right to accelerate or to defer the delivery of the payments or benefits to be made or provided under this Agreement and in no event shall you have the right to designate in which tax year</w:t>
      </w:r>
    </w:p>
    <w:p>
      <w:pPr>
        <w:spacing w:after="0" w:line="207" w:lineRule="auto"/>
        <w:rPr>
          <w:sz w:val="20"/>
          <w:szCs w:val="20"/>
          <w:color w:val="auto"/>
        </w:rPr>
      </w:pPr>
      <w:r>
        <w:rPr>
          <w:rFonts w:ascii="Times New Roman" w:cs="Times New Roman" w:eastAsia="Times New Roman" w:hAnsi="Times New Roman"/>
          <w:sz w:val="19"/>
          <w:szCs w:val="19"/>
          <w:color w:val="auto"/>
        </w:rPr>
        <w:t>a payment will be made or benefit will be provided. Accordingly, if the sixty (60) day period during which the Release (described in Section</w:t>
      </w:r>
    </w:p>
    <w:p>
      <w:pPr>
        <w:spacing w:after="0" w:line="1" w:lineRule="exact"/>
        <w:rPr>
          <w:sz w:val="20"/>
          <w:szCs w:val="20"/>
          <w:color w:val="auto"/>
        </w:rPr>
      </w:pPr>
    </w:p>
    <w:p>
      <w:pPr>
        <w:jc w:val="both"/>
        <w:ind w:firstLine="8"/>
        <w:spacing w:after="0" w:line="215" w:lineRule="auto"/>
        <w:tabs>
          <w:tab w:leader="none" w:pos="231"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must be executed, delivered, and become irrevocable straddles two tax years, no payments or benefits will be made or provided to you before the first business day of the second tax year. Notwithstanding anything in this Agreement to the contrary, references to employment termination in Sections 1, 2, or 4, as applicable, shall be interpreted to mean “separation from service,” as that term is used in Section 409A of the Code and related regulations. Accordingly, payments to be made under Sections 1, 2, or 4, as applicable, shall not be made unless a separation from service (within the meaning of Section 409A of the Code and related regulations) shall have occurred.</w:t>
      </w:r>
    </w:p>
    <w:p>
      <w:pPr>
        <w:spacing w:after="0" w:line="163"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0"/>
          <w:szCs w:val="20"/>
          <w:color w:val="auto"/>
        </w:rPr>
        <w:t>12.4. Skyworks may withhold (or cause to be withheld) from any payments made under this Agreement, all federal, state, city or other taxes as shall be required to be withheld pursuant to any law or governmental regulation or ruling.</w:t>
      </w:r>
    </w:p>
    <w:p>
      <w:pPr>
        <w:spacing w:after="0" w:line="15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12.5.</w:t>
      </w:r>
      <w:r>
        <w:rPr>
          <w:sz w:val="20"/>
          <w:szCs w:val="20"/>
          <w:color w:val="auto"/>
        </w:rPr>
        <w:tab/>
      </w:r>
      <w:r>
        <w:rPr>
          <w:rFonts w:ascii="Times New Roman" w:cs="Times New Roman" w:eastAsia="Times New Roman" w:hAnsi="Times New Roman"/>
          <w:sz w:val="19"/>
          <w:szCs w:val="19"/>
          <w:color w:val="auto"/>
        </w:rPr>
        <w:t>Skyworks shall require any successor (whether direct or indirect, by purchase, merger, consolidation, reorganization or otherwise) to</w:t>
      </w:r>
    </w:p>
    <w:p>
      <w:pPr>
        <w:spacing w:after="0" w:line="204" w:lineRule="auto"/>
        <w:rPr>
          <w:sz w:val="20"/>
          <w:szCs w:val="20"/>
          <w:color w:val="auto"/>
        </w:rPr>
      </w:pPr>
      <w:r>
        <w:rPr>
          <w:rFonts w:ascii="Times New Roman" w:cs="Times New Roman" w:eastAsia="Times New Roman" w:hAnsi="Times New Roman"/>
          <w:sz w:val="20"/>
          <w:szCs w:val="20"/>
          <w:color w:val="auto"/>
        </w:rPr>
        <w:t>all or substantially all of the business or assets of Skyworks (the “Acquisition”), as a condition precedent to the Acquisition, to expressly assume and agree in writing, with a copy to you, to perform this Agreement in the same manner and to the same extent as Skyworks would</w:t>
      </w:r>
    </w:p>
    <w:p>
      <w:pPr>
        <w:spacing w:after="0" w:line="211" w:lineRule="auto"/>
        <w:rPr>
          <w:sz w:val="20"/>
          <w:szCs w:val="20"/>
          <w:color w:val="auto"/>
        </w:rPr>
      </w:pPr>
      <w:r>
        <w:rPr>
          <w:rFonts w:ascii="Times New Roman" w:cs="Times New Roman" w:eastAsia="Times New Roman" w:hAnsi="Times New Roman"/>
          <w:sz w:val="20"/>
          <w:szCs w:val="20"/>
          <w:color w:val="auto"/>
        </w:rPr>
        <w:t>be required to perform this Agreement as if no such succession had taken place. You acknowledge and agree, and Skyworks acknowledges</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and agrees, that, without limitation to any other provision of this Agreement which is also “material,” this provision is a material term of this Agreement and an important clause benefiting you, to assure you that the obligation of Skyworks to provide you with the existing benefits</w:t>
      </w:r>
    </w:p>
    <w:p>
      <w:pPr>
        <w:spacing w:after="0" w:line="228" w:lineRule="auto"/>
        <w:rPr>
          <w:sz w:val="20"/>
          <w:szCs w:val="20"/>
          <w:color w:val="auto"/>
        </w:rPr>
      </w:pPr>
      <w:r>
        <w:rPr>
          <w:rFonts w:ascii="Times New Roman" w:cs="Times New Roman" w:eastAsia="Times New Roman" w:hAnsi="Times New Roman"/>
          <w:sz w:val="20"/>
          <w:szCs w:val="20"/>
          <w:color w:val="auto"/>
        </w:rPr>
        <w:t>made available under this Agreement, are adhered to by any successor to Skyworks, and the provision also benefits Skyworks in that the assurance to you afforded by this provision is an important retention incentive to have you remain in the employment of Skyworks.</w:t>
      </w:r>
    </w:p>
    <w:p>
      <w:pPr>
        <w:spacing w:after="0" w:line="14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12.6.</w:t>
      </w:r>
      <w:r>
        <w:rPr>
          <w:sz w:val="20"/>
          <w:szCs w:val="20"/>
          <w:color w:val="auto"/>
        </w:rPr>
        <w:tab/>
      </w:r>
      <w:r>
        <w:rPr>
          <w:rFonts w:ascii="Times New Roman" w:cs="Times New Roman" w:eastAsia="Times New Roman" w:hAnsi="Times New Roman"/>
          <w:sz w:val="19"/>
          <w:szCs w:val="19"/>
          <w:color w:val="auto"/>
        </w:rPr>
        <w:t>This Agreement may be modified only by a written instrument executed by both parties.</w:t>
      </w:r>
    </w:p>
    <w:p>
      <w:pPr>
        <w:spacing w:after="0" w:line="18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12.7.</w:t>
        <w:tab/>
        <w:t>This Agreement and any disputes hereunder shall be governed by and construed in accordance with the internal laws of the State of</w:t>
      </w:r>
    </w:p>
    <w:p>
      <w:pPr>
        <w:spacing w:after="0" w:line="221" w:lineRule="auto"/>
        <w:rPr>
          <w:sz w:val="20"/>
          <w:szCs w:val="20"/>
          <w:color w:val="auto"/>
        </w:rPr>
      </w:pPr>
      <w:r>
        <w:rPr>
          <w:rFonts w:ascii="Times New Roman" w:cs="Times New Roman" w:eastAsia="Times New Roman" w:hAnsi="Times New Roman"/>
          <w:sz w:val="20"/>
          <w:szCs w:val="20"/>
          <w:color w:val="auto"/>
        </w:rPr>
        <w:t>California without giving effect to any choice or conflict of law provision or rule (whether of California or any other jurisdiction) that would cause the application of laws of any jurisdiction other than those of California.</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40" w:right="339" w:bottom="1440" w:gutter="0" w:footer="0" w:header="0"/>
        </w:sectPr>
      </w:pPr>
    </w:p>
    <w:bookmarkStart w:id="71" w:name="page72"/>
    <w:bookmarkEnd w:id="71"/>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Please sign both copies of this Agreement and return one to Skyworks.</w:t>
      </w:r>
    </w:p>
    <w:p>
      <w:pPr>
        <w:spacing w:after="0" w:line="25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Sincerely,</w:t>
      </w:r>
    </w:p>
    <w:p>
      <w:pPr>
        <w:spacing w:after="0" w:line="297" w:lineRule="exact"/>
        <w:rPr>
          <w:sz w:val="20"/>
          <w:szCs w:val="20"/>
          <w:color w:val="auto"/>
        </w:rPr>
      </w:pPr>
    </w:p>
    <w:p>
      <w:pPr>
        <w:ind w:left="80"/>
        <w:spacing w:after="0"/>
        <w:tabs>
          <w:tab w:leader="none" w:pos="5680" w:val="left"/>
        </w:tabs>
        <w:rPr>
          <w:sz w:val="20"/>
          <w:szCs w:val="20"/>
          <w:color w:val="auto"/>
        </w:rPr>
      </w:pPr>
      <w:r>
        <w:rPr>
          <w:rFonts w:ascii="Times New Roman" w:cs="Times New Roman" w:eastAsia="Times New Roman" w:hAnsi="Times New Roman"/>
          <w:sz w:val="20"/>
          <w:szCs w:val="20"/>
          <w:color w:val="auto"/>
        </w:rPr>
        <w:t>SKYWORKS SOLUTIONS, INC.</w:t>
      </w:r>
      <w:r>
        <w:rPr>
          <w:sz w:val="20"/>
          <w:szCs w:val="20"/>
          <w:color w:val="auto"/>
        </w:rPr>
        <w:tab/>
      </w:r>
      <w:r>
        <w:rPr>
          <w:rFonts w:ascii="Times New Roman" w:cs="Times New Roman" w:eastAsia="Times New Roman" w:hAnsi="Times New Roman"/>
          <w:sz w:val="19"/>
          <w:szCs w:val="19"/>
          <w:color w:val="auto"/>
        </w:rPr>
        <w:t>AGREED TO:</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 Liam K. Griffin</w:t>
            </w:r>
          </w:p>
        </w:tc>
        <w:tc>
          <w:tcPr>
            <w:tcW w:w="280" w:type="dxa"/>
            <w:vAlign w:val="bottom"/>
          </w:tcPr>
          <w:p>
            <w:pPr>
              <w:spacing w:after="0"/>
              <w:rPr>
                <w:sz w:val="22"/>
                <w:szCs w:val="22"/>
                <w:color w:val="auto"/>
              </w:rPr>
            </w:pPr>
          </w:p>
        </w:tc>
        <w:tc>
          <w:tcPr>
            <w:tcW w:w="56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 Robert J. Terry</w:t>
            </w:r>
          </w:p>
        </w:tc>
        <w:tc>
          <w:tcPr>
            <w:tcW w:w="0" w:type="dxa"/>
            <w:vAlign w:val="bottom"/>
          </w:tcPr>
          <w:p>
            <w:pPr>
              <w:spacing w:after="0"/>
              <w:rPr>
                <w:sz w:val="1"/>
                <w:szCs w:val="1"/>
                <w:color w:val="auto"/>
              </w:rPr>
            </w:pPr>
          </w:p>
        </w:tc>
      </w:tr>
      <w:tr>
        <w:trPr>
          <w:trHeight w:val="244"/>
        </w:trPr>
        <w:tc>
          <w:tcPr>
            <w:tcW w:w="56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Liam K. Griffin</w:t>
            </w:r>
          </w:p>
        </w:tc>
        <w:tc>
          <w:tcPr>
            <w:tcW w:w="56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Robert J. Terry</w:t>
            </w:r>
          </w:p>
        </w:tc>
        <w:tc>
          <w:tcPr>
            <w:tcW w:w="0" w:type="dxa"/>
            <w:vAlign w:val="bottom"/>
          </w:tcPr>
          <w:p>
            <w:pPr>
              <w:spacing w:after="0"/>
              <w:rPr>
                <w:sz w:val="1"/>
                <w:szCs w:val="1"/>
                <w:color w:val="auto"/>
              </w:rPr>
            </w:pPr>
          </w:p>
        </w:tc>
      </w:tr>
      <w:tr>
        <w:trPr>
          <w:trHeight w:val="258"/>
        </w:trPr>
        <w:tc>
          <w:tcPr>
            <w:tcW w:w="56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Chairman, Chief Executive Officer and President</w:t>
            </w:r>
          </w:p>
        </w:tc>
        <w:tc>
          <w:tcPr>
            <w:tcW w:w="560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Date:</w:t>
            </w:r>
          </w:p>
        </w:tc>
        <w:tc>
          <w:tcPr>
            <w:tcW w:w="0" w:type="dxa"/>
            <w:vAlign w:val="bottom"/>
          </w:tcPr>
          <w:p>
            <w:pPr>
              <w:spacing w:after="0"/>
              <w:rPr>
                <w:sz w:val="1"/>
                <w:szCs w:val="1"/>
                <w:color w:val="auto"/>
              </w:rPr>
            </w:pPr>
          </w:p>
        </w:tc>
      </w:tr>
      <w:tr>
        <w:trPr>
          <w:trHeight w:val="214"/>
        </w:trPr>
        <w:tc>
          <w:tcPr>
            <w:tcW w:w="5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5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May 10, 2023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40"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Release of Claims</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 xml:space="preserve">In consideration for receiving benefits pursuant to Sections 1, 2, or 3, as applicable, of the Amended and Restated Change in Control/Severance Agreement dated May 10, 2023, between you and Skyworks Solutions, Inc. (the “Company”) (the “Agreement”), you, on behalf of yourself and your representatives, agents, estate, heirs, successors and assigns, agree to and do hereby fully, forever, irrevocably and unconditionally waive, release and discharge the Company, and each of its affiliated or related entities, parents, subsidiaries, predecessors, successors, assigns, divisions, owners, stockholders, partners, directors, officers, attorneys, insurers, benefit plans, employees and agents, whether previously or hereinafter affiliated in any manner, as well as all persons or entities acting by, through, or in concert with any of them (collectively, the “Released Parties”), from any and all claims, debts, contracts, obligations, promises, controversies, agreements, liabilities, charges, demands, actions, suits, disputes, agreements, damages, attorneys’ fees, and complaints of every kind and nature whatsoever, whether or not now known, suspected, claimed, matured or unmatured, existing or contingent, from the beginning of time until the moment you have signed this Agreement, against the Released Parties (whether directly or indirectly), or any of them, by reason of any act, event or omission concerning any matter, cause or thing, including, but not limited to, any and all claims arising out of or relating to your employment with and/or separation from the Company, including without limiting the generality of the foregoing, all claims under Title VII of the Civil Rights Act of 1964, 42 U.S.C. § 2000e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the Age Discrimination in Employment Act of 1967, 29 U.S.C. § 621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(including the Older Workers Benefit Protection Act), the Genetic Information Nondiscrimination Act of 2008, 42 U.S.C. § 2000ff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the Rehabilitation Act of 1973, 29 U.S.C. § 701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the Fair Credit Reporting Act, 15 U.S.C. § 1681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the Equal Pay Act of 1963, 29 U.S.C. § 206(d), the Americans With Disabilities Act of 1990, 42 U.S.C. § 12101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the Family and Medical Leave Act of 1993, 29 U.S.C. § 2601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the Worker Adjustment Retraining and Notification Act, 29 U.S.C. § 2101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the Employee Retirement Income Security Act of 1974, 29 U.S.C. § 1001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and any applicable Executive Orders, all as amended; all claims arising out of the California Fair Employment and Housing Act, Cal. Gov’t. Code § 12900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the California Equal Pay Act, Cal. Lab. Code § 1197.5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the California Family Rights Act, Cal. Gov’t. Code § 12945.1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and § 19702.3, the Cal-WARN Act, Cal. Lab. Code §§ 1400-1408, Cal. Lab. Code § 233 (California’s kin care law), Cal. Code Regs. tit. 2, §§ 7291.2– 7291.16 (California’s pregnancy leave law), California Unruh Civil Rights Act, Cal. Civ. Code § 51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and Cal. Lab. Code §§ 98.6 and 1102.5 (California whistleblower protection laws), all as amended; all common law claims including, but not limited to, actions for wrongful discharge, breach of contract, infliction of emotional distress, defamation, misrepresentation, and fraud; all claims to any non-vested ownership interest in the Company or any of its affiliates, contractual or otherwise; all state and federal whistleblower claims to the maximum extent permitted by law; and any claim or damage arising out of your employment with and/or separation from the Company (including a claim for retaliation) under any common law theory</w:t>
      </w:r>
    </w:p>
    <w:p>
      <w:pPr>
        <w:spacing w:after="0" w:line="23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or any federal, state or local statute or ordinance not expressly referenced above; </w:t>
      </w:r>
      <w:r>
        <w:rPr>
          <w:rFonts w:ascii="Times New Roman" w:cs="Times New Roman" w:eastAsia="Times New Roman" w:hAnsi="Times New Roman"/>
          <w:sz w:val="20"/>
          <w:szCs w:val="20"/>
          <w:i w:val="1"/>
          <w:iCs w:val="1"/>
          <w:color w:val="auto"/>
        </w:rPr>
        <w:t>provided, however, that this release of claims does not waive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any claims that cannot be waived as a matter of law, and it also does not prevent you from filing a charge with, cooperating with, or participating in any investigation or proceeding before, the Equal Employment Opportunity Commission or a state fair employment practices agency (except that you acknowledge that you may not recover any monetary benefits in connection with any such charge, investigation, or proceeding, and you further waive any rights or claims to any payment, benefit, attorneys’ fees or other remedial relief in connection with any such charge, investigation or proceeding</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ectPr>
          <w:pgSz w:w="11900" w:h="16838" w:orient="portrait"/>
          <w:cols w:equalWidth="0" w:num="1">
            <w:col w:w="11240"/>
          </w:cols>
          <w:pgMar w:left="320" w:top="1328" w:right="339" w:bottom="1440" w:gutter="0" w:footer="0" w:header="0"/>
        </w:sectPr>
      </w:pPr>
    </w:p>
    <w:bookmarkStart w:id="73" w:name="page74"/>
    <w:bookmarkEnd w:id="73"/>
    <w:p>
      <w:pPr>
        <w:spacing w:after="0" w:line="283" w:lineRule="auto"/>
        <w:rPr>
          <w:sz w:val="20"/>
          <w:szCs w:val="20"/>
          <w:color w:val="auto"/>
        </w:rPr>
      </w:pPr>
      <w:r>
        <w:rPr>
          <w:rFonts w:ascii="Times New Roman" w:cs="Times New Roman" w:eastAsia="Times New Roman" w:hAnsi="Times New Roman"/>
          <w:sz w:val="20"/>
          <w:szCs w:val="20"/>
          <w:color w:val="auto"/>
        </w:rPr>
        <w:t>You knowingly and voluntarily waive any and all rights you may have under Section 1542 of the California Civil Code, or any other similar state statutes or laws, regarding the waiver of unknown claims.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1542 states:</w:t>
      </w:r>
    </w:p>
    <w:p>
      <w:pPr>
        <w:spacing w:after="0" w:line="229" w:lineRule="exact"/>
        <w:rPr>
          <w:sz w:val="20"/>
          <w:szCs w:val="20"/>
          <w:color w:val="auto"/>
        </w:rPr>
      </w:pPr>
    </w:p>
    <w:p>
      <w:pPr>
        <w:jc w:val="both"/>
        <w:ind w:left="660" w:right="700"/>
        <w:spacing w:after="0" w:line="258" w:lineRule="auto"/>
        <w:rPr>
          <w:sz w:val="20"/>
          <w:szCs w:val="20"/>
          <w:color w:val="auto"/>
        </w:rPr>
      </w:pPr>
      <w:r>
        <w:rPr>
          <w:rFonts w:ascii="Times New Roman" w:cs="Times New Roman" w:eastAsia="Times New Roman" w:hAnsi="Times New Roman"/>
          <w:sz w:val="20"/>
          <w:szCs w:val="20"/>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Notwithstanding the provisions of Section 1542, or any similar state statutes or laws, and for the purpose of implementing a full and complete release and discharge of the Released Parties, you expressly acknowledge that this Agreement is intended to include and does include in its effect, without limitation, all claims which you do not know or suspect to exist in your favor against the Released Parties, or any of them, at the moment of execution hereof, and that this Agreement expressly contemplates the extinguishment of all such claims.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SIGNING THIS AGREEMENT, YOU REPRESENT AND AGREE THAT:</w:t>
      </w:r>
    </w:p>
    <w:p>
      <w:pPr>
        <w:spacing w:after="0" w:line="202" w:lineRule="exact"/>
        <w:rPr>
          <w:sz w:val="20"/>
          <w:szCs w:val="20"/>
          <w:color w:val="auto"/>
        </w:rPr>
      </w:pPr>
    </w:p>
    <w:p>
      <w:pPr>
        <w:jc w:val="both"/>
        <w:ind w:left="660" w:hanging="652"/>
        <w:spacing w:after="0" w:line="220" w:lineRule="auto"/>
        <w:tabs>
          <w:tab w:leader="none" w:pos="66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UNDERSTAND ALL OF ITS TERMS AND KNOW THAT YOU ARE GIVING UP IMPORTANT RIGHTS, INCLUDING BUT NOT LIMITED TO, RIGHTS UNDER THE AGE DISCRIMINATION IN EMPLOYMENT ACT OF 1967, AS AMENDED BY THE OLDER WORKERS BENEFIT PROTECTION ACT; TITLE VII OF THE CIVIL RIGHTS ACT OF 1964, AS AMENDED; THE EQUAL PAY ACT OF 1963; THE AMERICANS WITH DISABILITIES ACT OF 1990; AND THE EMPLOYEE RETIREMENT INCOME SECURITY ACT OF 1974, AS AMENDED;</w:t>
      </w:r>
    </w:p>
    <w:p>
      <w:pPr>
        <w:spacing w:after="0" w:line="147" w:lineRule="exact"/>
        <w:rPr>
          <w:rFonts w:ascii="Times New Roman" w:cs="Times New Roman" w:eastAsia="Times New Roman" w:hAnsi="Times New Roman"/>
          <w:sz w:val="20"/>
          <w:szCs w:val="20"/>
          <w:color w:val="auto"/>
        </w:rPr>
      </w:pPr>
    </w:p>
    <w:p>
      <w:pPr>
        <w:jc w:val="both"/>
        <w:ind w:left="660" w:hanging="652"/>
        <w:spacing w:after="0" w:line="230" w:lineRule="auto"/>
        <w:tabs>
          <w:tab w:leader="none" w:pos="66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ARE ADVISED TO CONSULT WITH AN ATTORNEY BEFORE EXECUTING IT AND YOU HAVE EITHER DONE SO OR, AFTER CAREFUL READING AND CONSIDERATION, YOU HAVE CHOSEN NOT TO DO SO OF YOUR OWN VOLITION;</w:t>
      </w:r>
    </w:p>
    <w:p>
      <w:pPr>
        <w:spacing w:after="0" w:line="148"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HAVE HAD AT LEAST 21 DAYS FROM THE DATE OF YOUR RECEIPT OF THIS AGREEMENT SUBSTANTIALLY IN ITS FINAL FORM ON _______________ __, _____ TO CONSIDER IT; AND</w:t>
      </w:r>
    </w:p>
    <w:p>
      <w:pPr>
        <w:spacing w:after="0" w:line="161" w:lineRule="exact"/>
        <w:rPr>
          <w:rFonts w:ascii="Times New Roman" w:cs="Times New Roman" w:eastAsia="Times New Roman" w:hAnsi="Times New Roman"/>
          <w:sz w:val="20"/>
          <w:szCs w:val="20"/>
          <w:color w:val="auto"/>
        </w:rPr>
      </w:pPr>
    </w:p>
    <w:p>
      <w:pPr>
        <w:jc w:val="both"/>
        <w:ind w:left="660" w:hanging="652"/>
        <w:spacing w:after="0" w:line="226" w:lineRule="auto"/>
        <w:tabs>
          <w:tab w:leader="none" w:pos="66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UNDERSTAND THAT YOU HAVE SEVEN DAYS AFTER THE EXECUTION OF THIS AGREEMENT TO REVOKE IT AND THAT THIS AGREEMENT SHALL NOT BECOME EFFECTIVE OR ENFORCEABLE UNTIL THE REVOCATION PERIOD HAS EXPIRED.</w:t>
      </w: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Agreed: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40005</wp:posOffset>
            </wp:positionV>
            <wp:extent cx="244284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5">
                      <a:extLst>
                        <a:ext uri="{28A0092B-C50C-407E-A947-70E740481C1C}"/>
                      </a:extLst>
                    </a:blip>
                    <a:srcRect/>
                    <a:stretch>
                      <a:fillRect/>
                    </a:stretch>
                  </pic:blipFill>
                  <pic:spPr bwMode="auto">
                    <a:xfrm>
                      <a:off x="0" y="0"/>
                      <a:ext cx="2442845"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40005</wp:posOffset>
            </wp:positionV>
            <wp:extent cx="20916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6">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61"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20"/>
          <w:szCs w:val="20"/>
          <w:color w:val="auto"/>
        </w:rPr>
        <w:t>Date</w:t>
      </w:r>
    </w:p>
    <w:p>
      <w:pPr>
        <w:spacing w:after="0" w:line="3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Acknowledged: SKYWORKS SOLUTIONS, INC.</w:t>
      </w: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40005</wp:posOffset>
            </wp:positionV>
            <wp:extent cx="244284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7">
                      <a:extLst>
                        <a:ext uri="{28A0092B-C50C-407E-A947-70E740481C1C}"/>
                      </a:extLst>
                    </a:blip>
                    <a:srcRect/>
                    <a:stretch>
                      <a:fillRect/>
                    </a:stretch>
                  </pic:blipFill>
                  <pic:spPr bwMode="auto">
                    <a:xfrm>
                      <a:off x="0" y="0"/>
                      <a:ext cx="244284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40005</wp:posOffset>
            </wp:positionV>
            <wp:extent cx="20916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8">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61"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20"/>
          <w:szCs w:val="20"/>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w:t>
      </w:r>
    </w:p>
    <w:p>
      <w:pPr>
        <w:sectPr>
          <w:pgSz w:w="11900" w:h="16838" w:orient="portrait"/>
          <w:cols w:equalWidth="0" w:num="1">
            <w:col w:w="11240"/>
          </w:cols>
          <w:pgMar w:left="320" w:top="1332" w:right="339" w:bottom="1440" w:gutter="0" w:footer="0" w:header="0"/>
        </w:sectPr>
      </w:pPr>
    </w:p>
    <w:bookmarkStart w:id="74" w:name="page75"/>
    <w:bookmarkEnd w:id="7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2917190</wp:posOffset>
            </wp:positionH>
            <wp:positionV relativeFrom="page">
              <wp:posOffset>88900</wp:posOffset>
            </wp:positionV>
            <wp:extent cx="1722755" cy="5657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1722755" cy="565785"/>
                    </a:xfrm>
                    <a:prstGeom prst="rect">
                      <a:avLst/>
                    </a:prstGeom>
                    <a:noFill/>
                  </pic:spPr>
                </pic:pic>
              </a:graphicData>
            </a:graphic>
          </wp:anchor>
        </w:drawing>
      </w:r>
    </w:p>
    <w:p>
      <w:pPr>
        <w:spacing w:after="0" w:line="2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10.15</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May 10,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Carlos Bori</w:t>
      </w:r>
    </w:p>
    <w:p>
      <w:pPr>
        <w:spacing w:after="0" w:line="24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Re:</w:t>
      </w:r>
      <w:r>
        <w:rPr>
          <w:sz w:val="20"/>
          <w:szCs w:val="20"/>
          <w:color w:val="auto"/>
        </w:rPr>
        <w:tab/>
      </w:r>
      <w:r>
        <w:rPr>
          <w:rFonts w:ascii="Times New Roman" w:cs="Times New Roman" w:eastAsia="Times New Roman" w:hAnsi="Times New Roman"/>
          <w:sz w:val="19"/>
          <w:szCs w:val="19"/>
          <w:color w:val="auto"/>
        </w:rPr>
        <w:t>Amended and Restated Change in Control / Severance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Carlos: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letter agreement (the “Agreement”) sets out the severance arrangements concerning your employment with Skyworks Solutions,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(“Skyworks”).</w:t>
      </w:r>
    </w:p>
    <w:p>
      <w:pPr>
        <w:spacing w:after="0" w:line="196" w:lineRule="exact"/>
        <w:rPr>
          <w:sz w:val="20"/>
          <w:szCs w:val="20"/>
          <w:color w:val="auto"/>
        </w:rPr>
      </w:pPr>
    </w:p>
    <w:p>
      <w:pPr>
        <w:ind w:left="660" w:hanging="652"/>
        <w:spacing w:after="0"/>
        <w:tabs>
          <w:tab w:leader="none" w:pos="66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Termination of Employment Related to Change in Control</w:t>
      </w:r>
    </w:p>
    <w:p>
      <w:pPr>
        <w:spacing w:after="0" w:line="179"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9"/>
          <w:szCs w:val="19"/>
          <w:color w:val="auto"/>
        </w:rPr>
        <w:t>1.1. If: (a) a Change in Control occurs during the Initial Term or the Additional Term (as defined in Section 9) and (b) your employment with Skyworks is terminated by Skyworks without Cause or you terminate your employment with Skyworks for Good Reason, in either case</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within the period of time commencing three (3) months prior to and ending two (2) years following the Change in Control, then you will receive the benefits provided in Section 1.2 and Section 2 below.</w:t>
      </w:r>
    </w:p>
    <w:p>
      <w:pPr>
        <w:spacing w:after="0" w:line="16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0"/>
          <w:szCs w:val="20"/>
          <w:color w:val="auto"/>
        </w:rPr>
        <w:t>1.2. Subject to the provisions of Sections 3.3, 8 and 12, (a) as soon as practicable (but not more than sixty (60) days) after the date of any termination of your employment described in Section 1.1 (or such later date as may be required by this Section 1.2 or by Section 12.2),</w:t>
      </w:r>
    </w:p>
    <w:p>
      <w:pPr>
        <w:spacing w:after="0" w:line="224" w:lineRule="auto"/>
        <w:rPr>
          <w:sz w:val="20"/>
          <w:szCs w:val="20"/>
          <w:color w:val="auto"/>
        </w:rPr>
      </w:pPr>
      <w:r>
        <w:rPr>
          <w:rFonts w:ascii="Times New Roman" w:cs="Times New Roman" w:eastAsia="Times New Roman" w:hAnsi="Times New Roman"/>
          <w:sz w:val="19"/>
          <w:szCs w:val="19"/>
          <w:color w:val="auto"/>
        </w:rPr>
        <w:t>Skyworks shall pay you a lump sum equal to one and one-half (1.5) times the sum of (i) your rate of annual base salary in effect immediately</w:t>
      </w:r>
    </w:p>
    <w:p>
      <w:pPr>
        <w:spacing w:after="0" w:line="215" w:lineRule="auto"/>
        <w:rPr>
          <w:sz w:val="20"/>
          <w:szCs w:val="20"/>
          <w:color w:val="auto"/>
        </w:rPr>
      </w:pPr>
      <w:r>
        <w:rPr>
          <w:rFonts w:ascii="Times New Roman" w:cs="Times New Roman" w:eastAsia="Times New Roman" w:hAnsi="Times New Roman"/>
          <w:sz w:val="19"/>
          <w:szCs w:val="19"/>
          <w:color w:val="auto"/>
        </w:rPr>
        <w:t>prior to the Change in Control, and (ii) the greater of (A) the average of the annual short-term cash incentive payments you received for each of the three years prior to the year in which the Change in Control occurs, or (B) your target annual short-term cash incentive opportunity for</w:t>
      </w:r>
    </w:p>
    <w:p>
      <w:pPr>
        <w:spacing w:after="0" w:line="211" w:lineRule="auto"/>
        <w:rPr>
          <w:sz w:val="20"/>
          <w:szCs w:val="20"/>
          <w:color w:val="auto"/>
        </w:rPr>
      </w:pPr>
      <w:r>
        <w:rPr>
          <w:rFonts w:ascii="Times New Roman" w:cs="Times New Roman" w:eastAsia="Times New Roman" w:hAnsi="Times New Roman"/>
          <w:sz w:val="20"/>
          <w:szCs w:val="20"/>
          <w:color w:val="auto"/>
        </w:rPr>
        <w:t>the year in which the Change in Control occurs (without regard to the relative achievement of any performance milestones which would</w:t>
      </w:r>
    </w:p>
    <w:p>
      <w:pPr>
        <w:jc w:val="both"/>
        <w:spacing w:after="0" w:line="204" w:lineRule="auto"/>
        <w:rPr>
          <w:sz w:val="20"/>
          <w:szCs w:val="20"/>
          <w:color w:val="auto"/>
        </w:rPr>
      </w:pPr>
      <w:r>
        <w:rPr>
          <w:rFonts w:ascii="Times New Roman" w:cs="Times New Roman" w:eastAsia="Times New Roman" w:hAnsi="Times New Roman"/>
          <w:sz w:val="20"/>
          <w:szCs w:val="20"/>
          <w:color w:val="auto"/>
        </w:rPr>
        <w:t>otherwise impact payment of the short-term cash incentive); (b) on the date of any termination described in Section 1.1, all of your then-outstanding Skyworks stock options shall remain exercisable for a period of eighteen (18) months after the termination date (or, if earlier,</w:t>
      </w:r>
    </w:p>
    <w:p>
      <w:pPr>
        <w:spacing w:after="0" w:line="223" w:lineRule="auto"/>
        <w:rPr>
          <w:sz w:val="20"/>
          <w:szCs w:val="20"/>
          <w:color w:val="auto"/>
        </w:rPr>
      </w:pPr>
      <w:r>
        <w:rPr>
          <w:rFonts w:ascii="Times New Roman" w:cs="Times New Roman" w:eastAsia="Times New Roman" w:hAnsi="Times New Roman"/>
          <w:sz w:val="19"/>
          <w:szCs w:val="19"/>
          <w:color w:val="auto"/>
        </w:rPr>
        <w:t>until the last day of the full option term), subject to their other terms and conditions; and (c) Skyworks shall make contributions to the cost of</w:t>
      </w:r>
    </w:p>
    <w:p>
      <w:pPr>
        <w:spacing w:after="0" w:line="204" w:lineRule="auto"/>
        <w:rPr>
          <w:sz w:val="20"/>
          <w:szCs w:val="20"/>
          <w:color w:val="auto"/>
        </w:rPr>
      </w:pPr>
      <w:r>
        <w:rPr>
          <w:rFonts w:ascii="Times New Roman" w:cs="Times New Roman" w:eastAsia="Times New Roman" w:hAnsi="Times New Roman"/>
          <w:sz w:val="20"/>
          <w:szCs w:val="20"/>
          <w:color w:val="auto"/>
        </w:rPr>
        <w:t>COBRA (Consolidated Omnibus Budget Reconciliation Act) coverage on your behalf (and on behalf of any applicable dependents) for a period of eighteen (18) months after your termination if you elect COBRA coverage, and only for so long as such coverage continues in</w:t>
      </w:r>
    </w:p>
    <w:p>
      <w:pPr>
        <w:spacing w:after="0" w:line="211" w:lineRule="auto"/>
        <w:rPr>
          <w:sz w:val="20"/>
          <w:szCs w:val="20"/>
          <w:color w:val="auto"/>
        </w:rPr>
      </w:pPr>
      <w:r>
        <w:rPr>
          <w:rFonts w:ascii="Times New Roman" w:cs="Times New Roman" w:eastAsia="Times New Roman" w:hAnsi="Times New Roman"/>
          <w:sz w:val="20"/>
          <w:szCs w:val="20"/>
          <w:color w:val="auto"/>
        </w:rPr>
        <w:t>force; provided, however, that if you commence new employment and are eligible for a new group health plan in connection with such</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employment, Skyworks’ contributions toward COBRA coverage shall end when the new employment begins. The contribution to the cost of COBRA coverage to be made by Skyworks shall be determined on the same basis as Skyworks’ contribution to Skyworks-provided medical,</w:t>
      </w:r>
    </w:p>
    <w:p>
      <w:pPr>
        <w:spacing w:after="0" w:line="211" w:lineRule="auto"/>
        <w:rPr>
          <w:sz w:val="20"/>
          <w:szCs w:val="20"/>
          <w:color w:val="auto"/>
        </w:rPr>
      </w:pPr>
      <w:r>
        <w:rPr>
          <w:rFonts w:ascii="Times New Roman" w:cs="Times New Roman" w:eastAsia="Times New Roman" w:hAnsi="Times New Roman"/>
          <w:sz w:val="20"/>
          <w:szCs w:val="20"/>
          <w:color w:val="auto"/>
        </w:rPr>
        <w:t>dental, and vision insurance coverage in effect immediately before your termination of your employment for an active employee with the</w:t>
      </w:r>
    </w:p>
    <w:p>
      <w:pPr>
        <w:spacing w:after="0" w:line="204" w:lineRule="auto"/>
        <w:rPr>
          <w:sz w:val="20"/>
          <w:szCs w:val="20"/>
          <w:color w:val="auto"/>
        </w:rPr>
      </w:pPr>
      <w:r>
        <w:rPr>
          <w:rFonts w:ascii="Times New Roman" w:cs="Times New Roman" w:eastAsia="Times New Roman" w:hAnsi="Times New Roman"/>
          <w:sz w:val="20"/>
          <w:szCs w:val="20"/>
          <w:color w:val="auto"/>
        </w:rPr>
        <w:t>same coverage elections. Notwithstanding the foregoing, in the event that Skyworks’ provision of such COBRA payments will violate the nondiscrimination requirements of applicable law, Skyworks will not provide contributions to the cost of COBRA and this benefit shall not</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apply. Notwithstanding anything in this agreement to the contrary, in the event that your employment is terminated prior to the Change in Control, no payments shall be made under this Section 1.2 until after the effective date of the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Skyworks Solutions, Inc. </w:t>
      </w:r>
      <w:r>
        <w:rPr>
          <w:rFonts w:ascii="Arial" w:cs="Arial" w:eastAsia="Arial" w:hAnsi="Arial"/>
          <w:sz w:val="16"/>
          <w:szCs w:val="16"/>
          <w:color w:val="808080"/>
        </w:rPr>
        <w:t>●</w:t>
      </w:r>
      <w:r>
        <w:rPr>
          <w:rFonts w:ascii="Arial" w:cs="Arial" w:eastAsia="Arial" w:hAnsi="Arial"/>
          <w:sz w:val="16"/>
          <w:szCs w:val="16"/>
          <w:color w:val="auto"/>
        </w:rPr>
        <w:t xml:space="preserve"> 5260 California Avenue, Irvine, CA 92617</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949.231.3000 </w:t>
      </w:r>
      <w:r>
        <w:rPr>
          <w:rFonts w:ascii="Arial" w:cs="Arial" w:eastAsia="Arial" w:hAnsi="Arial"/>
          <w:sz w:val="16"/>
          <w:szCs w:val="16"/>
          <w:color w:val="808080"/>
        </w:rPr>
        <w:t>●</w:t>
      </w:r>
      <w:r>
        <w:rPr>
          <w:rFonts w:ascii="Arial" w:cs="Arial" w:eastAsia="Arial" w:hAnsi="Arial"/>
          <w:sz w:val="16"/>
          <w:szCs w:val="16"/>
          <w:color w:val="auto"/>
        </w:rPr>
        <w:t xml:space="preserve"> www.skyworksinc.com</w:t>
      </w:r>
    </w:p>
    <w:p>
      <w:pPr>
        <w:sectPr>
          <w:pgSz w:w="11900" w:h="16838" w:orient="portrait"/>
          <w:cols w:equalWidth="0" w:num="1">
            <w:col w:w="11240"/>
          </w:cols>
          <w:pgMar w:left="320" w:top="1440" w:right="339" w:bottom="1440" w:gutter="0" w:footer="0" w:header="0"/>
        </w:sectPr>
      </w:pPr>
    </w:p>
    <w:bookmarkStart w:id="75" w:name="page76"/>
    <w:bookmarkEnd w:id="75"/>
    <w:p>
      <w:pPr>
        <w:spacing w:after="0" w:line="200" w:lineRule="exact"/>
        <w:rPr>
          <w:sz w:val="20"/>
          <w:szCs w:val="20"/>
          <w:color w:val="auto"/>
        </w:rPr>
      </w:pPr>
    </w:p>
    <w:p>
      <w:pPr>
        <w:spacing w:after="0" w:line="242" w:lineRule="exact"/>
        <w:rPr>
          <w:sz w:val="20"/>
          <w:szCs w:val="20"/>
          <w:color w:val="auto"/>
        </w:rPr>
      </w:pPr>
    </w:p>
    <w:p>
      <w:pPr>
        <w:ind w:left="660" w:hanging="652"/>
        <w:spacing w:after="0"/>
        <w:tabs>
          <w:tab w:leader="none" w:pos="66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Effect of Change in Control on Equity Awards</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color w:val="auto"/>
        </w:rPr>
        <w:t>For purposes of this Section 2, “Equity Acceleration Date” means:</w:t>
      </w:r>
    </w:p>
    <w:p>
      <w:pPr>
        <w:spacing w:after="0" w:line="189" w:lineRule="exact"/>
        <w:rPr>
          <w:sz w:val="20"/>
          <w:szCs w:val="20"/>
          <w:color w:val="auto"/>
        </w:rPr>
      </w:pPr>
    </w:p>
    <w:p>
      <w:pPr>
        <w:jc w:val="both"/>
        <w:ind w:left="660" w:hanging="4"/>
        <w:spacing w:after="0" w:line="226" w:lineRule="auto"/>
        <w:tabs>
          <w:tab w:leader="none" w:pos="1298"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effective date of the Change in Control, in the event that you experience a termination of employment described in Section 1.1 that is within the period of time commencing three (3) months prior to the Change in Control and ending on the effective date of the Change in Control; or</w:t>
      </w:r>
    </w:p>
    <w:p>
      <w:pPr>
        <w:spacing w:after="0" w:line="160" w:lineRule="exact"/>
        <w:rPr>
          <w:rFonts w:ascii="Times New Roman" w:cs="Times New Roman" w:eastAsia="Times New Roman" w:hAnsi="Times New Roman"/>
          <w:sz w:val="20"/>
          <w:szCs w:val="20"/>
          <w:color w:val="auto"/>
        </w:rPr>
      </w:pPr>
    </w:p>
    <w:p>
      <w:pPr>
        <w:jc w:val="both"/>
        <w:ind w:left="660" w:hanging="4"/>
        <w:spacing w:after="0" w:line="215" w:lineRule="auto"/>
        <w:tabs>
          <w:tab w:leader="none" w:pos="1296"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effective date of your termination of employment, in the event that you experience a termination of employment described in Section 1.1 that is within the period of time commencing on the effective date of the Change in Control and ending two</w:t>
      </w:r>
    </w:p>
    <w:p>
      <w:pPr>
        <w:spacing w:after="0" w:line="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 years following the Change in Control.</w:t>
      </w:r>
    </w:p>
    <w:p>
      <w:pPr>
        <w:spacing w:after="0" w:line="167"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2.2. In the event that you experience a termination of employment without Cause or for Good Reason, as described in Section 1.1, that is within the period of time commencing three (3) months prior to the Change in Control and ending on the effective date of the Change in</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Control, then on the date of your termination, each outstanding and unvested equity award held by you as of the day prior to the date of your termination of employment shall:</w:t>
      </w:r>
    </w:p>
    <w:p>
      <w:pPr>
        <w:spacing w:after="0" w:line="149" w:lineRule="exact"/>
        <w:rPr>
          <w:sz w:val="20"/>
          <w:szCs w:val="20"/>
          <w:color w:val="auto"/>
        </w:rPr>
      </w:pPr>
    </w:p>
    <w:p>
      <w:pPr>
        <w:jc w:val="both"/>
        <w:ind w:left="660" w:hanging="4"/>
        <w:spacing w:after="0" w:line="230" w:lineRule="auto"/>
        <w:tabs>
          <w:tab w:leader="none" w:pos="1298"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remain outstanding for the period of three months following your termination of employment with any vesting of such award being suspended until it is determined whether there is a Change in Control during the three (3) month period following your termination of employment;</w:t>
      </w:r>
    </w:p>
    <w:p>
      <w:pPr>
        <w:spacing w:after="0" w:line="148" w:lineRule="exact"/>
        <w:rPr>
          <w:rFonts w:ascii="Times New Roman" w:cs="Times New Roman" w:eastAsia="Times New Roman" w:hAnsi="Times New Roman"/>
          <w:sz w:val="20"/>
          <w:szCs w:val="20"/>
          <w:color w:val="auto"/>
        </w:rPr>
      </w:pPr>
    </w:p>
    <w:p>
      <w:pPr>
        <w:jc w:val="both"/>
        <w:ind w:left="660" w:hanging="4"/>
        <w:spacing w:after="0" w:line="220" w:lineRule="auto"/>
        <w:tabs>
          <w:tab w:leader="none" w:pos="1296"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Change in Control occurs within the three (3) month period following your termination of employment, be treated as if you had remained employed by Skyworks through the effective date of the Change in Control and notwithstanding any vesting schedule, forfeiture provisions, or anything else to the contrary in the respective award agreement or plan document governing such award, subject to the same terms and conditions as in effect immediately prior to your termination of employment and subject to any applicable provisions of this Section 2; and</w:t>
      </w:r>
    </w:p>
    <w:p>
      <w:pPr>
        <w:spacing w:after="0" w:line="160" w:lineRule="exact"/>
        <w:rPr>
          <w:rFonts w:ascii="Times New Roman" w:cs="Times New Roman" w:eastAsia="Times New Roman" w:hAnsi="Times New Roman"/>
          <w:sz w:val="20"/>
          <w:szCs w:val="20"/>
          <w:color w:val="auto"/>
        </w:rPr>
      </w:pPr>
    </w:p>
    <w:p>
      <w:pPr>
        <w:ind w:left="660" w:hanging="4"/>
        <w:spacing w:after="0" w:line="233" w:lineRule="auto"/>
        <w:tabs>
          <w:tab w:leader="none" w:pos="1298"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no Change in Control occurs within the three (3) month period following your termination of employment, terminate and be of no further force or effect except as otherwise provided in this Agreement.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2.3. If a Change in Control occurs during the Initial Term or the Additional Term, then the following provisions shall apply to your then-outstanding equity awards (including any equity awards that remain outstanding as of the Change in Control pursuant to Section 2.2):</w:t>
      </w:r>
    </w:p>
    <w:p>
      <w:pPr>
        <w:spacing w:after="0" w:line="148" w:lineRule="exact"/>
        <w:rPr>
          <w:sz w:val="20"/>
          <w:szCs w:val="20"/>
          <w:color w:val="auto"/>
        </w:rPr>
      </w:pPr>
    </w:p>
    <w:p>
      <w:pPr>
        <w:jc w:val="both"/>
        <w:ind w:left="660" w:hanging="4"/>
        <w:spacing w:after="0" w:line="212" w:lineRule="auto"/>
        <w:tabs>
          <w:tab w:leader="none" w:pos="1298"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you hold a performance-based equity award that vests based upon the achievement of performance metrics and upon providing continued service to Skyworks, and the Change in Control occurs prior to the “measurement date” (i.e. the last day of the applicable performance period) for such award, then upon the effective date of the Change in Control such award shall be earned as to the greater of (i) the “Target” level of shares for such award, or (ii) the number of shares that would have been earned pursuant to the terms of such award based upon performance up through and including the day prior to the date of the Change in Control; provided, however, that if the Compensation Committee of the Board of Directors of Skyworks (the “</w:t>
      </w:r>
      <w:r>
        <w:rPr>
          <w:rFonts w:ascii="Times New Roman" w:cs="Times New Roman" w:eastAsia="Times New Roman" w:hAnsi="Times New Roman"/>
          <w:sz w:val="20"/>
          <w:szCs w:val="20"/>
          <w:u w:val="single" w:color="auto"/>
          <w:color w:val="auto"/>
        </w:rPr>
        <w:t>Compensation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Committee</w:t>
      </w:r>
      <w:r>
        <w:rPr>
          <w:rFonts w:ascii="Times New Roman" w:cs="Times New Roman" w:eastAsia="Times New Roman" w:hAnsi="Times New Roman"/>
          <w:sz w:val="20"/>
          <w:szCs w:val="20"/>
          <w:color w:val="auto"/>
        </w:rPr>
        <w:t>”) determines in its sole discretion that it is impracticable to calculate the number of shares that would have been earned under subsection (ii) above with respect to one or more of the applicable performance metrics of the award, then such award shall be earned as to the “Target” level of shares covered by such performance metric(s). For the avoidance of doubt, any deemed satisfaction of performance goals as described in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76" w:name="page77"/>
    <w:bookmarkEnd w:id="76"/>
    <w:p>
      <w:pPr>
        <w:spacing w:after="0" w:line="200" w:lineRule="exact"/>
        <w:rPr>
          <w:sz w:val="20"/>
          <w:szCs w:val="20"/>
          <w:color w:val="auto"/>
        </w:rPr>
      </w:pPr>
    </w:p>
    <w:p>
      <w:pPr>
        <w:spacing w:after="0" w:line="246" w:lineRule="exact"/>
        <w:rPr>
          <w:sz w:val="20"/>
          <w:szCs w:val="20"/>
          <w:color w:val="auto"/>
        </w:rPr>
      </w:pPr>
    </w:p>
    <w:p>
      <w:pPr>
        <w:ind w:left="660"/>
        <w:spacing w:after="0" w:line="233" w:lineRule="auto"/>
        <w:rPr>
          <w:sz w:val="20"/>
          <w:szCs w:val="20"/>
          <w:color w:val="auto"/>
        </w:rPr>
      </w:pPr>
      <w:r>
        <w:rPr>
          <w:rFonts w:ascii="Times New Roman" w:cs="Times New Roman" w:eastAsia="Times New Roman" w:hAnsi="Times New Roman"/>
          <w:sz w:val="20"/>
          <w:szCs w:val="20"/>
          <w:color w:val="auto"/>
        </w:rPr>
        <w:t>Section 2.3(a) shall occur prior to the assumption, substitution, or accelerated vesting of such award as provided in this Section 2.3 or in Section 2.4.</w:t>
      </w:r>
    </w:p>
    <w:p>
      <w:pPr>
        <w:spacing w:after="0" w:line="161" w:lineRule="exact"/>
        <w:rPr>
          <w:sz w:val="20"/>
          <w:szCs w:val="20"/>
          <w:color w:val="auto"/>
        </w:rPr>
      </w:pPr>
    </w:p>
    <w:p>
      <w:pPr>
        <w:jc w:val="both"/>
        <w:ind w:left="660" w:hanging="4"/>
        <w:spacing w:after="0" w:line="213" w:lineRule="auto"/>
        <w:tabs>
          <w:tab w:leader="none" w:pos="1296"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successor or surviving company in the Change in Control does not agree to assume, or substitute for, an equity award (or in which Skyworks is the ultimate parent corporation and does not agree to continue the equity award) on substantially similar terms with substantially equivalent economic benefits (which benefits shall include, for the avoidance of doubt, the liquidity of the securities underlying the assumed or substituted award following the Change in Control) as exist for such award immediately prior to the Change in Control, as determined in the sole discretion of the Compensation Committee, then such equity award shall, immediately prior to the Change in Control, automatically become vested, exercisable, and issuable, and any forfeiture restrictions thereon shall immediately lapse, as applicable, in each case, with respect to one-hundred percent (100%) of that number of then-unvested shares underlying such equity award, after giving effect to any deemed satisfaction of performance goals as described in Section 2.3(a).</w:t>
      </w:r>
    </w:p>
    <w:p>
      <w:pPr>
        <w:spacing w:after="0" w:line="161" w:lineRule="exact"/>
        <w:rPr>
          <w:rFonts w:ascii="Times New Roman" w:cs="Times New Roman" w:eastAsia="Times New Roman" w:hAnsi="Times New Roman"/>
          <w:sz w:val="20"/>
          <w:szCs w:val="20"/>
          <w:color w:val="auto"/>
        </w:rPr>
      </w:pPr>
    </w:p>
    <w:p>
      <w:pPr>
        <w:jc w:val="both"/>
        <w:ind w:left="660" w:hanging="4"/>
        <w:spacing w:after="0" w:line="213" w:lineRule="auto"/>
        <w:tabs>
          <w:tab w:leader="none" w:pos="1298"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successor or surviving company in the Change in Control agrees to assume, or substitute for, an outstanding equity award (or in which Skyworks is the ultimate parent corporation and agrees to continue the equity award) on substantially similar terms with substantially equivalent economic benefits (which benefits shall include, for the avoidance of doubt, the liquidity of the securities underlying the assumed or substituted award following the Change in Control) as exist for such award immediately prior to the Change in Control (but after giving effect to any deemed satisfaction of performance goals as described in Section 2.3(a)), as determined in the sole discretion of the Compensation Committee, then for the avoidance of doubt, such equity award shall continue to be subject to the same time-based vesting schedule to which the award was subject immediately prior to the Change in Control.</w:t>
      </w:r>
    </w:p>
    <w:p>
      <w:pPr>
        <w:spacing w:after="0" w:line="15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2.4.</w:t>
      </w:r>
      <w:r>
        <w:rPr>
          <w:sz w:val="20"/>
          <w:szCs w:val="20"/>
          <w:color w:val="auto"/>
        </w:rPr>
        <w:tab/>
      </w:r>
      <w:r>
        <w:rPr>
          <w:rFonts w:ascii="Times New Roman" w:cs="Times New Roman" w:eastAsia="Times New Roman" w:hAnsi="Times New Roman"/>
          <w:sz w:val="20"/>
          <w:szCs w:val="20"/>
          <w:color w:val="auto"/>
        </w:rPr>
        <w:t>Subject to the provisions of Sections 3.3, 8 and 12, each outstanding and unvested equity award held by you on the Equity</w:t>
      </w:r>
    </w:p>
    <w:p>
      <w:pPr>
        <w:spacing w:after="0" w:line="204" w:lineRule="auto"/>
        <w:rPr>
          <w:sz w:val="20"/>
          <w:szCs w:val="20"/>
          <w:color w:val="auto"/>
        </w:rPr>
      </w:pPr>
      <w:r>
        <w:rPr>
          <w:rFonts w:ascii="Times New Roman" w:cs="Times New Roman" w:eastAsia="Times New Roman" w:hAnsi="Times New Roman"/>
          <w:sz w:val="20"/>
          <w:szCs w:val="20"/>
          <w:color w:val="auto"/>
        </w:rPr>
        <w:t>Acceleration Date that, pursuant to its terms and after giving effect to any deemed satisfaction of performance goals as described in Section 2.3(a) and any deemed continued employment through the effective date of the Change in Control as described in Section 2.2, vests</w:t>
      </w:r>
    </w:p>
    <w:p>
      <w:pPr>
        <w:spacing w:after="0" w:line="211" w:lineRule="auto"/>
        <w:rPr>
          <w:sz w:val="20"/>
          <w:szCs w:val="20"/>
          <w:color w:val="auto"/>
        </w:rPr>
      </w:pPr>
      <w:r>
        <w:rPr>
          <w:rFonts w:ascii="Times New Roman" w:cs="Times New Roman" w:eastAsia="Times New Roman" w:hAnsi="Times New Roman"/>
          <w:sz w:val="20"/>
          <w:szCs w:val="20"/>
          <w:color w:val="auto"/>
        </w:rPr>
        <w:t>solely based upon providing continued service to Skyworks (or, if applicable, a successor corporation to Skyworks), including, without</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limitation, stock options, restricted stock awards (including restricted stock unit awards), and performance-based equity awards that are earned but unissued, shall on the Equity Acceleration Date automatically become vested, exercisable, and issuable, and any forfeiture</w:t>
      </w:r>
    </w:p>
    <w:p>
      <w:pPr>
        <w:spacing w:after="0" w:line="211" w:lineRule="auto"/>
        <w:rPr>
          <w:sz w:val="20"/>
          <w:szCs w:val="20"/>
          <w:color w:val="auto"/>
        </w:rPr>
      </w:pPr>
      <w:r>
        <w:rPr>
          <w:rFonts w:ascii="Times New Roman" w:cs="Times New Roman" w:eastAsia="Times New Roman" w:hAnsi="Times New Roman"/>
          <w:sz w:val="20"/>
          <w:szCs w:val="20"/>
          <w:color w:val="auto"/>
        </w:rPr>
        <w:t>restrictions thereon shall immediately lapse, as applicable, in each case, with respect to one-hundred percent (100%) of that number of then-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unvested shares underlying such equity award. For the avoidance of doubt, the reference in this Section 2.4 to “performance-based equity awards that are earned but unissued” shall include any awards (i) for which the measurement date occurs on or prior to the effective date of</w:t>
      </w:r>
    </w:p>
    <w:p>
      <w:pPr>
        <w:spacing w:after="0" w:line="211" w:lineRule="auto"/>
        <w:rPr>
          <w:sz w:val="20"/>
          <w:szCs w:val="20"/>
          <w:color w:val="auto"/>
        </w:rPr>
      </w:pPr>
      <w:r>
        <w:rPr>
          <w:rFonts w:ascii="Times New Roman" w:cs="Times New Roman" w:eastAsia="Times New Roman" w:hAnsi="Times New Roman"/>
          <w:sz w:val="20"/>
          <w:szCs w:val="20"/>
          <w:color w:val="auto"/>
        </w:rPr>
        <w:t>the Change in Control, and (ii) for which the Change in Control occurs prior to the measurement date and which are upon the Change in</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Control converted into, or substituted by, awards vesting solely based upon providing continued service to Skyworks or its successor, pursuant to Section 2.3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2.5. Subject to Section 12.4, any shares that are issued pursuant to Section 2.3(b) or Section 2.4 shall be issued to you on, or as soon as practicable (but not more than sixty (60) days) after, the Equity Acceleration Date (or such later date as may be required by Section 12.2).</w:t>
      </w:r>
    </w:p>
    <w:p>
      <w:pPr>
        <w:spacing w:after="0" w:line="144" w:lineRule="exact"/>
        <w:rPr>
          <w:sz w:val="20"/>
          <w:szCs w:val="20"/>
          <w:color w:val="auto"/>
        </w:rPr>
      </w:pPr>
    </w:p>
    <w:p>
      <w:pPr>
        <w:ind w:left="660" w:hanging="652"/>
        <w:spacing w:after="0"/>
        <w:tabs>
          <w:tab w:leader="none" w:pos="66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Termination of Employment Unrelated to Change in Control</w:t>
      </w:r>
    </w:p>
    <w:p>
      <w:pPr>
        <w:spacing w:after="0" w:line="19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9"/>
          <w:szCs w:val="19"/>
          <w:color w:val="auto"/>
        </w:rPr>
        <w:t>3.1. If, during the Initial Term or the Additional Term (as defined in Section 9), your employment with Skyworks is terminated by Skyworks without Cause more than three (3) months prior to a Change in Control or more than two (2) years following a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77" w:name="page78"/>
    <w:bookmarkEnd w:id="77"/>
    <w:p>
      <w:pPr>
        <w:spacing w:after="0" w:line="200" w:lineRule="exact"/>
        <w:rPr>
          <w:sz w:val="20"/>
          <w:szCs w:val="20"/>
          <w:color w:val="auto"/>
        </w:rPr>
      </w:pPr>
    </w:p>
    <w:p>
      <w:pPr>
        <w:spacing w:after="0" w:line="24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then you will receive the benefits specified in Section 3.2 below. For the avoidance of doubt, if at any time your employment is terminated by Skyworks for Cause or by you for any reason, you will not be entitled to receive the benefits specified in Section 3.2 below (or, for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avoidance of doubt, in Sections 1.2 or 2 above).</w:t>
      </w:r>
    </w:p>
    <w:p>
      <w:pPr>
        <w:spacing w:after="0" w:line="153"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20"/>
          <w:szCs w:val="20"/>
          <w:color w:val="auto"/>
        </w:rPr>
        <w:t>3.2. Subject to the provisions of Sections 3.3, 8 and 12, (a) in the event of any termination of your employment described in Section 3.1, Skyworks shall provide to you biweekly compensation continuation payments commencing as soon as practicable (but not more than sixty</w:t>
      </w:r>
    </w:p>
    <w:p>
      <w:pPr>
        <w:spacing w:after="0" w:line="2" w:lineRule="exact"/>
        <w:rPr>
          <w:sz w:val="20"/>
          <w:szCs w:val="20"/>
          <w:color w:val="auto"/>
        </w:rPr>
      </w:pPr>
    </w:p>
    <w:p>
      <w:pPr>
        <w:jc w:val="both"/>
        <w:ind w:firstLine="8"/>
        <w:spacing w:after="0" w:line="208" w:lineRule="auto"/>
        <w:tabs>
          <w:tab w:leader="none" w:pos="379"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after the date of such termination (or such later date as may be required by Section 12.2) and continuing for a period of twelve (12) months following the termination of your employment, with each such compensation continuation payment being equal to the quotient of (i) divided by (ii), where (i) equals the sum of (A) your then-current annual base salary, and (B) any short-term cash incentive payment then due, and (ii) equals 26 (which, for the avoidance of doubt, shall be the number of biweekly compensation continuation payments); (b) all of your then-vested outstanding Skyworks stock options shall remain exercisable for a period of twelve (12) months after the date of your employment termination (or, if earlier, until the last day of the full option term), subject to their terms and conditions, and (c) Skyworks shall make contributions to the cost of COBRA (Consolidated Omnibus Budget Reconciliation Act) coverage on your behalf (and on behalf of any applicable dependents) for a period of twelve (12) months after your termination if you elect COBRA coverage, and only for so long as such coverage continues in force; provided, however, that if you commence new employment and are eligible for a new group health plan in connection with such employment, Skyworks’ contributions toward COBRA coverage shall end when the new employment begins. The contribution to the cost of COBRA coverage to be made by Skyworks shall be determined on the same basis as Skyworks’ contribution to Skyworks-provided medical, dental and vision insurance coverage in effect immediately before your termination of your employment for an active employee with the same coverage elections. Notwithstanding the foregoing, in the event that Skyworks’ provision of such COBRA payments will violate the nondiscrimination requirements of applicable law, Skyworks will not provide contributions to the cost of COBRA and this benefit shall not apply.</w:t>
      </w:r>
    </w:p>
    <w:p>
      <w:pPr>
        <w:spacing w:after="0" w:line="174"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3.3. For the avoidance of doubt and notwithstanding anything in this Agreement to the contrary, in the event that you experience a termination of employment without Cause as described in Section 1.1 and are therefore eligible to receive the benefits set forth in</w:t>
      </w:r>
    </w:p>
    <w:p>
      <w:pPr>
        <w:spacing w:after="0" w:line="212" w:lineRule="auto"/>
        <w:rPr>
          <w:sz w:val="20"/>
          <w:szCs w:val="20"/>
          <w:color w:val="auto"/>
        </w:rPr>
      </w:pPr>
      <w:r>
        <w:rPr>
          <w:rFonts w:ascii="Times New Roman" w:cs="Times New Roman" w:eastAsia="Times New Roman" w:hAnsi="Times New Roman"/>
          <w:sz w:val="20"/>
          <w:szCs w:val="20"/>
          <w:color w:val="auto"/>
        </w:rPr>
        <w:t>Sections 1.2 and 2 above, then you shall not be eligible to receive any benefits set forth in Section 3.2 following the later of (a) the date of</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your termination of employment, and (b) the effective date of the Change in Control. Any payments and benefits to which you become entitled under Section 1.2 upon the effective date of a Change in Control, as a result of a qualifying termination of employment within the</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three (3) months prior to such Change in Control, shall be reduced in amount or duration, as applicable, equal to the payments and benefits you have received pursuant to Section 3.2 prior to the effective date of such Change in Control,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78" w:name="page79"/>
    <w:bookmarkEnd w:id="78"/>
    <w:p>
      <w:pPr>
        <w:spacing w:after="0" w:line="200" w:lineRule="exact"/>
        <w:rPr>
          <w:sz w:val="20"/>
          <w:szCs w:val="20"/>
          <w:color w:val="auto"/>
        </w:rPr>
      </w:pPr>
    </w:p>
    <w:p>
      <w:pPr>
        <w:spacing w:after="0" w:line="242" w:lineRule="exact"/>
        <w:rPr>
          <w:sz w:val="20"/>
          <w:szCs w:val="20"/>
          <w:color w:val="auto"/>
        </w:rPr>
      </w:pPr>
    </w:p>
    <w:p>
      <w:pPr>
        <w:ind w:left="660" w:hanging="652"/>
        <w:spacing w:after="0"/>
        <w:tabs>
          <w:tab w:leader="none" w:pos="660"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Termination of Employment Due to Death or Disability</w:t>
      </w:r>
    </w:p>
    <w:p>
      <w:pPr>
        <w:spacing w:after="0" w:line="17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20"/>
          <w:szCs w:val="20"/>
          <w:color w:val="auto"/>
        </w:rPr>
        <w:t>In the event of your termination of employment due to death or permanent disability (within the meaning of Section 22(e)(3) of the</w:t>
      </w:r>
    </w:p>
    <w:p>
      <w:pPr>
        <w:spacing w:after="0" w:line="204" w:lineRule="auto"/>
        <w:rPr>
          <w:sz w:val="20"/>
          <w:szCs w:val="20"/>
          <w:color w:val="auto"/>
        </w:rPr>
      </w:pPr>
      <w:r>
        <w:rPr>
          <w:rFonts w:ascii="Times New Roman" w:cs="Times New Roman" w:eastAsia="Times New Roman" w:hAnsi="Times New Roman"/>
          <w:sz w:val="20"/>
          <w:szCs w:val="20"/>
          <w:color w:val="auto"/>
        </w:rPr>
        <w:t>Internal Revenue Code of 1986 (the “Code”)) during the Initial Term or the Additional Term, on the date of such termination each outstanding and unvested equity award held by you that, pursuant to its terms, vests solely based upon providing continued service to</w:t>
      </w:r>
    </w:p>
    <w:p>
      <w:pPr>
        <w:spacing w:after="0" w:line="211" w:lineRule="auto"/>
        <w:rPr>
          <w:sz w:val="20"/>
          <w:szCs w:val="20"/>
          <w:color w:val="auto"/>
        </w:rPr>
      </w:pPr>
      <w:r>
        <w:rPr>
          <w:rFonts w:ascii="Times New Roman" w:cs="Times New Roman" w:eastAsia="Times New Roman" w:hAnsi="Times New Roman"/>
          <w:sz w:val="20"/>
          <w:szCs w:val="20"/>
          <w:color w:val="auto"/>
        </w:rPr>
        <w:t>Skyworks, including, without limitation, stock options, restricted stock awards (including restricted stock unit awards), and performance-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based equity awards that are earned but unissued, shall automatically become vested, exercisable, and issuable, and any forfeiture restrictions thereon shall immediately lapse, as applicable, in each case, with respect to one-hundred percent (100%) of that number of then-unvested</w:t>
      </w:r>
    </w:p>
    <w:p>
      <w:pPr>
        <w:spacing w:after="0"/>
        <w:rPr>
          <w:sz w:val="20"/>
          <w:szCs w:val="20"/>
          <w:color w:val="auto"/>
        </w:rPr>
      </w:pPr>
      <w:r>
        <w:rPr>
          <w:rFonts w:ascii="Times New Roman" w:cs="Times New Roman" w:eastAsia="Times New Roman" w:hAnsi="Times New Roman"/>
          <w:sz w:val="20"/>
          <w:szCs w:val="20"/>
          <w:color w:val="auto"/>
        </w:rPr>
        <w:t>shares underlying such equity award.</w:t>
      </w:r>
    </w:p>
    <w:p>
      <w:pPr>
        <w:spacing w:after="0" w:line="167"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4.2. All outstanding stock options that are exercisable upon your termination of employment due to death or permanent disability (including any stock options that become vested and exercisable pursuant to Section 4.1) shall remain exercisable for a period of time</w:t>
      </w:r>
    </w:p>
    <w:p>
      <w:pPr>
        <w:spacing w:after="0" w:line="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9"/>
          <w:szCs w:val="19"/>
          <w:color w:val="auto"/>
        </w:rPr>
        <w:t>expiring on the earlier of (a) the one (1) year anniversary of your termination of employment due to death or permanent disability, and (b) the final expiration date of such stock options as set forth in the applicable stock option agreement, subject to their other terms and conditions.</w:t>
      </w:r>
    </w:p>
    <w:p>
      <w:pPr>
        <w:spacing w:after="0" w:line="145"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20"/>
          <w:szCs w:val="20"/>
          <w:color w:val="auto"/>
        </w:rPr>
        <w:t>4.3. In the event that you hold a performance-based equity award that vests based upon the achievement of performance metrics and upon providing continued service to Skyworks and your termination of employment due to death or permanent disability occurs prior to the</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“measurement date” (i.e. the last day of the applicable performance period) for such award, then such award shall, as of the measurement date, (a) be earned as to the greater of (i) the “Target” level of shares for such award, or (ii) the number of shares that would have been earned</w:t>
      </w:r>
    </w:p>
    <w:p>
      <w:pPr>
        <w:spacing w:after="0" w:line="211" w:lineRule="auto"/>
        <w:rPr>
          <w:sz w:val="20"/>
          <w:szCs w:val="20"/>
          <w:color w:val="auto"/>
        </w:rPr>
      </w:pPr>
      <w:r>
        <w:rPr>
          <w:rFonts w:ascii="Times New Roman" w:cs="Times New Roman" w:eastAsia="Times New Roman" w:hAnsi="Times New Roman"/>
          <w:sz w:val="20"/>
          <w:szCs w:val="20"/>
          <w:color w:val="auto"/>
        </w:rPr>
        <w:t>pursuant to the terms of such award had you remained employed through the measurement date, and (b) automatically become vested,</w:t>
      </w:r>
    </w:p>
    <w:p>
      <w:pPr>
        <w:spacing w:after="0" w:line="204" w:lineRule="auto"/>
        <w:rPr>
          <w:sz w:val="20"/>
          <w:szCs w:val="20"/>
          <w:color w:val="auto"/>
        </w:rPr>
      </w:pPr>
      <w:r>
        <w:rPr>
          <w:rFonts w:ascii="Times New Roman" w:cs="Times New Roman" w:eastAsia="Times New Roman" w:hAnsi="Times New Roman"/>
          <w:sz w:val="20"/>
          <w:szCs w:val="20"/>
          <w:color w:val="auto"/>
        </w:rPr>
        <w:t>exercisable, and issuable, and any forfeiture restrictions thereon shall immediately lapse, as applicable, in each case, as of the measurement date, with respect to one-hundred percent (100%) of that number of then-unvested shares underlying such equity award that are earned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pursuant to (a) above.</w:t>
      </w:r>
    </w:p>
    <w:p>
      <w:pPr>
        <w:spacing w:after="0" w:line="167"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20"/>
          <w:szCs w:val="20"/>
          <w:color w:val="auto"/>
        </w:rPr>
        <w:t>4.4. Subject to Section 12.4, any shares that are issued pursuant to Section 4.1 shall be issued to you (or to your estate, if applicable) as soon as practicable (but not more than sixty (60) days) after the date of your termination (or such later date as may be required by Section</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12.2). Subject to Section 12.4, any shares that are issued pursuant to Section 4.3 shall be issued to you (or to your estate, if applicable) as soon as practicable (but not more than sixty (60) days) after the measurement date.</w:t>
      </w:r>
    </w:p>
    <w:p>
      <w:pPr>
        <w:spacing w:after="0" w:line="145" w:lineRule="exact"/>
        <w:rPr>
          <w:sz w:val="20"/>
          <w:szCs w:val="20"/>
          <w:color w:val="auto"/>
        </w:rPr>
      </w:pPr>
    </w:p>
    <w:p>
      <w:pPr>
        <w:ind w:left="660" w:hanging="652"/>
        <w:spacing w:after="0"/>
        <w:tabs>
          <w:tab w:leader="none" w:pos="66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Other Terminations of Employment</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the event of your termination of employment by Skyworks for Cause or by you for any or no reason other than as a termination of employment described in Sections 1.1, 3.1, or 4.1, you shall not be entitled to any benefits under this Agreement; provided, however, that Skyworks shall pay you any unpaid wages and vacation as may be required by applicable law and provide you with the ability to elect any continued health coverage as may be required under COBRA or similar state law.</w:t>
      </w:r>
    </w:p>
    <w:p>
      <w:pPr>
        <w:spacing w:after="0" w:line="155" w:lineRule="exact"/>
        <w:rPr>
          <w:sz w:val="20"/>
          <w:szCs w:val="20"/>
          <w:color w:val="auto"/>
        </w:rPr>
      </w:pPr>
    </w:p>
    <w:p>
      <w:pPr>
        <w:ind w:left="660" w:hanging="652"/>
        <w:spacing w:after="0"/>
        <w:tabs>
          <w:tab w:leader="none" w:pos="66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Limitation on Benefits</w:t>
      </w:r>
    </w:p>
    <w:p>
      <w:pPr>
        <w:spacing w:after="0" w:line="18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6.1.</w:t>
      </w:r>
      <w:r>
        <w:rPr>
          <w:sz w:val="20"/>
          <w:szCs w:val="20"/>
          <w:color w:val="auto"/>
        </w:rPr>
        <w:tab/>
      </w:r>
      <w:r>
        <w:rPr>
          <w:rFonts w:ascii="Times New Roman" w:cs="Times New Roman" w:eastAsia="Times New Roman" w:hAnsi="Times New Roman"/>
          <w:sz w:val="20"/>
          <w:szCs w:val="20"/>
          <w:color w:val="auto"/>
        </w:rPr>
        <w:t>Notwithstanding anything contained in this Agreement to the contrary, to the extent that the payments and benefits provided under</w:t>
      </w:r>
    </w:p>
    <w:p>
      <w:pPr>
        <w:spacing w:after="0" w:line="221" w:lineRule="auto"/>
        <w:rPr>
          <w:sz w:val="20"/>
          <w:szCs w:val="20"/>
          <w:color w:val="auto"/>
        </w:rPr>
      </w:pPr>
      <w:r>
        <w:rPr>
          <w:rFonts w:ascii="Times New Roman" w:cs="Times New Roman" w:eastAsia="Times New Roman" w:hAnsi="Times New Roman"/>
          <w:sz w:val="20"/>
          <w:szCs w:val="20"/>
          <w:color w:val="auto"/>
        </w:rPr>
        <w:t>this Agreement, and payments and benefits provided to you, or for your benefit, under any other plan or agreement (such payments or benefits, the “Benefits”) would be subject to the excise tax imposed under Section 4999 of the Code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79" w:name="page80"/>
    <w:bookmarkEnd w:id="79"/>
    <w:p>
      <w:pPr>
        <w:spacing w:after="0" w:line="200" w:lineRule="exact"/>
        <w:rPr>
          <w:sz w:val="20"/>
          <w:szCs w:val="20"/>
          <w:color w:val="auto"/>
        </w:rPr>
      </w:pPr>
    </w:p>
    <w:p>
      <w:pPr>
        <w:spacing w:after="0" w:line="24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“Excise Tax”), the Benefits shall be reduced (but not below zero) if and to the extent that a reduction in the Benefits would result in your retaining a larger amount, on an after-tax basis (taking into account federal, state and local income taxes and the Excise Tax), than if you</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received all of the Benefits (such reduced amount, the “Limited Benefit Amount”).</w:t>
      </w:r>
    </w:p>
    <w:p>
      <w:pPr>
        <w:spacing w:after="0" w:line="153"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0"/>
          <w:szCs w:val="20"/>
          <w:color w:val="auto"/>
        </w:rPr>
        <w:t>6.2. A determination as to whether the Benefits shall be reduced to the Limited Benefit Amount pursuant to this Section 6 and the amount of such Limited Benefit Amount shall be made by Skyworks’ independent public accountants or another certified public accounting firm,</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executive compensation consulting firm or law firm of national reputation designated by Skyworks (the “Firm”) at Skyworks’ expense. The Firm shall provide its determination (the “Determination”), together with detailed supporting calculations and documentation to you and to</w:t>
      </w:r>
    </w:p>
    <w:p>
      <w:pPr>
        <w:spacing w:after="0" w:line="211" w:lineRule="auto"/>
        <w:rPr>
          <w:sz w:val="20"/>
          <w:szCs w:val="20"/>
          <w:color w:val="auto"/>
        </w:rPr>
      </w:pPr>
      <w:r>
        <w:rPr>
          <w:rFonts w:ascii="Times New Roman" w:cs="Times New Roman" w:eastAsia="Times New Roman" w:hAnsi="Times New Roman"/>
          <w:sz w:val="20"/>
          <w:szCs w:val="20"/>
          <w:color w:val="auto"/>
        </w:rPr>
        <w:t>Skyworks within ten (10) business days of the date on which your right to the Benefits is triggered (if requested at that time by you or by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Skyworks) or such other time as reasonably requested by you or by Skyworks. Unless you provide written notice to Skyworks within ten (10) business days of the delivery to you of the Determination that you dispute such Determination, the Determination shall be binding, final and</w:t>
      </w:r>
    </w:p>
    <w:p>
      <w:pPr>
        <w:spacing w:after="0" w:line="222" w:lineRule="auto"/>
        <w:rPr>
          <w:sz w:val="20"/>
          <w:szCs w:val="20"/>
          <w:color w:val="auto"/>
        </w:rPr>
      </w:pPr>
      <w:r>
        <w:rPr>
          <w:rFonts w:ascii="Times New Roman" w:cs="Times New Roman" w:eastAsia="Times New Roman" w:hAnsi="Times New Roman"/>
          <w:sz w:val="19"/>
          <w:szCs w:val="19"/>
          <w:color w:val="auto"/>
        </w:rPr>
        <w:t>conclusive upon you and Skyworks. If the Firm determines that no Excise Tax is payable by you with respect to any Benefits, it shall furnish</w:t>
      </w:r>
    </w:p>
    <w:p>
      <w:pPr>
        <w:spacing w:after="0" w:line="221" w:lineRule="auto"/>
        <w:rPr>
          <w:sz w:val="20"/>
          <w:szCs w:val="20"/>
          <w:color w:val="auto"/>
        </w:rPr>
      </w:pPr>
      <w:r>
        <w:rPr>
          <w:rFonts w:ascii="Times New Roman" w:cs="Times New Roman" w:eastAsia="Times New Roman" w:hAnsi="Times New Roman"/>
          <w:sz w:val="20"/>
          <w:szCs w:val="20"/>
          <w:color w:val="auto"/>
        </w:rPr>
        <w:t>to you and to Skyworks, in writing, a summary of the assumptions and calculations made by the Firm to support its conclusion that no Excise Tax will be imposed with respect to any such Benefits.</w:t>
      </w:r>
    </w:p>
    <w:p>
      <w:pPr>
        <w:spacing w:after="0" w:line="1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6.3.</w:t>
      </w:r>
      <w:r>
        <w:rPr>
          <w:sz w:val="20"/>
          <w:szCs w:val="20"/>
          <w:color w:val="auto"/>
        </w:rPr>
        <w:tab/>
      </w:r>
      <w:r>
        <w:rPr>
          <w:rFonts w:ascii="Times New Roman" w:cs="Times New Roman" w:eastAsia="Times New Roman" w:hAnsi="Times New Roman"/>
          <w:sz w:val="20"/>
          <w:szCs w:val="20"/>
          <w:color w:val="auto"/>
        </w:rPr>
        <w:t>Any reduction in payments and/or benefits pursuant to this Section 6 to effectuate the Limited Benefit Amount shall occur in the</w:t>
      </w:r>
    </w:p>
    <w:p>
      <w:pPr>
        <w:spacing w:after="0" w:line="221" w:lineRule="auto"/>
        <w:rPr>
          <w:sz w:val="20"/>
          <w:szCs w:val="20"/>
          <w:color w:val="auto"/>
        </w:rPr>
      </w:pPr>
      <w:r>
        <w:rPr>
          <w:rFonts w:ascii="Times New Roman" w:cs="Times New Roman" w:eastAsia="Times New Roman" w:hAnsi="Times New Roman"/>
          <w:sz w:val="20"/>
          <w:szCs w:val="20"/>
          <w:color w:val="auto"/>
        </w:rPr>
        <w:t>following order: (1) reduction of cash payments; (2) cancellation of accelerated vesting of equity awards other than stock options; (3) cancellation of accelerated vesting of stock options; and (4) reduction of other benefits payable to you.</w:t>
      </w:r>
    </w:p>
    <w:p>
      <w:pPr>
        <w:spacing w:after="0" w:line="158" w:lineRule="exact"/>
        <w:rPr>
          <w:sz w:val="20"/>
          <w:szCs w:val="20"/>
          <w:color w:val="auto"/>
        </w:rPr>
      </w:pPr>
    </w:p>
    <w:p>
      <w:pPr>
        <w:ind w:left="660" w:hanging="652"/>
        <w:spacing w:after="0"/>
        <w:tabs>
          <w:tab w:leader="none" w:pos="66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Non-Solicitation</w:t>
      </w:r>
    </w:p>
    <w:p>
      <w:pPr>
        <w:spacing w:after="0" w:line="193"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7.1. You agree that while employed by Skyworks and for one (1) year thereafter, you will not, either directly or through others, raid, solicit, or attempt to solicit any employee of Skyworks or any subsidiary or affiliate of Skyworks (collectively, the “Company”) to terminate</w:t>
      </w:r>
    </w:p>
    <w:p>
      <w:pPr>
        <w:spacing w:after="0" w:line="212" w:lineRule="auto"/>
        <w:rPr>
          <w:sz w:val="20"/>
          <w:szCs w:val="20"/>
          <w:color w:val="auto"/>
        </w:rPr>
      </w:pPr>
      <w:r>
        <w:rPr>
          <w:rFonts w:ascii="Times New Roman" w:cs="Times New Roman" w:eastAsia="Times New Roman" w:hAnsi="Times New Roman"/>
          <w:sz w:val="20"/>
          <w:szCs w:val="20"/>
          <w:color w:val="auto"/>
        </w:rPr>
        <w:t>his or her relationship with the Company in order to become an employee or independent contractor (including a consultant or advisor) to or</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for any person or entity. You further agree that you will not disrupt or interfere or attempt to disrupt or interfere with the Company’s relationships with such employees.</w:t>
      </w:r>
    </w:p>
    <w:p>
      <w:pPr>
        <w:spacing w:after="0" w:line="1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7.2.</w:t>
      </w:r>
      <w:r>
        <w:rPr>
          <w:sz w:val="20"/>
          <w:szCs w:val="20"/>
          <w:color w:val="auto"/>
        </w:rPr>
        <w:tab/>
      </w:r>
      <w:r>
        <w:rPr>
          <w:rFonts w:ascii="Times New Roman" w:cs="Times New Roman" w:eastAsia="Times New Roman" w:hAnsi="Times New Roman"/>
          <w:sz w:val="19"/>
          <w:szCs w:val="19"/>
          <w:color w:val="auto"/>
        </w:rPr>
        <w:t>You understand and acknowledge that Skyworks’ remedies at law for breach of any of the restrictions in this Section 7 are inadequate</w:t>
      </w:r>
    </w:p>
    <w:p>
      <w:pPr>
        <w:spacing w:after="0" w:line="204" w:lineRule="auto"/>
        <w:rPr>
          <w:sz w:val="20"/>
          <w:szCs w:val="20"/>
          <w:color w:val="auto"/>
        </w:rPr>
      </w:pPr>
      <w:r>
        <w:rPr>
          <w:rFonts w:ascii="Times New Roman" w:cs="Times New Roman" w:eastAsia="Times New Roman" w:hAnsi="Times New Roman"/>
          <w:sz w:val="20"/>
          <w:szCs w:val="20"/>
          <w:color w:val="auto"/>
        </w:rPr>
        <w:t>and that any such breach will cause irreparable harm to Skyworks. You therefore agree that in addition and as a supplement to such other rights and remedies as may exist in Skyworks’ favor, Skyworks may apply to any court having jurisdiction to enforce the specific</w:t>
      </w:r>
    </w:p>
    <w:p>
      <w:pPr>
        <w:spacing w:after="0" w:line="211" w:lineRule="auto"/>
        <w:rPr>
          <w:sz w:val="20"/>
          <w:szCs w:val="20"/>
          <w:color w:val="auto"/>
        </w:rPr>
      </w:pPr>
      <w:r>
        <w:rPr>
          <w:rFonts w:ascii="Times New Roman" w:cs="Times New Roman" w:eastAsia="Times New Roman" w:hAnsi="Times New Roman"/>
          <w:sz w:val="20"/>
          <w:szCs w:val="20"/>
          <w:color w:val="auto"/>
        </w:rPr>
        <w:t>performance of the restrictions in this Section 7, and may apply for injunctive relief against any act which would violate those restrictions.</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You also agree that in addition to any damages that may be recovered, the prevailing party in any legal action to enforce this non-solicitation agreement shall be entitled to recover its costs and attorneys’ fees from the other party.</w:t>
      </w:r>
    </w:p>
    <w:p>
      <w:pPr>
        <w:spacing w:after="0" w:line="158" w:lineRule="exact"/>
        <w:rPr>
          <w:sz w:val="20"/>
          <w:szCs w:val="20"/>
          <w:color w:val="auto"/>
        </w:rPr>
      </w:pPr>
    </w:p>
    <w:p>
      <w:pPr>
        <w:ind w:left="660" w:hanging="652"/>
        <w:spacing w:after="0"/>
        <w:tabs>
          <w:tab w:leader="none" w:pos="66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Release of Claims</w:t>
      </w:r>
    </w:p>
    <w:p>
      <w:pPr>
        <w:spacing w:after="0" w:line="2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Skyworks shall have no obligation to make any payments or provide any benefits pursuant to Sections 1, 2, or 3, as applicable, and you shall not be eligible to receive any such benefits, unless (a) you sign and deliver to the General Counsel of Skyworks a release of claims in substantially the form attached hereto as Exhibit A (the “Release”) and (b) the Release has become non-revocable by the sixtieth (60th) day following the date of termination of your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80" w:name="page81"/>
    <w:bookmarkEnd w:id="80"/>
    <w:p>
      <w:pPr>
        <w:spacing w:after="0" w:line="200" w:lineRule="exact"/>
        <w:rPr>
          <w:sz w:val="20"/>
          <w:szCs w:val="20"/>
          <w:color w:val="auto"/>
        </w:rPr>
      </w:pPr>
    </w:p>
    <w:p>
      <w:pPr>
        <w:spacing w:after="0" w:line="242" w:lineRule="exact"/>
        <w:rPr>
          <w:sz w:val="20"/>
          <w:szCs w:val="20"/>
          <w:color w:val="auto"/>
        </w:rPr>
      </w:pPr>
    </w:p>
    <w:p>
      <w:pPr>
        <w:ind w:left="660" w:hanging="652"/>
        <w:spacing w:after="0"/>
        <w:tabs>
          <w:tab w:leader="none" w:pos="66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Term</w:t>
      </w:r>
    </w:p>
    <w:p>
      <w:pPr>
        <w:spacing w:after="0" w:line="19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This Agreement shall become effective on the date executed by the parties hereto (the “Effective Date”), and shall remain effective for an initial term of two (2) years from the Effective Date (the “Initial Term”). Following the Initial Term, this Agreement shall renew automatically on the anniversary of the Effective Date for up to five (5) additional one (1) year periods (each an “Additional Term”) unless, at least ninety (90) days prior to the end of the then-current term of the Agreement, either party provides written notice to the other party that the Agreement shall not be extended. For the avoidance of doubt, a non-renewal of an extension of this Agreement is separate from, and shall not itself result in, a termination of your employment with the Company, nor shall the non-renewal of an extension of this Agreement for any reason constitute or give rise to Good Reason. This Agreement shall terminate automatically upon your termination of employment; provided, however, for the avoidance of doubt, that following such termination (i) the Company’s obligations to provide payments or benefits to you in accordance with the terms hereof shall survive any such termination of this Agreement and (ii) your obligations pursuant to Section 7 shall survive any such termination of this Agreement and extend throughout the non-solicitation period.</w:t>
      </w:r>
    </w:p>
    <w:p>
      <w:pPr>
        <w:spacing w:after="0" w:line="160" w:lineRule="exact"/>
        <w:rPr>
          <w:sz w:val="20"/>
          <w:szCs w:val="20"/>
          <w:color w:val="auto"/>
        </w:rPr>
      </w:pPr>
    </w:p>
    <w:p>
      <w:pPr>
        <w:ind w:left="640" w:hanging="632"/>
        <w:spacing w:after="0"/>
        <w:tabs>
          <w:tab w:leader="none" w:pos="64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Entire Agreement</w:t>
      </w:r>
    </w:p>
    <w:p>
      <w:pPr>
        <w:spacing w:after="0" w:line="193"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10.1. This Agreement contains the entire agreement and understanding of the parties with respect to the subject matter contained herein, and replaces and supersedes, as of the Effective Date, all prior agreements relating to such subject matter, including without limitation the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Change in Control/Severance Agreement between you and Skyworks dated November 9, 2016. For the avoidance of doubt, you shall not be eligible to receive severance or similar payments under any severance plan, program or policy maintained by Skyworks.</w:t>
      </w:r>
    </w:p>
    <w:p>
      <w:pPr>
        <w:spacing w:after="0" w:line="149"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0"/>
          <w:szCs w:val="20"/>
          <w:color w:val="auto"/>
        </w:rPr>
        <w:t>10.2. You acknowledge and agree that you will be subject to the provisions of the compensation clawback policy that Skyworks has in effect or may implement in future.</w:t>
      </w:r>
    </w:p>
    <w:p>
      <w:pPr>
        <w:spacing w:after="0" w:line="161"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0"/>
          <w:szCs w:val="20"/>
          <w:color w:val="auto"/>
        </w:rPr>
        <w:t>10.3. You acknowledge and agree that your employment with Skyworks will continue to be “at will” and that your employment can be terminated with or without Cause at any time, with or without advance notice.</w:t>
      </w:r>
    </w:p>
    <w:p>
      <w:pPr>
        <w:spacing w:after="0" w:line="157" w:lineRule="exact"/>
        <w:rPr>
          <w:sz w:val="20"/>
          <w:szCs w:val="20"/>
          <w:color w:val="auto"/>
        </w:rPr>
      </w:pPr>
    </w:p>
    <w:p>
      <w:pPr>
        <w:ind w:left="640" w:hanging="632"/>
        <w:spacing w:after="0"/>
        <w:tabs>
          <w:tab w:leader="none" w:pos="64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Definitions</w:t>
      </w:r>
    </w:p>
    <w:p>
      <w:pPr>
        <w:spacing w:after="0" w:line="19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11.1.</w:t>
      </w:r>
      <w:r>
        <w:rPr>
          <w:sz w:val="20"/>
          <w:szCs w:val="20"/>
          <w:color w:val="auto"/>
        </w:rPr>
        <w:tab/>
      </w:r>
      <w:r>
        <w:rPr>
          <w:rFonts w:ascii="Times New Roman" w:cs="Times New Roman" w:eastAsia="Times New Roman" w:hAnsi="Times New Roman"/>
          <w:sz w:val="19"/>
          <w:szCs w:val="19"/>
          <w:color w:val="auto"/>
        </w:rPr>
        <w:t>“Cause” means:</w:t>
      </w:r>
    </w:p>
    <w:p>
      <w:pPr>
        <w:spacing w:after="0" w:line="175" w:lineRule="exact"/>
        <w:rPr>
          <w:sz w:val="20"/>
          <w:szCs w:val="20"/>
          <w:color w:val="auto"/>
        </w:rPr>
      </w:pPr>
    </w:p>
    <w:p>
      <w:pPr>
        <w:ind w:left="1300" w:hanging="644"/>
        <w:spacing w:after="0"/>
        <w:tabs>
          <w:tab w:leader="none" w:pos="130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deliberate dishonesty that is significantly detrimental to the best interests of Skyworks or any subsidiary or affiliate;</w:t>
      </w:r>
    </w:p>
    <w:p>
      <w:pPr>
        <w:spacing w:after="0" w:line="18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 on your part constituting an act of moral turpitude;</w:t>
      </w:r>
    </w:p>
    <w:p>
      <w:pPr>
        <w:spacing w:after="0" w:line="188" w:lineRule="exact"/>
        <w:rPr>
          <w:rFonts w:ascii="Times New Roman" w:cs="Times New Roman" w:eastAsia="Times New Roman" w:hAnsi="Times New Roman"/>
          <w:sz w:val="20"/>
          <w:szCs w:val="20"/>
          <w:color w:val="auto"/>
        </w:rPr>
      </w:pPr>
    </w:p>
    <w:p>
      <w:pPr>
        <w:ind w:left="660" w:hanging="4"/>
        <w:spacing w:after="0" w:line="233" w:lineRule="auto"/>
        <w:tabs>
          <w:tab w:leader="none" w:pos="1298"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willful disloyalty to Skyworks or refusal or failure to obey the directions of the Board of Directors of Skyworks (the “</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or</w:t>
      </w:r>
    </w:p>
    <w:p>
      <w:pPr>
        <w:spacing w:after="0" w:line="160"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incompetent performance or substantial or continuing inattention to or neglect of duties assigned to you.</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determination of Cause must be made by the full Board at a meeting duly called.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81" w:name="page82"/>
    <w:bookmarkEnd w:id="81"/>
    <w:p>
      <w:pPr>
        <w:spacing w:after="0" w:line="200" w:lineRule="exact"/>
        <w:rPr>
          <w:sz w:val="20"/>
          <w:szCs w:val="20"/>
          <w:color w:val="auto"/>
        </w:rPr>
      </w:pPr>
    </w:p>
    <w:p>
      <w:pPr>
        <w:spacing w:after="0" w:line="24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11.2. “Change in Control” means an event or occurrence set forth in any one or more of subsections (a) through (d) below (including an event or occurrence that constitutes a Change in Control under one of such subsections but is specifically exempted from another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subsection):</w:t>
      </w:r>
    </w:p>
    <w:p>
      <w:pPr>
        <w:spacing w:after="0" w:line="153" w:lineRule="exact"/>
        <w:rPr>
          <w:sz w:val="20"/>
          <w:szCs w:val="20"/>
          <w:color w:val="auto"/>
        </w:rPr>
      </w:pPr>
    </w:p>
    <w:p>
      <w:pPr>
        <w:jc w:val="both"/>
        <w:ind w:left="660" w:hanging="4"/>
        <w:spacing w:after="0" w:line="223" w:lineRule="auto"/>
        <w:tabs>
          <w:tab w:leader="none" w:pos="1298"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acquisition by an individual, entity or group (within the meaning of Section 13(d)(3) or 14(d)(2) of the Securities Exchange Act of 1934, as amended (the “Exchange Act”)) (a “Person”) of beneficial ownership of any capital stock of Skyworks if, after such acquisition, such Person beneficially owns (within the meaning of Rule 13d-3 promulgated under the Exchange Act) 40% or more of either (x) the then-outstanding shares of common stock of Skyworks (the “Outstanding Company Common Stock”) or (y) the combined voting power of the then-outstanding securities of Skyworks entitled to vote generally in the election of directors (the “Outstanding Company Voting Securities”); provided, however, that for purposes of this subsection (a), the following acquisitions shall not constitute a Change in Control: (i) any acquisition directly from Skyworks (excluding an acquisition pursuant to the exercise, conversion or exchange of any security exercisable for, convertible into or exchangeable for common stock or voting securities of Skyworks, unless the Person exercising, converting or exchanging such security acquired such security directly from Skyworks or an underwriter or agent of Skyworks), (ii) any acquisition by Skyworks, (iii) any acquisition by any employee benefit plan (or related trust) sponsored or maintained by Skyworks or any corporation controlled by Skyworks, or (iv) any acquisition by any corporation pursuant to a transaction which complies with clauses (i) and (ii) of subsection (c) of this Section 11.2; or</w:t>
      </w:r>
    </w:p>
    <w:p>
      <w:pPr>
        <w:spacing w:after="0" w:line="155" w:lineRule="exact"/>
        <w:rPr>
          <w:rFonts w:ascii="Times New Roman" w:cs="Times New Roman" w:eastAsia="Times New Roman" w:hAnsi="Times New Roman"/>
          <w:sz w:val="19"/>
          <w:szCs w:val="19"/>
          <w:color w:val="auto"/>
        </w:rPr>
      </w:pPr>
    </w:p>
    <w:p>
      <w:pPr>
        <w:jc w:val="both"/>
        <w:ind w:left="660" w:hanging="4"/>
        <w:spacing w:after="0" w:line="214" w:lineRule="auto"/>
        <w:tabs>
          <w:tab w:leader="none" w:pos="1296"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time as the Continuing Directors (as defined below) do not constitute a majority of the Board (or, if applicable, the Board of Directors of a successor corporation to Skyworks), where the term “Continuing Director” means at any date a member of the Board (i) who was a member of the Board on the date of the execution of this Agreement or (ii) who was nominated or elected subsequent to such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provided, however, that there shall be excluded from this clause (ii)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or</w:t>
      </w:r>
    </w:p>
    <w:p>
      <w:pPr>
        <w:spacing w:after="0" w:line="152" w:lineRule="exact"/>
        <w:rPr>
          <w:rFonts w:ascii="Times New Roman" w:cs="Times New Roman" w:eastAsia="Times New Roman" w:hAnsi="Times New Roman"/>
          <w:sz w:val="20"/>
          <w:szCs w:val="20"/>
          <w:color w:val="auto"/>
        </w:rPr>
      </w:pPr>
    </w:p>
    <w:p>
      <w:pPr>
        <w:jc w:val="both"/>
        <w:ind w:left="660" w:hanging="4"/>
        <w:spacing w:after="0" w:line="211" w:lineRule="auto"/>
        <w:tabs>
          <w:tab w:leader="none" w:pos="1298"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consummation of a merger, consolidation, reorganization, recapitalization or statutory share exchange involving Skyworks or a sale or other disposition of all or substantially all of the assets of Skyworks in one or a series of transactions (a “Business Combination”), unless, immediately following such Business Combination, each of the following two conditions is satisfied: (i) all or substantially all of the individuals and entities who were the beneficial owners of the Outstanding Company Common Stock and Outstanding Company Voting Securities immediately prior to such Business Combination beneficially own, directly or indirectly, more than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limitation, a corporation which as a result of such transaction owns Skyworks or substantially all of Skyworks’ assets either directly or through one or more subsidiaries) (such resulting or acquiring corporation is referred to herein as the “Acquiring Corporation”) in substantially the same proportions as their ownership, immediately prior to such Business Combination, of the Outstanding Company Common Stock and Outstanding Company Voting Securities, respectively; and (ii) no Person (excluding any employee benefit plan (or related trust) maintained or sponsored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82" w:name="page83"/>
    <w:bookmarkEnd w:id="82"/>
    <w:p>
      <w:pPr>
        <w:spacing w:after="0" w:line="200" w:lineRule="exact"/>
        <w:rPr>
          <w:sz w:val="20"/>
          <w:szCs w:val="20"/>
          <w:color w:val="auto"/>
        </w:rPr>
      </w:pPr>
    </w:p>
    <w:p>
      <w:pPr>
        <w:spacing w:after="0" w:line="246" w:lineRule="exact"/>
        <w:rPr>
          <w:sz w:val="20"/>
          <w:szCs w:val="20"/>
          <w:color w:val="auto"/>
        </w:rPr>
      </w:pPr>
    </w:p>
    <w:p>
      <w:pPr>
        <w:ind w:left="660"/>
        <w:spacing w:after="0" w:line="227" w:lineRule="auto"/>
        <w:rPr>
          <w:sz w:val="20"/>
          <w:szCs w:val="20"/>
          <w:color w:val="auto"/>
        </w:rPr>
      </w:pPr>
      <w:r>
        <w:rPr>
          <w:rFonts w:ascii="Times New Roman" w:cs="Times New Roman" w:eastAsia="Times New Roman" w:hAnsi="Times New Roman"/>
          <w:sz w:val="19"/>
          <w:szCs w:val="19"/>
          <w:color w:val="auto"/>
        </w:rPr>
        <w:t>Skyworks or by the Acquiring Corporation) beneficially owns, directly or indirectly, 40% or more of the then-outstanding shares of common stock of the Acquiring Corporation, or of the combined voting power of the then-outstanding securities of such corporation</w:t>
      </w:r>
    </w:p>
    <w:p>
      <w:pPr>
        <w:ind w:left="660" w:right="20"/>
        <w:spacing w:after="0" w:line="221" w:lineRule="auto"/>
        <w:rPr>
          <w:sz w:val="20"/>
          <w:szCs w:val="20"/>
          <w:color w:val="auto"/>
        </w:rPr>
      </w:pPr>
      <w:r>
        <w:rPr>
          <w:rFonts w:ascii="Times New Roman" w:cs="Times New Roman" w:eastAsia="Times New Roman" w:hAnsi="Times New Roman"/>
          <w:sz w:val="20"/>
          <w:szCs w:val="20"/>
          <w:color w:val="auto"/>
        </w:rPr>
        <w:t>entitled to vote generally in the election of directors (except to the extent that such ownership existed prior to the Business Combination); or</w:t>
      </w:r>
    </w:p>
    <w:p>
      <w:pPr>
        <w:spacing w:after="0" w:line="162" w:lineRule="exact"/>
        <w:rPr>
          <w:sz w:val="20"/>
          <w:szCs w:val="20"/>
          <w:color w:val="auto"/>
        </w:rPr>
      </w:pPr>
    </w:p>
    <w:p>
      <w:pPr>
        <w:ind w:left="1300" w:hanging="644"/>
        <w:spacing w:after="0"/>
        <w:tabs>
          <w:tab w:leader="none" w:pos="130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approval by the stockholders of Skyworks of a complete liquidation or dissolution of Skyworks.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Notwithstanding anything herein to the contrary, to the extent that any payment or benefit hereunder constitutes nonqualified deferred compensation within the meaning of Section 409A (as defined below), then, with respect to such payment or benefit, any event constituting a Change in Control above must also constitute a “change in control event” within the meaning of Treasury Regulation Section 1.409A-3(i)(5) (i).</w:t>
      </w:r>
    </w:p>
    <w:p>
      <w:pPr>
        <w:spacing w:after="0" w:line="15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11.3.</w:t>
      </w:r>
      <w:r>
        <w:rPr>
          <w:sz w:val="20"/>
          <w:szCs w:val="20"/>
          <w:color w:val="auto"/>
        </w:rPr>
        <w:tab/>
      </w:r>
      <w:r>
        <w:rPr>
          <w:rFonts w:ascii="Times New Roman" w:cs="Times New Roman" w:eastAsia="Times New Roman" w:hAnsi="Times New Roman"/>
          <w:sz w:val="19"/>
          <w:szCs w:val="19"/>
          <w:color w:val="auto"/>
        </w:rPr>
        <w:t>“Good Reason” means the occurrence of any of the following events without your prior written consent:</w:t>
      </w:r>
    </w:p>
    <w:p>
      <w:pPr>
        <w:spacing w:after="0" w:line="189" w:lineRule="exact"/>
        <w:rPr>
          <w:sz w:val="20"/>
          <w:szCs w:val="20"/>
          <w:color w:val="auto"/>
        </w:rPr>
      </w:pPr>
    </w:p>
    <w:p>
      <w:pPr>
        <w:ind w:left="1300" w:hanging="644"/>
        <w:spacing w:after="0"/>
        <w:tabs>
          <w:tab w:leader="none" w:pos="130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diminution of your base compensation;</w:t>
      </w:r>
    </w:p>
    <w:p>
      <w:pPr>
        <w:spacing w:after="0" w:line="17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diminution in your authority, duties or responsibilities;</w:t>
      </w:r>
    </w:p>
    <w:p>
      <w:pPr>
        <w:spacing w:after="0" w:line="188" w:lineRule="exact"/>
        <w:rPr>
          <w:rFonts w:ascii="Times New Roman" w:cs="Times New Roman" w:eastAsia="Times New Roman" w:hAnsi="Times New Roman"/>
          <w:sz w:val="20"/>
          <w:szCs w:val="20"/>
          <w:color w:val="auto"/>
        </w:rPr>
      </w:pPr>
    </w:p>
    <w:p>
      <w:pPr>
        <w:jc w:val="both"/>
        <w:ind w:left="660" w:hanging="4"/>
        <w:spacing w:after="0" w:line="226" w:lineRule="auto"/>
        <w:tabs>
          <w:tab w:leader="none" w:pos="1298"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diminution in the authority, duties or responsibilities of the supervisor to whom you are required to report, such a material diminution to include the supervisor to whom you are required to report no longer reporting to the Board of Directors of Skyworks (or its successor or parent) or the analogous governing body of Skyworks (or its successor or parent);</w:t>
      </w:r>
    </w:p>
    <w:p>
      <w:pPr>
        <w:spacing w:after="0" w:line="160" w:lineRule="exact"/>
        <w:rPr>
          <w:rFonts w:ascii="Times New Roman" w:cs="Times New Roman" w:eastAsia="Times New Roman" w:hAnsi="Times New Roman"/>
          <w:sz w:val="20"/>
          <w:szCs w:val="20"/>
          <w:color w:val="auto"/>
        </w:rPr>
      </w:pPr>
    </w:p>
    <w:p>
      <w:pPr>
        <w:jc w:val="both"/>
        <w:ind w:left="660" w:hanging="4"/>
        <w:spacing w:after="0" w:line="222" w:lineRule="auto"/>
        <w:tabs>
          <w:tab w:leader="none" w:pos="1296"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change in the geographic location at which you are directed that you must perform your duties, which Skyworks has determined shall include a change in your principal place of employment at Skyworks’ or an affiliate’s direction from the location of your principal place of employment immediately prior to the Effective Date of this Agreement to a location more than fifty (50) miles from such principal place of employment; or</w:t>
      </w:r>
    </w:p>
    <w:p>
      <w:pPr>
        <w:spacing w:after="0" w:line="16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action or inaction constituting a material breach by Skyworks of the terms of this Agreement.</w:t>
      </w:r>
    </w:p>
    <w:p>
      <w:pPr>
        <w:spacing w:after="0" w:line="1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Your termination of employment shall not be deemed to be for Good Reason unless, within sixty (60) days of the occurrence of the event constituting Good Reason, you have provided Skyworks with (i) at least thirty (30) days’ advance written notice of your decision to terminate your employment for Good Reason, and (ii) a period of not less than thirty (30) days to cure the event or condition described in subsections (a), (b), (c), (d), or (e) above, and Skyworks has either failed to so cure the event or waived its right to cure the event, to the extent it is then subject to cure.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83" w:name="page84"/>
    <w:bookmarkEnd w:id="83"/>
    <w:p>
      <w:pPr>
        <w:spacing w:after="0" w:line="200" w:lineRule="exact"/>
        <w:rPr>
          <w:sz w:val="20"/>
          <w:szCs w:val="20"/>
          <w:color w:val="auto"/>
        </w:rPr>
      </w:pPr>
    </w:p>
    <w:p>
      <w:pPr>
        <w:spacing w:after="0" w:line="242" w:lineRule="exact"/>
        <w:rPr>
          <w:sz w:val="20"/>
          <w:szCs w:val="20"/>
          <w:color w:val="auto"/>
        </w:rPr>
      </w:pPr>
    </w:p>
    <w:p>
      <w:pPr>
        <w:ind w:left="640" w:hanging="632"/>
        <w:spacing w:after="0"/>
        <w:tabs>
          <w:tab w:leader="none" w:pos="64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Miscellaneous</w:t>
      </w:r>
    </w:p>
    <w:p>
      <w:pPr>
        <w:spacing w:after="0" w:line="17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12.1.</w:t>
        <w:tab/>
        <w:t>All claims by you for benefits under this Agreement shall be directed to and determined by the Board and shall be in writing. Any</w:t>
      </w:r>
    </w:p>
    <w:p>
      <w:pPr>
        <w:spacing w:after="0" w:line="204" w:lineRule="auto"/>
        <w:rPr>
          <w:sz w:val="20"/>
          <w:szCs w:val="20"/>
          <w:color w:val="auto"/>
        </w:rPr>
      </w:pPr>
      <w:r>
        <w:rPr>
          <w:rFonts w:ascii="Times New Roman" w:cs="Times New Roman" w:eastAsia="Times New Roman" w:hAnsi="Times New Roman"/>
          <w:sz w:val="20"/>
          <w:szCs w:val="20"/>
          <w:color w:val="auto"/>
        </w:rPr>
        <w:t>denial by the Board of a claim for benefits under this Agreement shall be delivered to you in writing and shall set forth the specific reasons for the denial and the specific provisions of this Agreement relied upon. The Board shall afford a reasonable opportunity to you for a review</w:t>
      </w:r>
    </w:p>
    <w:p>
      <w:pPr>
        <w:spacing w:after="0" w:line="211" w:lineRule="auto"/>
        <w:rPr>
          <w:sz w:val="20"/>
          <w:szCs w:val="20"/>
          <w:color w:val="auto"/>
        </w:rPr>
      </w:pPr>
      <w:r>
        <w:rPr>
          <w:rFonts w:ascii="Times New Roman" w:cs="Times New Roman" w:eastAsia="Times New Roman" w:hAnsi="Times New Roman"/>
          <w:sz w:val="20"/>
          <w:szCs w:val="20"/>
          <w:color w:val="auto"/>
        </w:rPr>
        <w:t>of the decision denying a claim. Any further dispute or controversy arising under or in connection with this Agreement shall be settled</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exclusively by arbitration in accordance with the terms and conditions of the Company’s standard form of arbitration agreement, which if you have not already entered into shall be signed by you contemporaneously with this Agreement as a condition of the severance arrangements</w:t>
      </w:r>
    </w:p>
    <w:p>
      <w:pPr>
        <w:spacing w:after="0" w:line="211" w:lineRule="auto"/>
        <w:rPr>
          <w:sz w:val="20"/>
          <w:szCs w:val="20"/>
          <w:color w:val="auto"/>
        </w:rPr>
      </w:pPr>
      <w:r>
        <w:rPr>
          <w:rFonts w:ascii="Times New Roman" w:cs="Times New Roman" w:eastAsia="Times New Roman" w:hAnsi="Times New Roman"/>
          <w:sz w:val="20"/>
          <w:szCs w:val="20"/>
          <w:color w:val="auto"/>
        </w:rPr>
        <w:t>hereunder. Skyworks agrees to pay as incurred, to the full extent permitted by law, all legal, accounting and other fees and expenses which</w:t>
      </w:r>
    </w:p>
    <w:p>
      <w:pPr>
        <w:spacing w:after="0" w:line="215" w:lineRule="auto"/>
        <w:rPr>
          <w:sz w:val="20"/>
          <w:szCs w:val="20"/>
          <w:color w:val="auto"/>
        </w:rPr>
      </w:pPr>
      <w:r>
        <w:rPr>
          <w:rFonts w:ascii="Times New Roman" w:cs="Times New Roman" w:eastAsia="Times New Roman" w:hAnsi="Times New Roman"/>
          <w:sz w:val="19"/>
          <w:szCs w:val="19"/>
          <w:color w:val="auto"/>
        </w:rPr>
        <w:t>you may reasonably incur as a result of any claim or contest (regardless of the outcome thereof) by Skyworks, you or others regarding the validity or enforceability of, or liability under, any provision of this Agreement or any guarantee of performance thereof (including as a result</w:t>
      </w:r>
    </w:p>
    <w:p>
      <w:pPr>
        <w:spacing w:after="0" w:line="222" w:lineRule="auto"/>
        <w:rPr>
          <w:sz w:val="20"/>
          <w:szCs w:val="20"/>
          <w:color w:val="auto"/>
        </w:rPr>
      </w:pPr>
      <w:r>
        <w:rPr>
          <w:rFonts w:ascii="Times New Roman" w:cs="Times New Roman" w:eastAsia="Times New Roman" w:hAnsi="Times New Roman"/>
          <w:sz w:val="19"/>
          <w:szCs w:val="19"/>
          <w:color w:val="auto"/>
        </w:rPr>
        <w:t>of any contest by you regarding the amount of any payment or benefits pursuant to this Agreement), plus in each case interest on any delayed</w:t>
      </w:r>
    </w:p>
    <w:p>
      <w:pPr>
        <w:spacing w:after="0" w:line="204" w:lineRule="auto"/>
        <w:rPr>
          <w:sz w:val="20"/>
          <w:szCs w:val="20"/>
          <w:color w:val="auto"/>
        </w:rPr>
      </w:pPr>
      <w:r>
        <w:rPr>
          <w:rFonts w:ascii="Times New Roman" w:cs="Times New Roman" w:eastAsia="Times New Roman" w:hAnsi="Times New Roman"/>
          <w:sz w:val="20"/>
          <w:szCs w:val="20"/>
          <w:color w:val="auto"/>
        </w:rPr>
        <w:t>payment at the applicable federal rate provided for in Section 7872(f)(2)(A) of the Code. Notwithstanding anything in this Agreement to the contrary, (a) no provision of this Agreement shall operate to extend the life of any option beyond the term originally stated in the applicable</w:t>
      </w:r>
    </w:p>
    <w:p>
      <w:pPr>
        <w:spacing w:after="0" w:line="211" w:lineRule="auto"/>
        <w:rPr>
          <w:sz w:val="20"/>
          <w:szCs w:val="20"/>
          <w:color w:val="auto"/>
        </w:rPr>
      </w:pPr>
      <w:r>
        <w:rPr>
          <w:rFonts w:ascii="Times New Roman" w:cs="Times New Roman" w:eastAsia="Times New Roman" w:hAnsi="Times New Roman"/>
          <w:sz w:val="20"/>
          <w:szCs w:val="20"/>
          <w:color w:val="auto"/>
        </w:rPr>
        <w:t>option grant or option agreement; (b) the reimbursement of a fee or expense pursuant to this Section 12 shall be provided not later than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calendar year following the calendar year in which the fee or expense was incurred, (c) the amount of fees and expenses eligible for reimbursement during any calendar year may not affect the amount of fees and expenses eligible for reimbursement in any other calendar</w:t>
      </w:r>
    </w:p>
    <w:p>
      <w:pPr>
        <w:spacing w:after="0" w:line="211" w:lineRule="auto"/>
        <w:rPr>
          <w:sz w:val="20"/>
          <w:szCs w:val="20"/>
          <w:color w:val="auto"/>
        </w:rPr>
      </w:pPr>
      <w:r>
        <w:rPr>
          <w:rFonts w:ascii="Times New Roman" w:cs="Times New Roman" w:eastAsia="Times New Roman" w:hAnsi="Times New Roman"/>
          <w:sz w:val="20"/>
          <w:szCs w:val="20"/>
          <w:color w:val="auto"/>
        </w:rPr>
        <w:t>year, (d) the right to reimbursement under this Section 12 is not subject to liquidation or exchange for another benefit and (e) the obligation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of Skyworks under this Section 12 shall survive the termination for any reason of this Agreement and shall remain in effect until the applicable statute of limitation has expired with respect to any claim or contest (regardless of the outcome thereof) by Skyworks, you or</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others regarding the validity or enforceability of, or liability under, any provision of this Agreement or any guarantee of performance thereof (including as a result of any contest by you regarding the amount of any payment or benefits pursuant to this Agreement).</w:t>
      </w:r>
    </w:p>
    <w:p>
      <w:pPr>
        <w:spacing w:after="0" w:line="149"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20"/>
          <w:szCs w:val="20"/>
          <w:color w:val="auto"/>
        </w:rPr>
        <w:t>12.2. This Agreement is intended to comply with or be exempt from Section 409A of the Code and any related regulations or other applicable guidance promulgated thereunder (collectively, “Section 409A”), to the extent applicable. It is the intent of the parties hereto that</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all severance payments and benefits provided pursuant to this Agreement qualify as short-term deferrals, as defined in Treasury Regulation §1.409A-1(a)(4), separation pay due to an involuntary separation from service under Treasury Regulation §1.409A-1(b)(9)(iii),</w:t>
      </w:r>
    </w:p>
    <w:p>
      <w:pPr>
        <w:spacing w:after="0" w:line="211" w:lineRule="auto"/>
        <w:rPr>
          <w:sz w:val="20"/>
          <w:szCs w:val="20"/>
          <w:color w:val="auto"/>
        </w:rPr>
      </w:pPr>
      <w:r>
        <w:rPr>
          <w:rFonts w:ascii="Times New Roman" w:cs="Times New Roman" w:eastAsia="Times New Roman" w:hAnsi="Times New Roman"/>
          <w:sz w:val="20"/>
          <w:szCs w:val="20"/>
          <w:color w:val="auto"/>
        </w:rPr>
        <w:t>reimbursement of medical benefits under Treasury Regulation §1.409A-1(b)(9)(v)(B), and/or limited payments, as defined in Treasury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Regulation §1.409A-1(b)(9)(v)(D), to the extent applicable. If (a) it is determined that any payments or benefits provided pursuant to this Agreement that are paid upon “separation from service” (as that term is used in Section 409A) constitute deferred compensation for purposes</w:t>
      </w:r>
    </w:p>
    <w:p>
      <w:pPr>
        <w:spacing w:after="0" w:line="222" w:lineRule="auto"/>
        <w:rPr>
          <w:sz w:val="20"/>
          <w:szCs w:val="20"/>
          <w:color w:val="auto"/>
        </w:rPr>
      </w:pPr>
      <w:r>
        <w:rPr>
          <w:rFonts w:ascii="Times New Roman" w:cs="Times New Roman" w:eastAsia="Times New Roman" w:hAnsi="Times New Roman"/>
          <w:sz w:val="19"/>
          <w:szCs w:val="19"/>
          <w:color w:val="auto"/>
        </w:rPr>
        <w:t>of Section 409A (after taking into account the exceptions listed in the prior sentence and/or any other applicable exceptions) and (b) you are a</w:t>
      </w:r>
    </w:p>
    <w:p>
      <w:pPr>
        <w:ind w:right="20"/>
        <w:spacing w:after="0" w:line="215" w:lineRule="auto"/>
        <w:rPr>
          <w:sz w:val="20"/>
          <w:szCs w:val="20"/>
          <w:color w:val="auto"/>
        </w:rPr>
      </w:pPr>
      <w:r>
        <w:rPr>
          <w:rFonts w:ascii="Times New Roman" w:cs="Times New Roman" w:eastAsia="Times New Roman" w:hAnsi="Times New Roman"/>
          <w:sz w:val="19"/>
          <w:szCs w:val="19"/>
          <w:color w:val="auto"/>
        </w:rPr>
        <w:t>“specified employee” (as that term is used in Section 409A) when your employment terminates, such payments or benefits (or portions thereof) that constitute deferred compensation payable upon a separation from service that are to be paid or provided during the six (6) month</w:t>
      </w:r>
    </w:p>
    <w:p>
      <w:pPr>
        <w:spacing w:after="0" w:line="222" w:lineRule="auto"/>
        <w:rPr>
          <w:sz w:val="20"/>
          <w:szCs w:val="20"/>
          <w:color w:val="auto"/>
        </w:rPr>
      </w:pPr>
      <w:r>
        <w:rPr>
          <w:rFonts w:ascii="Times New Roman" w:cs="Times New Roman" w:eastAsia="Times New Roman" w:hAnsi="Times New Roman"/>
          <w:sz w:val="19"/>
          <w:szCs w:val="19"/>
          <w:color w:val="auto"/>
        </w:rPr>
        <w:t>period following termination of your employment shall not be paid or provided until the first business day after the date that is six (6) months</w:t>
      </w:r>
    </w:p>
    <w:p>
      <w:pPr>
        <w:jc w:val="both"/>
        <w:ind w:right="20"/>
        <w:spacing w:after="0" w:line="204" w:lineRule="auto"/>
        <w:rPr>
          <w:sz w:val="20"/>
          <w:szCs w:val="20"/>
          <w:color w:val="auto"/>
        </w:rPr>
      </w:pPr>
      <w:r>
        <w:rPr>
          <w:rFonts w:ascii="Times New Roman" w:cs="Times New Roman" w:eastAsia="Times New Roman" w:hAnsi="Times New Roman"/>
          <w:sz w:val="20"/>
          <w:szCs w:val="20"/>
          <w:color w:val="auto"/>
        </w:rPr>
        <w:t>following termination of your employment or, if earlier, the first business day following the date of your death. The payment that is made pursuant to the prior sentence shall include the cumulative amount of any amounts that could not be paid during the six (6) month period.</w:t>
      </w:r>
    </w:p>
    <w:p>
      <w:pPr>
        <w:spacing w:after="0" w:line="197" w:lineRule="auto"/>
        <w:rPr>
          <w:sz w:val="20"/>
          <w:szCs w:val="20"/>
          <w:color w:val="auto"/>
        </w:rPr>
      </w:pPr>
      <w:r>
        <w:rPr>
          <w:rFonts w:ascii="Times New Roman" w:cs="Times New Roman" w:eastAsia="Times New Roman" w:hAnsi="Times New Roman"/>
          <w:sz w:val="20"/>
          <w:szCs w:val="20"/>
          <w:color w:val="auto"/>
        </w:rPr>
        <w:t>Each installment payment under this Agreement shall be treated as a separate payment as defined under Treasury Regulation §1.409A-2(b)</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84" w:name="page85"/>
    <w:bookmarkEnd w:id="84"/>
    <w:p>
      <w:pPr>
        <w:spacing w:after="0" w:line="200" w:lineRule="exact"/>
        <w:rPr>
          <w:sz w:val="20"/>
          <w:szCs w:val="20"/>
          <w:color w:val="auto"/>
        </w:rPr>
      </w:pPr>
    </w:p>
    <w:p>
      <w:pPr>
        <w:spacing w:after="0" w:line="246"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12.3. Except as expressly provided in this Section 12, neither you nor Skyworks shall have the right to accelerate or to defer the delivery of the payments or benefits to be made or provided under this Agreement and in no event shall you have the right to designate in which tax year</w:t>
      </w:r>
    </w:p>
    <w:p>
      <w:pPr>
        <w:spacing w:after="0" w:line="207" w:lineRule="auto"/>
        <w:rPr>
          <w:sz w:val="20"/>
          <w:szCs w:val="20"/>
          <w:color w:val="auto"/>
        </w:rPr>
      </w:pPr>
      <w:r>
        <w:rPr>
          <w:rFonts w:ascii="Times New Roman" w:cs="Times New Roman" w:eastAsia="Times New Roman" w:hAnsi="Times New Roman"/>
          <w:sz w:val="19"/>
          <w:szCs w:val="19"/>
          <w:color w:val="auto"/>
        </w:rPr>
        <w:t>a payment will be made or benefit will be provided. Accordingly, if the sixty (60) day period during which the Release (described in Section</w:t>
      </w:r>
    </w:p>
    <w:p>
      <w:pPr>
        <w:spacing w:after="0" w:line="1" w:lineRule="exact"/>
        <w:rPr>
          <w:sz w:val="20"/>
          <w:szCs w:val="20"/>
          <w:color w:val="auto"/>
        </w:rPr>
      </w:pPr>
    </w:p>
    <w:p>
      <w:pPr>
        <w:jc w:val="both"/>
        <w:ind w:firstLine="8"/>
        <w:spacing w:after="0" w:line="215" w:lineRule="auto"/>
        <w:tabs>
          <w:tab w:leader="none" w:pos="231"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must be executed, delivered, and become irrevocable straddles two tax years, no payments or benefits will be made or provided to you before the first business day of the second tax year. Notwithstanding anything in this Agreement to the contrary, references to employment termination in Sections 1, 2, or 4, as applicable, shall be interpreted to mean “separation from service,” as that term is used in Section 409A of the Code and related regulations. Accordingly, payments to be made under Sections 1, 2, or 4, as applicable, shall not be made unless a separation from service (within the meaning of Section 409A of the Code and related regulations) shall have occurred.</w:t>
      </w:r>
    </w:p>
    <w:p>
      <w:pPr>
        <w:spacing w:after="0" w:line="163"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0"/>
          <w:szCs w:val="20"/>
          <w:color w:val="auto"/>
        </w:rPr>
        <w:t>12.4. Skyworks may withhold (or cause to be withheld) from any payments made under this Agreement, all federal, state, city or other taxes as shall be required to be withheld pursuant to any law or governmental regulation or ruling.</w:t>
      </w:r>
    </w:p>
    <w:p>
      <w:pPr>
        <w:spacing w:after="0" w:line="15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12.5.</w:t>
      </w:r>
      <w:r>
        <w:rPr>
          <w:sz w:val="20"/>
          <w:szCs w:val="20"/>
          <w:color w:val="auto"/>
        </w:rPr>
        <w:tab/>
      </w:r>
      <w:r>
        <w:rPr>
          <w:rFonts w:ascii="Times New Roman" w:cs="Times New Roman" w:eastAsia="Times New Roman" w:hAnsi="Times New Roman"/>
          <w:sz w:val="19"/>
          <w:szCs w:val="19"/>
          <w:color w:val="auto"/>
        </w:rPr>
        <w:t>Skyworks shall require any successor (whether direct or indirect, by purchase, merger, consolidation, reorganization or otherwise) to</w:t>
      </w:r>
    </w:p>
    <w:p>
      <w:pPr>
        <w:spacing w:after="0" w:line="204" w:lineRule="auto"/>
        <w:rPr>
          <w:sz w:val="20"/>
          <w:szCs w:val="20"/>
          <w:color w:val="auto"/>
        </w:rPr>
      </w:pPr>
      <w:r>
        <w:rPr>
          <w:rFonts w:ascii="Times New Roman" w:cs="Times New Roman" w:eastAsia="Times New Roman" w:hAnsi="Times New Roman"/>
          <w:sz w:val="20"/>
          <w:szCs w:val="20"/>
          <w:color w:val="auto"/>
        </w:rPr>
        <w:t>all or substantially all of the business or assets of Skyworks (the “Acquisition”), as a condition precedent to the Acquisition, to expressly assume and agree in writing, with a copy to you, to perform this Agreement in the same manner and to the same extent as Skyworks would</w:t>
      </w:r>
    </w:p>
    <w:p>
      <w:pPr>
        <w:spacing w:after="0" w:line="211" w:lineRule="auto"/>
        <w:rPr>
          <w:sz w:val="20"/>
          <w:szCs w:val="20"/>
          <w:color w:val="auto"/>
        </w:rPr>
      </w:pPr>
      <w:r>
        <w:rPr>
          <w:rFonts w:ascii="Times New Roman" w:cs="Times New Roman" w:eastAsia="Times New Roman" w:hAnsi="Times New Roman"/>
          <w:sz w:val="20"/>
          <w:szCs w:val="20"/>
          <w:color w:val="auto"/>
        </w:rPr>
        <w:t>be required to perform this Agreement as if no such succession had taken place. You acknowledge and agree, and Skyworks acknowledges</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and agrees, that, without limitation to any other provision of this Agreement which is also “material,” this provision is a material term of this Agreement and an important clause benefiting you, to assure you that the obligation of Skyworks to provide you with the existing benefits</w:t>
      </w:r>
    </w:p>
    <w:p>
      <w:pPr>
        <w:spacing w:after="0" w:line="228" w:lineRule="auto"/>
        <w:rPr>
          <w:sz w:val="20"/>
          <w:szCs w:val="20"/>
          <w:color w:val="auto"/>
        </w:rPr>
      </w:pPr>
      <w:r>
        <w:rPr>
          <w:rFonts w:ascii="Times New Roman" w:cs="Times New Roman" w:eastAsia="Times New Roman" w:hAnsi="Times New Roman"/>
          <w:sz w:val="20"/>
          <w:szCs w:val="20"/>
          <w:color w:val="auto"/>
        </w:rPr>
        <w:t>made available under this Agreement, are adhered to by any successor to Skyworks, and the provision also benefits Skyworks in that the assurance to you afforded by this provision is an important retention incentive to have you remain in the employment of Skyworks.</w:t>
      </w:r>
    </w:p>
    <w:p>
      <w:pPr>
        <w:spacing w:after="0" w:line="14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12.6.</w:t>
      </w:r>
      <w:r>
        <w:rPr>
          <w:sz w:val="20"/>
          <w:szCs w:val="20"/>
          <w:color w:val="auto"/>
        </w:rPr>
        <w:tab/>
      </w:r>
      <w:r>
        <w:rPr>
          <w:rFonts w:ascii="Times New Roman" w:cs="Times New Roman" w:eastAsia="Times New Roman" w:hAnsi="Times New Roman"/>
          <w:sz w:val="19"/>
          <w:szCs w:val="19"/>
          <w:color w:val="auto"/>
        </w:rPr>
        <w:t>This Agreement may be modified only by a written instrument executed by both parties.</w:t>
      </w:r>
    </w:p>
    <w:p>
      <w:pPr>
        <w:spacing w:after="0" w:line="18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12.7.</w:t>
        <w:tab/>
        <w:t>This Agreement and any disputes hereunder shall be governed by and construed in accordance with the internal laws of the State of</w:t>
      </w:r>
    </w:p>
    <w:p>
      <w:pPr>
        <w:spacing w:after="0" w:line="221" w:lineRule="auto"/>
        <w:rPr>
          <w:sz w:val="20"/>
          <w:szCs w:val="20"/>
          <w:color w:val="auto"/>
        </w:rPr>
      </w:pPr>
      <w:r>
        <w:rPr>
          <w:rFonts w:ascii="Times New Roman" w:cs="Times New Roman" w:eastAsia="Times New Roman" w:hAnsi="Times New Roman"/>
          <w:sz w:val="20"/>
          <w:szCs w:val="20"/>
          <w:color w:val="auto"/>
        </w:rPr>
        <w:t>California without giving effect to any choice or conflict of law provision or rule (whether of California or any other jurisdiction) that would cause the application of laws of any jurisdiction other than those of California.</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40" w:right="339" w:bottom="1440" w:gutter="0" w:footer="0" w:header="0"/>
        </w:sectPr>
      </w:pPr>
    </w:p>
    <w:bookmarkStart w:id="85" w:name="page86"/>
    <w:bookmarkEnd w:id="85"/>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Please sign both copies of this Agreement and return one to Skyworks.</w:t>
      </w:r>
    </w:p>
    <w:p>
      <w:pPr>
        <w:spacing w:after="0" w:line="25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Sincerely,</w:t>
      </w:r>
    </w:p>
    <w:p>
      <w:pPr>
        <w:spacing w:after="0" w:line="297" w:lineRule="exact"/>
        <w:rPr>
          <w:sz w:val="20"/>
          <w:szCs w:val="20"/>
          <w:color w:val="auto"/>
        </w:rPr>
      </w:pPr>
    </w:p>
    <w:p>
      <w:pPr>
        <w:ind w:left="80"/>
        <w:spacing w:after="0"/>
        <w:tabs>
          <w:tab w:leader="none" w:pos="5680" w:val="left"/>
        </w:tabs>
        <w:rPr>
          <w:sz w:val="20"/>
          <w:szCs w:val="20"/>
          <w:color w:val="auto"/>
        </w:rPr>
      </w:pPr>
      <w:r>
        <w:rPr>
          <w:rFonts w:ascii="Times New Roman" w:cs="Times New Roman" w:eastAsia="Times New Roman" w:hAnsi="Times New Roman"/>
          <w:sz w:val="20"/>
          <w:szCs w:val="20"/>
          <w:color w:val="auto"/>
        </w:rPr>
        <w:t>SKYWORKS SOLUTIONS, INC.</w:t>
      </w:r>
      <w:r>
        <w:rPr>
          <w:sz w:val="20"/>
          <w:szCs w:val="20"/>
          <w:color w:val="auto"/>
        </w:rPr>
        <w:tab/>
      </w:r>
      <w:r>
        <w:rPr>
          <w:rFonts w:ascii="Times New Roman" w:cs="Times New Roman" w:eastAsia="Times New Roman" w:hAnsi="Times New Roman"/>
          <w:sz w:val="19"/>
          <w:szCs w:val="19"/>
          <w:color w:val="auto"/>
        </w:rPr>
        <w:t>AGREED TO:</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 Liam K. Griffin</w:t>
            </w:r>
          </w:p>
        </w:tc>
        <w:tc>
          <w:tcPr>
            <w:tcW w:w="280" w:type="dxa"/>
            <w:vAlign w:val="bottom"/>
          </w:tcPr>
          <w:p>
            <w:pPr>
              <w:spacing w:after="0"/>
              <w:rPr>
                <w:sz w:val="22"/>
                <w:szCs w:val="22"/>
                <w:color w:val="auto"/>
              </w:rPr>
            </w:pPr>
          </w:p>
        </w:tc>
        <w:tc>
          <w:tcPr>
            <w:tcW w:w="56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 Carlos Bori</w:t>
            </w:r>
          </w:p>
        </w:tc>
        <w:tc>
          <w:tcPr>
            <w:tcW w:w="0" w:type="dxa"/>
            <w:vAlign w:val="bottom"/>
          </w:tcPr>
          <w:p>
            <w:pPr>
              <w:spacing w:after="0"/>
              <w:rPr>
                <w:sz w:val="1"/>
                <w:szCs w:val="1"/>
                <w:color w:val="auto"/>
              </w:rPr>
            </w:pPr>
          </w:p>
        </w:tc>
      </w:tr>
      <w:tr>
        <w:trPr>
          <w:trHeight w:val="244"/>
        </w:trPr>
        <w:tc>
          <w:tcPr>
            <w:tcW w:w="56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Liam K. Griffin</w:t>
            </w:r>
          </w:p>
        </w:tc>
        <w:tc>
          <w:tcPr>
            <w:tcW w:w="56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Carlos Bori</w:t>
            </w:r>
          </w:p>
        </w:tc>
        <w:tc>
          <w:tcPr>
            <w:tcW w:w="0" w:type="dxa"/>
            <w:vAlign w:val="bottom"/>
          </w:tcPr>
          <w:p>
            <w:pPr>
              <w:spacing w:after="0"/>
              <w:rPr>
                <w:sz w:val="1"/>
                <w:szCs w:val="1"/>
                <w:color w:val="auto"/>
              </w:rPr>
            </w:pPr>
          </w:p>
        </w:tc>
      </w:tr>
      <w:tr>
        <w:trPr>
          <w:trHeight w:val="258"/>
        </w:trPr>
        <w:tc>
          <w:tcPr>
            <w:tcW w:w="56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Chairman, Chief Executive Officer and President</w:t>
            </w:r>
          </w:p>
        </w:tc>
        <w:tc>
          <w:tcPr>
            <w:tcW w:w="560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Date:</w:t>
            </w:r>
          </w:p>
        </w:tc>
        <w:tc>
          <w:tcPr>
            <w:tcW w:w="0" w:type="dxa"/>
            <w:vAlign w:val="bottom"/>
          </w:tcPr>
          <w:p>
            <w:pPr>
              <w:spacing w:after="0"/>
              <w:rPr>
                <w:sz w:val="1"/>
                <w:szCs w:val="1"/>
                <w:color w:val="auto"/>
              </w:rPr>
            </w:pPr>
          </w:p>
        </w:tc>
      </w:tr>
      <w:tr>
        <w:trPr>
          <w:trHeight w:val="214"/>
        </w:trPr>
        <w:tc>
          <w:tcPr>
            <w:tcW w:w="5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5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May 10, 2023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40"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Release of Claims</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 xml:space="preserve">In consideration for receiving benefits pursuant to Sections 1, 2, or 3, as applicable, of the Amended and Restated Change in Control/Severance Agreement dated May 10, 2023, between you and Skyworks Solutions, Inc. (the “Company”) (the “Agreement”), you, on behalf of yourself and your representatives, agents, estate, heirs, successors and assigns, agree to and do hereby fully, forever, irrevocably and unconditionally waive, release and discharge the Company, and each of its affiliated or related entities, parents, subsidiaries, predecessors, successors, assigns, divisions, owners, stockholders, partners, directors, officers, attorneys, insurers, benefit plans, employees and agents, whether previously or hereinafter affiliated in any manner, as well as all persons or entities acting by, through, or in concert with any of them (collectively, the “Released Parties”), from any and all claims, debts, contracts, obligations, promises, controversies, agreements, liabilities, charges, demands, actions, suits, disputes, agreements, damages, attorneys’ fees, and complaints of every kind and nature whatsoever, whether or not now known, suspected, claimed, matured or unmatured, existing or contingent, from the beginning of time until the moment you have signed this Agreement, against the Released Parties (whether directly or indirectly), or any of them, by reason of any act, event or omission concerning any matter, cause or thing, including, but not limited to, any and all claims arising out of or relating to your employment with and/or separation from the Company, including without limiting the generality of the foregoing, all claims under Title VII of the Civil Rights Act of 1964, 42 U.S.C. § 2000e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the Age Discrimination in Employment Act of 1967, 29 U.S.C. § 621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(including the Older Workers Benefit Protection Act), the Genetic Information Nondiscrimination Act of 2008, 42 U.S.C. § 2000ff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the Rehabilitation Act of 1973, 29 U.S.C. § 701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the Fair Credit Reporting Act, 15 U.S.C. § 1681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the Equal Pay Act of 1963, 29 U.S.C. § 206(d), the Americans With Disabilities Act of 1990, 42 U.S.C. § 12101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the Family and Medical Leave Act of 1993, 29 U.S.C. § 2601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the Worker Adjustment Retraining and Notification Act, 29 U.S.C. § 2101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the Employee Retirement Income Security Act of 1974, 29 U.S.C. § 1001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and any applicable Executive Orders, all as amended; all claims arising out of the California Fair Employment and Housing Act, Cal. Gov’t. Code § 12900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the California Equal Pay Act, Cal. Lab. Code § 1197.5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the California Family Rights Act, Cal. Gov’t. Code § 12945.1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and § 19702.3, the Cal-WARN Act, Cal. Lab. Code §§ 1400-1408, Cal. Lab. Code § 233 (California’s kin care law), Cal. Code Regs. tit. 2, §§ 7291.2– 7291.16 (California’s pregnancy leave law), California Unruh Civil Rights Act, Cal. Civ. Code § 51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and Cal. Lab. Code §§ 98.6 and 1102.5 (California whistleblower protection laws), all as amended; all common law claims including, but not limited to, actions for wrongful discharge, breach of contract, infliction of emotional distress, defamation, misrepresentation, and fraud; all claims to any non-vested ownership interest in the Company or any of its affiliates, contractual or otherwise; all state and federal whistleblower claims to the maximum extent permitted by law; and any claim or damage arising out of your employment with and/or separation from the Company (including a claim for retaliation) under any common law theory</w:t>
      </w:r>
    </w:p>
    <w:p>
      <w:pPr>
        <w:spacing w:after="0" w:line="23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or any federal, state or local statute or ordinance not expressly referenced above; </w:t>
      </w:r>
      <w:r>
        <w:rPr>
          <w:rFonts w:ascii="Times New Roman" w:cs="Times New Roman" w:eastAsia="Times New Roman" w:hAnsi="Times New Roman"/>
          <w:sz w:val="20"/>
          <w:szCs w:val="20"/>
          <w:i w:val="1"/>
          <w:iCs w:val="1"/>
          <w:color w:val="auto"/>
        </w:rPr>
        <w:t>provided, however, that this release of claims does not waive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any claims that cannot be waived as a matter of law, and it also does not prevent you from filing a charge with, cooperating with, or participating in any investigation or proceeding before, the Equal Employment Opportunity Commission or a state fair employment practices agency (except that you acknowledge that you may not recover any monetary benefits in connection with any such charge, investigation, or proceeding, and you further waive any rights or claims to any payment, benefit, attorneys’ fees or other remedial relief in connection with any such charge, investigation or proceeding</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ectPr>
          <w:pgSz w:w="11900" w:h="16838" w:orient="portrait"/>
          <w:cols w:equalWidth="0" w:num="1">
            <w:col w:w="11240"/>
          </w:cols>
          <w:pgMar w:left="320" w:top="1328" w:right="339" w:bottom="1440" w:gutter="0" w:footer="0" w:header="0"/>
        </w:sectPr>
      </w:pPr>
    </w:p>
    <w:bookmarkStart w:id="87" w:name="page88"/>
    <w:bookmarkEnd w:id="87"/>
    <w:p>
      <w:pPr>
        <w:spacing w:after="0" w:line="283" w:lineRule="auto"/>
        <w:rPr>
          <w:sz w:val="20"/>
          <w:szCs w:val="20"/>
          <w:color w:val="auto"/>
        </w:rPr>
      </w:pPr>
      <w:r>
        <w:rPr>
          <w:rFonts w:ascii="Times New Roman" w:cs="Times New Roman" w:eastAsia="Times New Roman" w:hAnsi="Times New Roman"/>
          <w:sz w:val="20"/>
          <w:szCs w:val="20"/>
          <w:color w:val="auto"/>
        </w:rPr>
        <w:t>You knowingly and voluntarily waive any and all rights you may have under Section 1542 of the California Civil Code, or any other similar state statutes or laws, regarding the waiver of unknown claims.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1542 states:</w:t>
      </w:r>
    </w:p>
    <w:p>
      <w:pPr>
        <w:spacing w:after="0" w:line="229" w:lineRule="exact"/>
        <w:rPr>
          <w:sz w:val="20"/>
          <w:szCs w:val="20"/>
          <w:color w:val="auto"/>
        </w:rPr>
      </w:pPr>
    </w:p>
    <w:p>
      <w:pPr>
        <w:jc w:val="both"/>
        <w:ind w:left="660" w:right="700"/>
        <w:spacing w:after="0" w:line="258" w:lineRule="auto"/>
        <w:rPr>
          <w:sz w:val="20"/>
          <w:szCs w:val="20"/>
          <w:color w:val="auto"/>
        </w:rPr>
      </w:pPr>
      <w:r>
        <w:rPr>
          <w:rFonts w:ascii="Times New Roman" w:cs="Times New Roman" w:eastAsia="Times New Roman" w:hAnsi="Times New Roman"/>
          <w:sz w:val="20"/>
          <w:szCs w:val="20"/>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Notwithstanding the provisions of Section 1542, or any similar state statutes or laws, and for the purpose of implementing a full and complete release and discharge of the Released Parties, you expressly acknowledge that this Agreement is intended to include and does include in its effect, without limitation, all claims which you do not know or suspect to exist in your favor against the Released Parties, or any of them, at the moment of execution hereof, and that this Agreement expressly contemplates the extinguishment of all such claims.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SIGNING THIS AGREEMENT, YOU REPRESENT AND AGREE THAT:</w:t>
      </w:r>
    </w:p>
    <w:p>
      <w:pPr>
        <w:spacing w:after="0" w:line="202" w:lineRule="exact"/>
        <w:rPr>
          <w:sz w:val="20"/>
          <w:szCs w:val="20"/>
          <w:color w:val="auto"/>
        </w:rPr>
      </w:pPr>
    </w:p>
    <w:p>
      <w:pPr>
        <w:jc w:val="both"/>
        <w:ind w:left="660" w:hanging="652"/>
        <w:spacing w:after="0" w:line="220" w:lineRule="auto"/>
        <w:tabs>
          <w:tab w:leader="none" w:pos="66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UNDERSTAND ALL OF ITS TERMS AND KNOW THAT YOU ARE GIVING UP IMPORTANT RIGHTS, INCLUDING BUT NOT LIMITED TO, RIGHTS UNDER THE AGE DISCRIMINATION IN EMPLOYMENT ACT OF 1967, AS AMENDED BY THE OLDER WORKERS BENEFIT PROTECTION ACT; TITLE VII OF THE CIVIL RIGHTS ACT OF 1964, AS AMENDED; THE EQUAL PAY ACT OF 1963; THE AMERICANS WITH DISABILITIES ACT OF 1990; AND THE EMPLOYEE RETIREMENT INCOME SECURITY ACT OF 1974, AS AMENDED;</w:t>
      </w:r>
    </w:p>
    <w:p>
      <w:pPr>
        <w:spacing w:after="0" w:line="147" w:lineRule="exact"/>
        <w:rPr>
          <w:rFonts w:ascii="Times New Roman" w:cs="Times New Roman" w:eastAsia="Times New Roman" w:hAnsi="Times New Roman"/>
          <w:sz w:val="20"/>
          <w:szCs w:val="20"/>
          <w:color w:val="auto"/>
        </w:rPr>
      </w:pPr>
    </w:p>
    <w:p>
      <w:pPr>
        <w:jc w:val="both"/>
        <w:ind w:left="660" w:hanging="652"/>
        <w:spacing w:after="0" w:line="230" w:lineRule="auto"/>
        <w:tabs>
          <w:tab w:leader="none" w:pos="66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ARE ADVISED TO CONSULT WITH AN ATTORNEY BEFORE EXECUTING IT AND YOU HAVE EITHER DONE SO OR, AFTER CAREFUL READING AND CONSIDERATION, YOU HAVE CHOSEN NOT TO DO SO OF YOUR OWN VOLITION;</w:t>
      </w:r>
    </w:p>
    <w:p>
      <w:pPr>
        <w:spacing w:after="0" w:line="148"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HAVE HAD AT LEAST 21 DAYS FROM THE DATE OF YOUR RECEIPT OF THIS AGREEMENT SUBSTANTIALLY IN ITS FINAL FORM ON _______________ __, _____ TO CONSIDER IT; AND</w:t>
      </w:r>
    </w:p>
    <w:p>
      <w:pPr>
        <w:spacing w:after="0" w:line="161" w:lineRule="exact"/>
        <w:rPr>
          <w:rFonts w:ascii="Times New Roman" w:cs="Times New Roman" w:eastAsia="Times New Roman" w:hAnsi="Times New Roman"/>
          <w:sz w:val="20"/>
          <w:szCs w:val="20"/>
          <w:color w:val="auto"/>
        </w:rPr>
      </w:pPr>
    </w:p>
    <w:p>
      <w:pPr>
        <w:jc w:val="both"/>
        <w:ind w:left="660" w:hanging="652"/>
        <w:spacing w:after="0" w:line="226" w:lineRule="auto"/>
        <w:tabs>
          <w:tab w:leader="none" w:pos="66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UNDERSTAND THAT YOU HAVE SEVEN DAYS AFTER THE EXECUTION OF THIS AGREEMENT TO REVOKE IT AND THAT THIS AGREEMENT SHALL NOT BECOME EFFECTIVE OR ENFORCEABLE UNTIL THE REVOCATION PERIOD HAS EXPIRED.</w:t>
      </w: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Agreed: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40005</wp:posOffset>
            </wp:positionV>
            <wp:extent cx="244284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0">
                      <a:extLst>
                        <a:ext uri="{28A0092B-C50C-407E-A947-70E740481C1C}"/>
                      </a:extLst>
                    </a:blip>
                    <a:srcRect/>
                    <a:stretch>
                      <a:fillRect/>
                    </a:stretch>
                  </pic:blipFill>
                  <pic:spPr bwMode="auto">
                    <a:xfrm>
                      <a:off x="0" y="0"/>
                      <a:ext cx="2442845"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40005</wp:posOffset>
            </wp:positionV>
            <wp:extent cx="20916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1">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61"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20"/>
          <w:szCs w:val="20"/>
          <w:color w:val="auto"/>
        </w:rPr>
        <w:t>Date</w:t>
      </w:r>
    </w:p>
    <w:p>
      <w:pPr>
        <w:spacing w:after="0" w:line="3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Acknowledged: SKYWORKS SOLUTIONS, INC.</w:t>
      </w: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40005</wp:posOffset>
            </wp:positionV>
            <wp:extent cx="244284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2">
                      <a:extLst>
                        <a:ext uri="{28A0092B-C50C-407E-A947-70E740481C1C}"/>
                      </a:extLst>
                    </a:blip>
                    <a:srcRect/>
                    <a:stretch>
                      <a:fillRect/>
                    </a:stretch>
                  </pic:blipFill>
                  <pic:spPr bwMode="auto">
                    <a:xfrm>
                      <a:off x="0" y="0"/>
                      <a:ext cx="244284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40005</wp:posOffset>
            </wp:positionV>
            <wp:extent cx="20916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3">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61"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20"/>
          <w:szCs w:val="20"/>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w:t>
      </w:r>
    </w:p>
    <w:p>
      <w:pPr>
        <w:sectPr>
          <w:pgSz w:w="11900" w:h="16838" w:orient="portrait"/>
          <w:cols w:equalWidth="0" w:num="1">
            <w:col w:w="11240"/>
          </w:cols>
          <w:pgMar w:left="320" w:top="1332" w:right="339" w:bottom="1440" w:gutter="0" w:footer="0" w:header="0"/>
        </w:sectPr>
      </w:pPr>
    </w:p>
    <w:bookmarkStart w:id="88" w:name="page89"/>
    <w:bookmarkEnd w:id="8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2917190</wp:posOffset>
            </wp:positionH>
            <wp:positionV relativeFrom="page">
              <wp:posOffset>88900</wp:posOffset>
            </wp:positionV>
            <wp:extent cx="1722755" cy="5657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4">
                      <a:clrChange>
                        <a:clrFrom>
                          <a:srgbClr val="FFFFFF"/>
                        </a:clrFrom>
                        <a:clrTo>
                          <a:srgbClr val="FFFFFF">
                            <a:alpha val="0"/>
                          </a:srgbClr>
                        </a:clrTo>
                      </a:clrChange>
                      <a:extLst>
                        <a:ext uri="{28A0092B-C50C-407E-A947-70E740481C1C}"/>
                      </a:extLst>
                    </a:blip>
                    <a:srcRect/>
                    <a:stretch>
                      <a:fillRect/>
                    </a:stretch>
                  </pic:blipFill>
                  <pic:spPr bwMode="auto">
                    <a:xfrm>
                      <a:off x="0" y="0"/>
                      <a:ext cx="1722755" cy="565785"/>
                    </a:xfrm>
                    <a:prstGeom prst="rect">
                      <a:avLst/>
                    </a:prstGeom>
                    <a:noFill/>
                  </pic:spPr>
                </pic:pic>
              </a:graphicData>
            </a:graphic>
          </wp:anchor>
        </w:drawing>
      </w:r>
    </w:p>
    <w:p>
      <w:pPr>
        <w:spacing w:after="0" w:line="2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10.16</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May 10,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Kari Durham</w:t>
      </w:r>
    </w:p>
    <w:p>
      <w:pPr>
        <w:spacing w:after="0" w:line="24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Re:</w:t>
      </w:r>
      <w:r>
        <w:rPr>
          <w:sz w:val="20"/>
          <w:szCs w:val="20"/>
          <w:color w:val="auto"/>
        </w:rPr>
        <w:tab/>
      </w:r>
      <w:r>
        <w:rPr>
          <w:rFonts w:ascii="Times New Roman" w:cs="Times New Roman" w:eastAsia="Times New Roman" w:hAnsi="Times New Roman"/>
          <w:sz w:val="19"/>
          <w:szCs w:val="19"/>
          <w:color w:val="auto"/>
        </w:rPr>
        <w:t>Amended and Restated Change in Control / Severance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Kari:</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letter agreement (the “Agreement”) sets out the severance arrangements concerning your employment with Skyworks Solutions,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(“Skyworks”).</w:t>
      </w:r>
    </w:p>
    <w:p>
      <w:pPr>
        <w:spacing w:after="0" w:line="196" w:lineRule="exact"/>
        <w:rPr>
          <w:sz w:val="20"/>
          <w:szCs w:val="20"/>
          <w:color w:val="auto"/>
        </w:rPr>
      </w:pPr>
    </w:p>
    <w:p>
      <w:pPr>
        <w:ind w:left="660" w:hanging="652"/>
        <w:spacing w:after="0"/>
        <w:tabs>
          <w:tab w:leader="none" w:pos="66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Termination of Employment Related to Change in Control</w:t>
      </w:r>
    </w:p>
    <w:p>
      <w:pPr>
        <w:spacing w:after="0" w:line="179"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9"/>
          <w:szCs w:val="19"/>
          <w:color w:val="auto"/>
        </w:rPr>
        <w:t>1.1. If: (a) a Change in Control occurs during the Initial Term or the Additional Term (as defined in Section 9) and (b) your employment with Skyworks is terminated by Skyworks without Cause or you terminate your employment with Skyworks for Good Reason, in either case</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within the period of time commencing three (3) months prior to and ending two (2) years following the Change in Control, then you will receive the benefits provided in Section 1.2 and Section 2 below.</w:t>
      </w:r>
    </w:p>
    <w:p>
      <w:pPr>
        <w:spacing w:after="0" w:line="16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0"/>
          <w:szCs w:val="20"/>
          <w:color w:val="auto"/>
        </w:rPr>
        <w:t>1.2. Subject to the provisions of Sections 3.3, 8 and 12, (a) as soon as practicable (but not more than sixty (60) days) after the date of any termination of your employment described in Section 1.1 (or such later date as may be required by this Section 1.2 or by Section 12.2),</w:t>
      </w:r>
    </w:p>
    <w:p>
      <w:pPr>
        <w:spacing w:after="0" w:line="224" w:lineRule="auto"/>
        <w:rPr>
          <w:sz w:val="20"/>
          <w:szCs w:val="20"/>
          <w:color w:val="auto"/>
        </w:rPr>
      </w:pPr>
      <w:r>
        <w:rPr>
          <w:rFonts w:ascii="Times New Roman" w:cs="Times New Roman" w:eastAsia="Times New Roman" w:hAnsi="Times New Roman"/>
          <w:sz w:val="19"/>
          <w:szCs w:val="19"/>
          <w:color w:val="auto"/>
        </w:rPr>
        <w:t>Skyworks shall pay you a lump sum equal to one and one-half (1.5) times the sum of (i) your rate of annual base salary in effect immediately</w:t>
      </w:r>
    </w:p>
    <w:p>
      <w:pPr>
        <w:spacing w:after="0" w:line="215" w:lineRule="auto"/>
        <w:rPr>
          <w:sz w:val="20"/>
          <w:szCs w:val="20"/>
          <w:color w:val="auto"/>
        </w:rPr>
      </w:pPr>
      <w:r>
        <w:rPr>
          <w:rFonts w:ascii="Times New Roman" w:cs="Times New Roman" w:eastAsia="Times New Roman" w:hAnsi="Times New Roman"/>
          <w:sz w:val="19"/>
          <w:szCs w:val="19"/>
          <w:color w:val="auto"/>
        </w:rPr>
        <w:t>prior to the Change in Control, and (ii) the greater of (A) the average of the annual short-term cash incentive payments you received for each of the three years prior to the year in which the Change in Control occurs, or (B) your target annual short-term cash incentive opportunity for</w:t>
      </w:r>
    </w:p>
    <w:p>
      <w:pPr>
        <w:spacing w:after="0" w:line="211" w:lineRule="auto"/>
        <w:rPr>
          <w:sz w:val="20"/>
          <w:szCs w:val="20"/>
          <w:color w:val="auto"/>
        </w:rPr>
      </w:pPr>
      <w:r>
        <w:rPr>
          <w:rFonts w:ascii="Times New Roman" w:cs="Times New Roman" w:eastAsia="Times New Roman" w:hAnsi="Times New Roman"/>
          <w:sz w:val="20"/>
          <w:szCs w:val="20"/>
          <w:color w:val="auto"/>
        </w:rPr>
        <w:t>the year in which the Change in Control occurs (without regard to the relative achievement of any performance milestones which would</w:t>
      </w:r>
    </w:p>
    <w:p>
      <w:pPr>
        <w:jc w:val="both"/>
        <w:spacing w:after="0" w:line="204" w:lineRule="auto"/>
        <w:rPr>
          <w:sz w:val="20"/>
          <w:szCs w:val="20"/>
          <w:color w:val="auto"/>
        </w:rPr>
      </w:pPr>
      <w:r>
        <w:rPr>
          <w:rFonts w:ascii="Times New Roman" w:cs="Times New Roman" w:eastAsia="Times New Roman" w:hAnsi="Times New Roman"/>
          <w:sz w:val="20"/>
          <w:szCs w:val="20"/>
          <w:color w:val="auto"/>
        </w:rPr>
        <w:t>otherwise impact payment of the short-term cash incentive); (b) on the date of any termination described in Section 1.1, all of your then-outstanding Skyworks stock options shall remain exercisable for a period of eighteen (18) months after the termination date (or, if earlier,</w:t>
      </w:r>
    </w:p>
    <w:p>
      <w:pPr>
        <w:spacing w:after="0" w:line="223" w:lineRule="auto"/>
        <w:rPr>
          <w:sz w:val="20"/>
          <w:szCs w:val="20"/>
          <w:color w:val="auto"/>
        </w:rPr>
      </w:pPr>
      <w:r>
        <w:rPr>
          <w:rFonts w:ascii="Times New Roman" w:cs="Times New Roman" w:eastAsia="Times New Roman" w:hAnsi="Times New Roman"/>
          <w:sz w:val="19"/>
          <w:szCs w:val="19"/>
          <w:color w:val="auto"/>
        </w:rPr>
        <w:t>until the last day of the full option term), subject to their other terms and conditions; and (c) Skyworks shall make contributions to the cost of</w:t>
      </w:r>
    </w:p>
    <w:p>
      <w:pPr>
        <w:spacing w:after="0" w:line="204" w:lineRule="auto"/>
        <w:rPr>
          <w:sz w:val="20"/>
          <w:szCs w:val="20"/>
          <w:color w:val="auto"/>
        </w:rPr>
      </w:pPr>
      <w:r>
        <w:rPr>
          <w:rFonts w:ascii="Times New Roman" w:cs="Times New Roman" w:eastAsia="Times New Roman" w:hAnsi="Times New Roman"/>
          <w:sz w:val="20"/>
          <w:szCs w:val="20"/>
          <w:color w:val="auto"/>
        </w:rPr>
        <w:t>COBRA (Consolidated Omnibus Budget Reconciliation Act) coverage on your behalf (and on behalf of any applicable dependents) for a period of eighteen (18) months after your termination if you elect COBRA coverage, and only for so long as such coverage continues in</w:t>
      </w:r>
    </w:p>
    <w:p>
      <w:pPr>
        <w:spacing w:after="0" w:line="211" w:lineRule="auto"/>
        <w:rPr>
          <w:sz w:val="20"/>
          <w:szCs w:val="20"/>
          <w:color w:val="auto"/>
        </w:rPr>
      </w:pPr>
      <w:r>
        <w:rPr>
          <w:rFonts w:ascii="Times New Roman" w:cs="Times New Roman" w:eastAsia="Times New Roman" w:hAnsi="Times New Roman"/>
          <w:sz w:val="20"/>
          <w:szCs w:val="20"/>
          <w:color w:val="auto"/>
        </w:rPr>
        <w:t>force; provided, however, that if you commence new employment and are eligible for a new group health plan in connection with such</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employment, Skyworks’ contributions toward COBRA coverage shall end when the new employment begins. The contribution to the cost of COBRA coverage to be made by Skyworks shall be determined on the same basis as Skyworks’ contribution to Skyworks-provided medical,</w:t>
      </w:r>
    </w:p>
    <w:p>
      <w:pPr>
        <w:spacing w:after="0" w:line="211" w:lineRule="auto"/>
        <w:rPr>
          <w:sz w:val="20"/>
          <w:szCs w:val="20"/>
          <w:color w:val="auto"/>
        </w:rPr>
      </w:pPr>
      <w:r>
        <w:rPr>
          <w:rFonts w:ascii="Times New Roman" w:cs="Times New Roman" w:eastAsia="Times New Roman" w:hAnsi="Times New Roman"/>
          <w:sz w:val="20"/>
          <w:szCs w:val="20"/>
          <w:color w:val="auto"/>
        </w:rPr>
        <w:t>dental, and vision insurance coverage in effect immediately before your termination of your employment for an active employee with the</w:t>
      </w:r>
    </w:p>
    <w:p>
      <w:pPr>
        <w:spacing w:after="0" w:line="204" w:lineRule="auto"/>
        <w:rPr>
          <w:sz w:val="20"/>
          <w:szCs w:val="20"/>
          <w:color w:val="auto"/>
        </w:rPr>
      </w:pPr>
      <w:r>
        <w:rPr>
          <w:rFonts w:ascii="Times New Roman" w:cs="Times New Roman" w:eastAsia="Times New Roman" w:hAnsi="Times New Roman"/>
          <w:sz w:val="20"/>
          <w:szCs w:val="20"/>
          <w:color w:val="auto"/>
        </w:rPr>
        <w:t>same coverage elections. Notwithstanding the foregoing, in the event that Skyworks’ provision of such COBRA payments will violate the nondiscrimination requirements of applicable law, Skyworks will not provide contributions to the cost of COBRA and this benefit shall not</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apply. Notwithstanding anything in this agreement to the contrary, in the event that your employment is terminated prior to the Change in Control, no payments shall be made under this Section 1.2 until after the effective date of the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Skyworks Solutions, Inc. </w:t>
      </w:r>
      <w:r>
        <w:rPr>
          <w:rFonts w:ascii="Arial" w:cs="Arial" w:eastAsia="Arial" w:hAnsi="Arial"/>
          <w:sz w:val="16"/>
          <w:szCs w:val="16"/>
          <w:color w:val="808080"/>
        </w:rPr>
        <w:t>●</w:t>
      </w:r>
      <w:r>
        <w:rPr>
          <w:rFonts w:ascii="Arial" w:cs="Arial" w:eastAsia="Arial" w:hAnsi="Arial"/>
          <w:sz w:val="16"/>
          <w:szCs w:val="16"/>
          <w:color w:val="auto"/>
        </w:rPr>
        <w:t xml:space="preserve"> 5260 California Avenue, Irvine, CA 92617</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949.231.3000 </w:t>
      </w:r>
      <w:r>
        <w:rPr>
          <w:rFonts w:ascii="Arial" w:cs="Arial" w:eastAsia="Arial" w:hAnsi="Arial"/>
          <w:sz w:val="16"/>
          <w:szCs w:val="16"/>
          <w:color w:val="808080"/>
        </w:rPr>
        <w:t>●</w:t>
      </w:r>
      <w:r>
        <w:rPr>
          <w:rFonts w:ascii="Arial" w:cs="Arial" w:eastAsia="Arial" w:hAnsi="Arial"/>
          <w:sz w:val="16"/>
          <w:szCs w:val="16"/>
          <w:color w:val="auto"/>
        </w:rPr>
        <w:t xml:space="preserve"> www.skyworksinc.com</w:t>
      </w:r>
    </w:p>
    <w:p>
      <w:pPr>
        <w:sectPr>
          <w:pgSz w:w="11900" w:h="16838" w:orient="portrait"/>
          <w:cols w:equalWidth="0" w:num="1">
            <w:col w:w="11240"/>
          </w:cols>
          <w:pgMar w:left="320" w:top="1440" w:right="339" w:bottom="1440" w:gutter="0" w:footer="0" w:header="0"/>
        </w:sectPr>
      </w:pPr>
    </w:p>
    <w:bookmarkStart w:id="89" w:name="page90"/>
    <w:bookmarkEnd w:id="89"/>
    <w:p>
      <w:pPr>
        <w:spacing w:after="0" w:line="200" w:lineRule="exact"/>
        <w:rPr>
          <w:sz w:val="20"/>
          <w:szCs w:val="20"/>
          <w:color w:val="auto"/>
        </w:rPr>
      </w:pPr>
    </w:p>
    <w:p>
      <w:pPr>
        <w:spacing w:after="0" w:line="242" w:lineRule="exact"/>
        <w:rPr>
          <w:sz w:val="20"/>
          <w:szCs w:val="20"/>
          <w:color w:val="auto"/>
        </w:rPr>
      </w:pPr>
    </w:p>
    <w:p>
      <w:pPr>
        <w:ind w:left="660" w:hanging="652"/>
        <w:spacing w:after="0"/>
        <w:tabs>
          <w:tab w:leader="none" w:pos="66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Effect of Change in Control on Equity Awards</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color w:val="auto"/>
        </w:rPr>
        <w:t>For purposes of this Section 2, “Equity Acceleration Date” means:</w:t>
      </w:r>
    </w:p>
    <w:p>
      <w:pPr>
        <w:spacing w:after="0" w:line="189" w:lineRule="exact"/>
        <w:rPr>
          <w:sz w:val="20"/>
          <w:szCs w:val="20"/>
          <w:color w:val="auto"/>
        </w:rPr>
      </w:pPr>
    </w:p>
    <w:p>
      <w:pPr>
        <w:jc w:val="both"/>
        <w:ind w:left="660" w:hanging="4"/>
        <w:spacing w:after="0" w:line="226" w:lineRule="auto"/>
        <w:tabs>
          <w:tab w:leader="none" w:pos="1298"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effective date of the Change in Control, in the event that you experience a termination of employment described in Section 1.1 that is within the period of time commencing three (3) months prior to the Change in Control and ending on the effective date of the Change in Control; or</w:t>
      </w:r>
    </w:p>
    <w:p>
      <w:pPr>
        <w:spacing w:after="0" w:line="160" w:lineRule="exact"/>
        <w:rPr>
          <w:rFonts w:ascii="Times New Roman" w:cs="Times New Roman" w:eastAsia="Times New Roman" w:hAnsi="Times New Roman"/>
          <w:sz w:val="20"/>
          <w:szCs w:val="20"/>
          <w:color w:val="auto"/>
        </w:rPr>
      </w:pPr>
    </w:p>
    <w:p>
      <w:pPr>
        <w:jc w:val="both"/>
        <w:ind w:left="660" w:hanging="4"/>
        <w:spacing w:after="0" w:line="215" w:lineRule="auto"/>
        <w:tabs>
          <w:tab w:leader="none" w:pos="1296"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effective date of your termination of employment, in the event that you experience a termination of employment described in Section 1.1 that is within the period of time commencing on the effective date of the Change in Control and ending two</w:t>
      </w:r>
    </w:p>
    <w:p>
      <w:pPr>
        <w:spacing w:after="0" w:line="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 years following the Change in Control.</w:t>
      </w:r>
    </w:p>
    <w:p>
      <w:pPr>
        <w:spacing w:after="0" w:line="167"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2.2. In the event that you experience a termination of employment without Cause or for Good Reason, as described in Section 1.1, that is within the period of time commencing three (3) months prior to the Change in Control and ending on the effective date of the Change in</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Control, then on the date of your termination, each outstanding and unvested equity award held by you as of the day prior to the date of your termination of employment shall:</w:t>
      </w:r>
    </w:p>
    <w:p>
      <w:pPr>
        <w:spacing w:after="0" w:line="149" w:lineRule="exact"/>
        <w:rPr>
          <w:sz w:val="20"/>
          <w:szCs w:val="20"/>
          <w:color w:val="auto"/>
        </w:rPr>
      </w:pPr>
    </w:p>
    <w:p>
      <w:pPr>
        <w:jc w:val="both"/>
        <w:ind w:left="660" w:hanging="4"/>
        <w:spacing w:after="0" w:line="230" w:lineRule="auto"/>
        <w:tabs>
          <w:tab w:leader="none" w:pos="1298"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remain outstanding for the period of three months following your termination of employment with any vesting of such award being suspended until it is determined whether there is a Change in Control during the three (3) month period following your termination of employment;</w:t>
      </w:r>
    </w:p>
    <w:p>
      <w:pPr>
        <w:spacing w:after="0" w:line="148" w:lineRule="exact"/>
        <w:rPr>
          <w:rFonts w:ascii="Times New Roman" w:cs="Times New Roman" w:eastAsia="Times New Roman" w:hAnsi="Times New Roman"/>
          <w:sz w:val="20"/>
          <w:szCs w:val="20"/>
          <w:color w:val="auto"/>
        </w:rPr>
      </w:pPr>
    </w:p>
    <w:p>
      <w:pPr>
        <w:jc w:val="both"/>
        <w:ind w:left="660" w:hanging="4"/>
        <w:spacing w:after="0" w:line="220" w:lineRule="auto"/>
        <w:tabs>
          <w:tab w:leader="none" w:pos="1296"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Change in Control occurs within the three (3) month period following your termination of employment, be treated as if you had remained employed by Skyworks through the effective date of the Change in Control and notwithstanding any vesting schedule, forfeiture provisions, or anything else to the contrary in the respective award agreement or plan document governing such award, subject to the same terms and conditions as in effect immediately prior to your termination of employment and subject to any applicable provisions of this Section 2; and</w:t>
      </w:r>
    </w:p>
    <w:p>
      <w:pPr>
        <w:spacing w:after="0" w:line="160" w:lineRule="exact"/>
        <w:rPr>
          <w:rFonts w:ascii="Times New Roman" w:cs="Times New Roman" w:eastAsia="Times New Roman" w:hAnsi="Times New Roman"/>
          <w:sz w:val="20"/>
          <w:szCs w:val="20"/>
          <w:color w:val="auto"/>
        </w:rPr>
      </w:pPr>
    </w:p>
    <w:p>
      <w:pPr>
        <w:ind w:left="660" w:hanging="4"/>
        <w:spacing w:after="0" w:line="233" w:lineRule="auto"/>
        <w:tabs>
          <w:tab w:leader="none" w:pos="1298"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no Change in Control occurs within the three (3) month period following your termination of employment, terminate and be of no further force or effect except as otherwise provided in this Agreement.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2.3. If a Change in Control occurs during the Initial Term or the Additional Term, then the following provisions shall apply to your then-outstanding equity awards (including any equity awards that remain outstanding as of the Change in Control pursuant to Section 2.2):</w:t>
      </w:r>
    </w:p>
    <w:p>
      <w:pPr>
        <w:spacing w:after="0" w:line="148" w:lineRule="exact"/>
        <w:rPr>
          <w:sz w:val="20"/>
          <w:szCs w:val="20"/>
          <w:color w:val="auto"/>
        </w:rPr>
      </w:pPr>
    </w:p>
    <w:p>
      <w:pPr>
        <w:jc w:val="both"/>
        <w:ind w:left="660" w:hanging="4"/>
        <w:spacing w:after="0" w:line="212" w:lineRule="auto"/>
        <w:tabs>
          <w:tab w:leader="none" w:pos="1298"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you hold a performance-based equity award that vests based upon the achievement of performance metrics and upon providing continued service to Skyworks, and the Change in Control occurs prior to the “measurement date” (i.e. the last day of the applicable performance period) for such award, then upon the effective date of the Change in Control such award shall be earned as to the greater of (i) the “Target” level of shares for such award, or (ii) the number of shares that would have been earned pursuant to the terms of such award based upon performance up through and including the day prior to the date of the Change in Control; provided, however, that if the Compensation Committee of the Board of Directors of Skyworks (the “</w:t>
      </w:r>
      <w:r>
        <w:rPr>
          <w:rFonts w:ascii="Times New Roman" w:cs="Times New Roman" w:eastAsia="Times New Roman" w:hAnsi="Times New Roman"/>
          <w:sz w:val="20"/>
          <w:szCs w:val="20"/>
          <w:u w:val="single" w:color="auto"/>
          <w:color w:val="auto"/>
        </w:rPr>
        <w:t>Compensation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Committee</w:t>
      </w:r>
      <w:r>
        <w:rPr>
          <w:rFonts w:ascii="Times New Roman" w:cs="Times New Roman" w:eastAsia="Times New Roman" w:hAnsi="Times New Roman"/>
          <w:sz w:val="20"/>
          <w:szCs w:val="20"/>
          <w:color w:val="auto"/>
        </w:rPr>
        <w:t>”) determines in its sole discretion that it is impracticable to calculate the number of shares that would have been earned under subsection (ii) above with respect to one or more of the applicable performance metrics of the award, then such award shall be earned as to the “Target” level of shares covered by such performance metric(s). For the avoidance of doubt, any deemed satisfaction of performance goals as described in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90" w:name="page91"/>
    <w:bookmarkEnd w:id="90"/>
    <w:p>
      <w:pPr>
        <w:spacing w:after="0" w:line="200" w:lineRule="exact"/>
        <w:rPr>
          <w:sz w:val="20"/>
          <w:szCs w:val="20"/>
          <w:color w:val="auto"/>
        </w:rPr>
      </w:pPr>
    </w:p>
    <w:p>
      <w:pPr>
        <w:spacing w:after="0" w:line="246" w:lineRule="exact"/>
        <w:rPr>
          <w:sz w:val="20"/>
          <w:szCs w:val="20"/>
          <w:color w:val="auto"/>
        </w:rPr>
      </w:pPr>
    </w:p>
    <w:p>
      <w:pPr>
        <w:ind w:left="660"/>
        <w:spacing w:after="0" w:line="233" w:lineRule="auto"/>
        <w:rPr>
          <w:sz w:val="20"/>
          <w:szCs w:val="20"/>
          <w:color w:val="auto"/>
        </w:rPr>
      </w:pPr>
      <w:r>
        <w:rPr>
          <w:rFonts w:ascii="Times New Roman" w:cs="Times New Roman" w:eastAsia="Times New Roman" w:hAnsi="Times New Roman"/>
          <w:sz w:val="20"/>
          <w:szCs w:val="20"/>
          <w:color w:val="auto"/>
        </w:rPr>
        <w:t>Section 2.3(a) shall occur prior to the assumption, substitution, or accelerated vesting of such award as provided in this Section 2.3 or in Section 2.4.</w:t>
      </w:r>
    </w:p>
    <w:p>
      <w:pPr>
        <w:spacing w:after="0" w:line="161" w:lineRule="exact"/>
        <w:rPr>
          <w:sz w:val="20"/>
          <w:szCs w:val="20"/>
          <w:color w:val="auto"/>
        </w:rPr>
      </w:pPr>
    </w:p>
    <w:p>
      <w:pPr>
        <w:jc w:val="both"/>
        <w:ind w:left="660" w:hanging="4"/>
        <w:spacing w:after="0" w:line="213" w:lineRule="auto"/>
        <w:tabs>
          <w:tab w:leader="none" w:pos="1296"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successor or surviving company in the Change in Control does not agree to assume, or substitute for, an equity award (or in which Skyworks is the ultimate parent corporation and does not agree to continue the equity award) on substantially similar terms with substantially equivalent economic benefits (which benefits shall include, for the avoidance of doubt, the liquidity of the securities underlying the assumed or substituted award following the Change in Control) as exist for such award immediately prior to the Change in Control, as determined in the sole discretion of the Compensation Committee, then such equity award shall, immediately prior to the Change in Control, automatically become vested, exercisable, and issuable, and any forfeiture restrictions thereon shall immediately lapse, as applicable, in each case, with respect to one-hundred percent (100%) of that number of then-unvested shares underlying such equity award, after giving effect to any deemed satisfaction of performance goals as described in Section 2.3(a).</w:t>
      </w:r>
    </w:p>
    <w:p>
      <w:pPr>
        <w:spacing w:after="0" w:line="161" w:lineRule="exact"/>
        <w:rPr>
          <w:rFonts w:ascii="Times New Roman" w:cs="Times New Roman" w:eastAsia="Times New Roman" w:hAnsi="Times New Roman"/>
          <w:sz w:val="20"/>
          <w:szCs w:val="20"/>
          <w:color w:val="auto"/>
        </w:rPr>
      </w:pPr>
    </w:p>
    <w:p>
      <w:pPr>
        <w:jc w:val="both"/>
        <w:ind w:left="660" w:hanging="4"/>
        <w:spacing w:after="0" w:line="213" w:lineRule="auto"/>
        <w:tabs>
          <w:tab w:leader="none" w:pos="1298"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successor or surviving company in the Change in Control agrees to assume, or substitute for, an outstanding equity award (or in which Skyworks is the ultimate parent corporation and agrees to continue the equity award) on substantially similar terms with substantially equivalent economic benefits (which benefits shall include, for the avoidance of doubt, the liquidity of the securities underlying the assumed or substituted award following the Change in Control) as exist for such award immediately prior to the Change in Control (but after giving effect to any deemed satisfaction of performance goals as described in Section 2.3(a)), as determined in the sole discretion of the Compensation Committee, then for the avoidance of doubt, such equity award shall continue to be subject to the same time-based vesting schedule to which the award was subject immediately prior to the Change in Control.</w:t>
      </w:r>
    </w:p>
    <w:p>
      <w:pPr>
        <w:spacing w:after="0" w:line="15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2.4.</w:t>
      </w:r>
      <w:r>
        <w:rPr>
          <w:sz w:val="20"/>
          <w:szCs w:val="20"/>
          <w:color w:val="auto"/>
        </w:rPr>
        <w:tab/>
      </w:r>
      <w:r>
        <w:rPr>
          <w:rFonts w:ascii="Times New Roman" w:cs="Times New Roman" w:eastAsia="Times New Roman" w:hAnsi="Times New Roman"/>
          <w:sz w:val="20"/>
          <w:szCs w:val="20"/>
          <w:color w:val="auto"/>
        </w:rPr>
        <w:t>Subject to the provisions of Sections 3.3, 8 and 12, each outstanding and unvested equity award held by you on the Equity</w:t>
      </w:r>
    </w:p>
    <w:p>
      <w:pPr>
        <w:spacing w:after="0" w:line="204" w:lineRule="auto"/>
        <w:rPr>
          <w:sz w:val="20"/>
          <w:szCs w:val="20"/>
          <w:color w:val="auto"/>
        </w:rPr>
      </w:pPr>
      <w:r>
        <w:rPr>
          <w:rFonts w:ascii="Times New Roman" w:cs="Times New Roman" w:eastAsia="Times New Roman" w:hAnsi="Times New Roman"/>
          <w:sz w:val="20"/>
          <w:szCs w:val="20"/>
          <w:color w:val="auto"/>
        </w:rPr>
        <w:t>Acceleration Date that, pursuant to its terms and after giving effect to any deemed satisfaction of performance goals as described in Section 2.3(a) and any deemed continued employment through the effective date of the Change in Control as described in Section 2.2, vests</w:t>
      </w:r>
    </w:p>
    <w:p>
      <w:pPr>
        <w:spacing w:after="0" w:line="211" w:lineRule="auto"/>
        <w:rPr>
          <w:sz w:val="20"/>
          <w:szCs w:val="20"/>
          <w:color w:val="auto"/>
        </w:rPr>
      </w:pPr>
      <w:r>
        <w:rPr>
          <w:rFonts w:ascii="Times New Roman" w:cs="Times New Roman" w:eastAsia="Times New Roman" w:hAnsi="Times New Roman"/>
          <w:sz w:val="20"/>
          <w:szCs w:val="20"/>
          <w:color w:val="auto"/>
        </w:rPr>
        <w:t>solely based upon providing continued service to Skyworks (or, if applicable, a successor corporation to Skyworks), including, without</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limitation, stock options, restricted stock awards (including restricted stock unit awards), and performance-based equity awards that are earned but unissued, shall on the Equity Acceleration Date automatically become vested, exercisable, and issuable, and any forfeiture</w:t>
      </w:r>
    </w:p>
    <w:p>
      <w:pPr>
        <w:spacing w:after="0" w:line="211" w:lineRule="auto"/>
        <w:rPr>
          <w:sz w:val="20"/>
          <w:szCs w:val="20"/>
          <w:color w:val="auto"/>
        </w:rPr>
      </w:pPr>
      <w:r>
        <w:rPr>
          <w:rFonts w:ascii="Times New Roman" w:cs="Times New Roman" w:eastAsia="Times New Roman" w:hAnsi="Times New Roman"/>
          <w:sz w:val="20"/>
          <w:szCs w:val="20"/>
          <w:color w:val="auto"/>
        </w:rPr>
        <w:t>restrictions thereon shall immediately lapse, as applicable, in each case, with respect to one-hundred percent (100%) of that number of then-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unvested shares underlying such equity award. For the avoidance of doubt, the reference in this Section 2.4 to “performance-based equity awards that are earned but unissued” shall include any awards (i) for which the measurement date occurs on or prior to the effective date of</w:t>
      </w:r>
    </w:p>
    <w:p>
      <w:pPr>
        <w:spacing w:after="0" w:line="211" w:lineRule="auto"/>
        <w:rPr>
          <w:sz w:val="20"/>
          <w:szCs w:val="20"/>
          <w:color w:val="auto"/>
        </w:rPr>
      </w:pPr>
      <w:r>
        <w:rPr>
          <w:rFonts w:ascii="Times New Roman" w:cs="Times New Roman" w:eastAsia="Times New Roman" w:hAnsi="Times New Roman"/>
          <w:sz w:val="20"/>
          <w:szCs w:val="20"/>
          <w:color w:val="auto"/>
        </w:rPr>
        <w:t>the Change in Control, and (ii) for which the Change in Control occurs prior to the measurement date and which are upon the Change in</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Control converted into, or substituted by, awards vesting solely based upon providing continued service to Skyworks or its successor, pursuant to Section 2.3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2.5. Subject to Section 12.4, any shares that are issued pursuant to Section 2.3(b) or Section 2.4 shall be issued to you on, or as soon as practicable (but not more than sixty (60) days) after, the Equity Acceleration Date (or such later date as may be required by Section 12.2).</w:t>
      </w:r>
    </w:p>
    <w:p>
      <w:pPr>
        <w:spacing w:after="0" w:line="144" w:lineRule="exact"/>
        <w:rPr>
          <w:sz w:val="20"/>
          <w:szCs w:val="20"/>
          <w:color w:val="auto"/>
        </w:rPr>
      </w:pPr>
    </w:p>
    <w:p>
      <w:pPr>
        <w:ind w:left="660" w:hanging="652"/>
        <w:spacing w:after="0"/>
        <w:tabs>
          <w:tab w:leader="none" w:pos="66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Termination of Employment Unrelated to Change in Control</w:t>
      </w:r>
    </w:p>
    <w:p>
      <w:pPr>
        <w:spacing w:after="0" w:line="19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9"/>
          <w:szCs w:val="19"/>
          <w:color w:val="auto"/>
        </w:rPr>
        <w:t>3.1. If, during the Initial Term or the Additional Term (as defined in Section 9), your employment with Skyworks is terminated by Skyworks without Cause more than three (3) months prior to a Change in Control or more than two (2) years following a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91" w:name="page92"/>
    <w:bookmarkEnd w:id="91"/>
    <w:p>
      <w:pPr>
        <w:spacing w:after="0" w:line="200" w:lineRule="exact"/>
        <w:rPr>
          <w:sz w:val="20"/>
          <w:szCs w:val="20"/>
          <w:color w:val="auto"/>
        </w:rPr>
      </w:pPr>
    </w:p>
    <w:p>
      <w:pPr>
        <w:spacing w:after="0" w:line="24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then you will receive the benefits specified in Section 3.2 below. For the avoidance of doubt, if at any time your employment is terminated by Skyworks for Cause or by you for any reason, you will not be entitled to receive the benefits specified in Section 3.2 below (or, for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avoidance of doubt, in Sections 1.2 or 2 above).</w:t>
      </w:r>
    </w:p>
    <w:p>
      <w:pPr>
        <w:spacing w:after="0" w:line="153"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20"/>
          <w:szCs w:val="20"/>
          <w:color w:val="auto"/>
        </w:rPr>
        <w:t>3.2. Subject to the provisions of Sections 3.3, 8 and 12, (a) in the event of any termination of your employment described in Section 3.1, Skyworks shall provide to you biweekly compensation continuation payments commencing as soon as practicable (but not more than sixty</w:t>
      </w:r>
    </w:p>
    <w:p>
      <w:pPr>
        <w:spacing w:after="0" w:line="2" w:lineRule="exact"/>
        <w:rPr>
          <w:sz w:val="20"/>
          <w:szCs w:val="20"/>
          <w:color w:val="auto"/>
        </w:rPr>
      </w:pPr>
    </w:p>
    <w:p>
      <w:pPr>
        <w:jc w:val="both"/>
        <w:ind w:firstLine="8"/>
        <w:spacing w:after="0" w:line="208" w:lineRule="auto"/>
        <w:tabs>
          <w:tab w:leader="none" w:pos="379"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after the date of such termination (or such later date as may be required by Section 12.2) and continuing for a period of twelve (12) months following the termination of your employment, with each such compensation continuation payment being equal to the quotient of (i) divided by (ii), where (i) equals the sum of (A) your then-current annual base salary, and (B) any short-term cash incentive payment then due, and (ii) equals 26 (which, for the avoidance of doubt, shall be the number of biweekly compensation continuation payments); (b) all of your then-vested outstanding Skyworks stock options shall remain exercisable for a period of twelve (12) months after the date of your employment termination (or, if earlier, until the last day of the full option term), subject to their terms and conditions, and (c) Skyworks shall make contributions to the cost of COBRA (Consolidated Omnibus Budget Reconciliation Act) coverage on your behalf (and on behalf of any applicable dependents) for a period of twelve (12) months after your termination if you elect COBRA coverage, and only for so long as such coverage continues in force; provided, however, that if you commence new employment and are eligible for a new group health plan in connection with such employment, Skyworks’ contributions toward COBRA coverage shall end when the new employment begins. The contribution to the cost of COBRA coverage to be made by Skyworks shall be determined on the same basis as Skyworks’ contribution to Skyworks-provided medical, dental and vision insurance coverage in effect immediately before your termination of your employment for an active employee with the same coverage elections. Notwithstanding the foregoing, in the event that Skyworks’ provision of such COBRA payments will violate the nondiscrimination requirements of applicable law, Skyworks will not provide contributions to the cost of COBRA and this benefit shall not apply.</w:t>
      </w:r>
    </w:p>
    <w:p>
      <w:pPr>
        <w:spacing w:after="0" w:line="174"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3.3. For the avoidance of doubt and notwithstanding anything in this Agreement to the contrary, in the event that you experience a termination of employment without Cause as described in Section 1.1 and are therefore eligible to receive the benefits set forth in</w:t>
      </w:r>
    </w:p>
    <w:p>
      <w:pPr>
        <w:spacing w:after="0" w:line="212" w:lineRule="auto"/>
        <w:rPr>
          <w:sz w:val="20"/>
          <w:szCs w:val="20"/>
          <w:color w:val="auto"/>
        </w:rPr>
      </w:pPr>
      <w:r>
        <w:rPr>
          <w:rFonts w:ascii="Times New Roman" w:cs="Times New Roman" w:eastAsia="Times New Roman" w:hAnsi="Times New Roman"/>
          <w:sz w:val="20"/>
          <w:szCs w:val="20"/>
          <w:color w:val="auto"/>
        </w:rPr>
        <w:t>Sections 1.2 and 2 above, then you shall not be eligible to receive any benefits set forth in Section 3.2 following the later of (a) the date of</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your termination of employment, and (b) the effective date of the Change in Control. Any payments and benefits to which you become entitled under Section 1.2 upon the effective date of a Change in Control, as a result of a qualifying termination of employment within the</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three (3) months prior to such Change in Control, shall be reduced in amount or duration, as applicable, equal to the payments and benefits you have received pursuant to Section 3.2 prior to the effective date of such Change in Control,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92" w:name="page93"/>
    <w:bookmarkEnd w:id="92"/>
    <w:p>
      <w:pPr>
        <w:spacing w:after="0" w:line="200" w:lineRule="exact"/>
        <w:rPr>
          <w:sz w:val="20"/>
          <w:szCs w:val="20"/>
          <w:color w:val="auto"/>
        </w:rPr>
      </w:pPr>
    </w:p>
    <w:p>
      <w:pPr>
        <w:spacing w:after="0" w:line="242" w:lineRule="exact"/>
        <w:rPr>
          <w:sz w:val="20"/>
          <w:szCs w:val="20"/>
          <w:color w:val="auto"/>
        </w:rPr>
      </w:pPr>
    </w:p>
    <w:p>
      <w:pPr>
        <w:ind w:left="660" w:hanging="652"/>
        <w:spacing w:after="0"/>
        <w:tabs>
          <w:tab w:leader="none" w:pos="66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Termination of Employment Due to Death or Disability</w:t>
      </w:r>
    </w:p>
    <w:p>
      <w:pPr>
        <w:spacing w:after="0" w:line="17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20"/>
          <w:szCs w:val="20"/>
          <w:color w:val="auto"/>
        </w:rPr>
        <w:t>In the event of your termination of employment due to death or permanent disability (within the meaning of Section 22(e)(3) of the</w:t>
      </w:r>
    </w:p>
    <w:p>
      <w:pPr>
        <w:spacing w:after="0" w:line="204" w:lineRule="auto"/>
        <w:rPr>
          <w:sz w:val="20"/>
          <w:szCs w:val="20"/>
          <w:color w:val="auto"/>
        </w:rPr>
      </w:pPr>
      <w:r>
        <w:rPr>
          <w:rFonts w:ascii="Times New Roman" w:cs="Times New Roman" w:eastAsia="Times New Roman" w:hAnsi="Times New Roman"/>
          <w:sz w:val="20"/>
          <w:szCs w:val="20"/>
          <w:color w:val="auto"/>
        </w:rPr>
        <w:t>Internal Revenue Code of 1986 (the “Code”)) during the Initial Term or the Additional Term, on the date of such termination each outstanding and unvested equity award held by you that, pursuant to its terms, vests solely based upon providing continued service to</w:t>
      </w:r>
    </w:p>
    <w:p>
      <w:pPr>
        <w:spacing w:after="0" w:line="211" w:lineRule="auto"/>
        <w:rPr>
          <w:sz w:val="20"/>
          <w:szCs w:val="20"/>
          <w:color w:val="auto"/>
        </w:rPr>
      </w:pPr>
      <w:r>
        <w:rPr>
          <w:rFonts w:ascii="Times New Roman" w:cs="Times New Roman" w:eastAsia="Times New Roman" w:hAnsi="Times New Roman"/>
          <w:sz w:val="20"/>
          <w:szCs w:val="20"/>
          <w:color w:val="auto"/>
        </w:rPr>
        <w:t>Skyworks, including, without limitation, stock options, restricted stock awards (including restricted stock unit awards), and performance-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based equity awards that are earned but unissued, shall automatically become vested, exercisable, and issuable, and any forfeiture restrictions thereon shall immediately lapse, as applicable, in each case, with respect to one-hundred percent (100%) of that number of then-unvested</w:t>
      </w:r>
    </w:p>
    <w:p>
      <w:pPr>
        <w:spacing w:after="0"/>
        <w:rPr>
          <w:sz w:val="20"/>
          <w:szCs w:val="20"/>
          <w:color w:val="auto"/>
        </w:rPr>
      </w:pPr>
      <w:r>
        <w:rPr>
          <w:rFonts w:ascii="Times New Roman" w:cs="Times New Roman" w:eastAsia="Times New Roman" w:hAnsi="Times New Roman"/>
          <w:sz w:val="20"/>
          <w:szCs w:val="20"/>
          <w:color w:val="auto"/>
        </w:rPr>
        <w:t>shares underlying such equity award.</w:t>
      </w:r>
    </w:p>
    <w:p>
      <w:pPr>
        <w:spacing w:after="0" w:line="167"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4.2. All outstanding stock options that are exercisable upon your termination of employment due to death or permanent disability (including any stock options that become vested and exercisable pursuant to Section 4.1) shall remain exercisable for a period of time</w:t>
      </w:r>
    </w:p>
    <w:p>
      <w:pPr>
        <w:spacing w:after="0" w:line="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9"/>
          <w:szCs w:val="19"/>
          <w:color w:val="auto"/>
        </w:rPr>
        <w:t>expiring on the earlier of (a) the one (1) year anniversary of your termination of employment due to death or permanent disability, and (b) the final expiration date of such stock options as set forth in the applicable stock option agreement, subject to their other terms and conditions.</w:t>
      </w:r>
    </w:p>
    <w:p>
      <w:pPr>
        <w:spacing w:after="0" w:line="145"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20"/>
          <w:szCs w:val="20"/>
          <w:color w:val="auto"/>
        </w:rPr>
        <w:t>4.3. In the event that you hold a performance-based equity award that vests based upon the achievement of performance metrics and upon providing continued service to Skyworks and your termination of employment due to death or permanent disability occurs prior to the</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“measurement date” (i.e. the last day of the applicable performance period) for such award, then such award shall, as of the measurement date, (a) be earned as to the greater of (i) the “Target” level of shares for such award, or (ii) the number of shares that would have been earned</w:t>
      </w:r>
    </w:p>
    <w:p>
      <w:pPr>
        <w:spacing w:after="0" w:line="211" w:lineRule="auto"/>
        <w:rPr>
          <w:sz w:val="20"/>
          <w:szCs w:val="20"/>
          <w:color w:val="auto"/>
        </w:rPr>
      </w:pPr>
      <w:r>
        <w:rPr>
          <w:rFonts w:ascii="Times New Roman" w:cs="Times New Roman" w:eastAsia="Times New Roman" w:hAnsi="Times New Roman"/>
          <w:sz w:val="20"/>
          <w:szCs w:val="20"/>
          <w:color w:val="auto"/>
        </w:rPr>
        <w:t>pursuant to the terms of such award had you remained employed through the measurement date, and (b) automatically become vested,</w:t>
      </w:r>
    </w:p>
    <w:p>
      <w:pPr>
        <w:spacing w:after="0" w:line="204" w:lineRule="auto"/>
        <w:rPr>
          <w:sz w:val="20"/>
          <w:szCs w:val="20"/>
          <w:color w:val="auto"/>
        </w:rPr>
      </w:pPr>
      <w:r>
        <w:rPr>
          <w:rFonts w:ascii="Times New Roman" w:cs="Times New Roman" w:eastAsia="Times New Roman" w:hAnsi="Times New Roman"/>
          <w:sz w:val="20"/>
          <w:szCs w:val="20"/>
          <w:color w:val="auto"/>
        </w:rPr>
        <w:t>exercisable, and issuable, and any forfeiture restrictions thereon shall immediately lapse, as applicable, in each case, as of the measurement date, with respect to one-hundred percent (100%) of that number of then-unvested shares underlying such equity award that are earned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pursuant to (a) above.</w:t>
      </w:r>
    </w:p>
    <w:p>
      <w:pPr>
        <w:spacing w:after="0" w:line="167"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20"/>
          <w:szCs w:val="20"/>
          <w:color w:val="auto"/>
        </w:rPr>
        <w:t>4.4. Subject to Section 12.4, any shares that are issued pursuant to Section 4.1 shall be issued to you (or to your estate, if applicable) as soon as practicable (but not more than sixty (60) days) after the date of your termination (or such later date as may be required by Section</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12.2). Subject to Section 12.4, any shares that are issued pursuant to Section 4.3 shall be issued to you (or to your estate, if applicable) as soon as practicable (but not more than sixty (60) days) after the measurement date.</w:t>
      </w:r>
    </w:p>
    <w:p>
      <w:pPr>
        <w:spacing w:after="0" w:line="145" w:lineRule="exact"/>
        <w:rPr>
          <w:sz w:val="20"/>
          <w:szCs w:val="20"/>
          <w:color w:val="auto"/>
        </w:rPr>
      </w:pPr>
    </w:p>
    <w:p>
      <w:pPr>
        <w:ind w:left="660" w:hanging="652"/>
        <w:spacing w:after="0"/>
        <w:tabs>
          <w:tab w:leader="none" w:pos="66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Other Terminations of Employment</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the event of your termination of employment by Skyworks for Cause or by you for any or no reason other than as a termination of employment described in Sections 1.1, 3.1, or 4.1, you shall not be entitled to any benefits under this Agreement; provided, however, that Skyworks shall pay you any unpaid wages and vacation as may be required by applicable law and provide you with the ability to elect any continued health coverage as may be required under COBRA or similar state law.</w:t>
      </w:r>
    </w:p>
    <w:p>
      <w:pPr>
        <w:spacing w:after="0" w:line="155" w:lineRule="exact"/>
        <w:rPr>
          <w:sz w:val="20"/>
          <w:szCs w:val="20"/>
          <w:color w:val="auto"/>
        </w:rPr>
      </w:pPr>
    </w:p>
    <w:p>
      <w:pPr>
        <w:ind w:left="660" w:hanging="652"/>
        <w:spacing w:after="0"/>
        <w:tabs>
          <w:tab w:leader="none" w:pos="66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Limitation on Benefits</w:t>
      </w:r>
    </w:p>
    <w:p>
      <w:pPr>
        <w:spacing w:after="0" w:line="18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6.1.</w:t>
      </w:r>
      <w:r>
        <w:rPr>
          <w:sz w:val="20"/>
          <w:szCs w:val="20"/>
          <w:color w:val="auto"/>
        </w:rPr>
        <w:tab/>
      </w:r>
      <w:r>
        <w:rPr>
          <w:rFonts w:ascii="Times New Roman" w:cs="Times New Roman" w:eastAsia="Times New Roman" w:hAnsi="Times New Roman"/>
          <w:sz w:val="20"/>
          <w:szCs w:val="20"/>
          <w:color w:val="auto"/>
        </w:rPr>
        <w:t>Notwithstanding anything contained in this Agreement to the contrary, to the extent that the payments and benefits provided under</w:t>
      </w:r>
    </w:p>
    <w:p>
      <w:pPr>
        <w:spacing w:after="0" w:line="221" w:lineRule="auto"/>
        <w:rPr>
          <w:sz w:val="20"/>
          <w:szCs w:val="20"/>
          <w:color w:val="auto"/>
        </w:rPr>
      </w:pPr>
      <w:r>
        <w:rPr>
          <w:rFonts w:ascii="Times New Roman" w:cs="Times New Roman" w:eastAsia="Times New Roman" w:hAnsi="Times New Roman"/>
          <w:sz w:val="20"/>
          <w:szCs w:val="20"/>
          <w:color w:val="auto"/>
        </w:rPr>
        <w:t>this Agreement, and payments and benefits provided to you, or for your benefit, under any other plan or agreement (such payments or benefits, the “Benefits”) would be subject to the excise tax imposed under Section 4999 of the Code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93" w:name="page94"/>
    <w:bookmarkEnd w:id="93"/>
    <w:p>
      <w:pPr>
        <w:spacing w:after="0" w:line="200" w:lineRule="exact"/>
        <w:rPr>
          <w:sz w:val="20"/>
          <w:szCs w:val="20"/>
          <w:color w:val="auto"/>
        </w:rPr>
      </w:pPr>
    </w:p>
    <w:p>
      <w:pPr>
        <w:spacing w:after="0" w:line="24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“Excise Tax”), the Benefits shall be reduced (but not below zero) if and to the extent that a reduction in the Benefits would result in your retaining a larger amount, on an after-tax basis (taking into account federal, state and local income taxes and the Excise Tax), than if you</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received all of the Benefits (such reduced amount, the “Limited Benefit Amount”).</w:t>
      </w:r>
    </w:p>
    <w:p>
      <w:pPr>
        <w:spacing w:after="0" w:line="153"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0"/>
          <w:szCs w:val="20"/>
          <w:color w:val="auto"/>
        </w:rPr>
        <w:t>6.2. A determination as to whether the Benefits shall be reduced to the Limited Benefit Amount pursuant to this Section 6 and the amount of such Limited Benefit Amount shall be made by Skyworks’ independent public accountants or another certified public accounting firm,</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executive compensation consulting firm or law firm of national reputation designated by Skyworks (the “Firm”) at Skyworks’ expense. The Firm shall provide its determination (the “Determination”), together with detailed supporting calculations and documentation to you and to</w:t>
      </w:r>
    </w:p>
    <w:p>
      <w:pPr>
        <w:spacing w:after="0" w:line="211" w:lineRule="auto"/>
        <w:rPr>
          <w:sz w:val="20"/>
          <w:szCs w:val="20"/>
          <w:color w:val="auto"/>
        </w:rPr>
      </w:pPr>
      <w:r>
        <w:rPr>
          <w:rFonts w:ascii="Times New Roman" w:cs="Times New Roman" w:eastAsia="Times New Roman" w:hAnsi="Times New Roman"/>
          <w:sz w:val="20"/>
          <w:szCs w:val="20"/>
          <w:color w:val="auto"/>
        </w:rPr>
        <w:t>Skyworks within ten (10) business days of the date on which your right to the Benefits is triggered (if requested at that time by you or by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Skyworks) or such other time as reasonably requested by you or by Skyworks. Unless you provide written notice to Skyworks within ten (10) business days of the delivery to you of the Determination that you dispute such Determination, the Determination shall be binding, final and</w:t>
      </w:r>
    </w:p>
    <w:p>
      <w:pPr>
        <w:spacing w:after="0" w:line="222" w:lineRule="auto"/>
        <w:rPr>
          <w:sz w:val="20"/>
          <w:szCs w:val="20"/>
          <w:color w:val="auto"/>
        </w:rPr>
      </w:pPr>
      <w:r>
        <w:rPr>
          <w:rFonts w:ascii="Times New Roman" w:cs="Times New Roman" w:eastAsia="Times New Roman" w:hAnsi="Times New Roman"/>
          <w:sz w:val="19"/>
          <w:szCs w:val="19"/>
          <w:color w:val="auto"/>
        </w:rPr>
        <w:t>conclusive upon you and Skyworks. If the Firm determines that no Excise Tax is payable by you with respect to any Benefits, it shall furnish</w:t>
      </w:r>
    </w:p>
    <w:p>
      <w:pPr>
        <w:spacing w:after="0" w:line="221" w:lineRule="auto"/>
        <w:rPr>
          <w:sz w:val="20"/>
          <w:szCs w:val="20"/>
          <w:color w:val="auto"/>
        </w:rPr>
      </w:pPr>
      <w:r>
        <w:rPr>
          <w:rFonts w:ascii="Times New Roman" w:cs="Times New Roman" w:eastAsia="Times New Roman" w:hAnsi="Times New Roman"/>
          <w:sz w:val="20"/>
          <w:szCs w:val="20"/>
          <w:color w:val="auto"/>
        </w:rPr>
        <w:t>to you and to Skyworks, in writing, a summary of the assumptions and calculations made by the Firm to support its conclusion that no Excise Tax will be imposed with respect to any such Benefits.</w:t>
      </w:r>
    </w:p>
    <w:p>
      <w:pPr>
        <w:spacing w:after="0" w:line="1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6.3.</w:t>
      </w:r>
      <w:r>
        <w:rPr>
          <w:sz w:val="20"/>
          <w:szCs w:val="20"/>
          <w:color w:val="auto"/>
        </w:rPr>
        <w:tab/>
      </w:r>
      <w:r>
        <w:rPr>
          <w:rFonts w:ascii="Times New Roman" w:cs="Times New Roman" w:eastAsia="Times New Roman" w:hAnsi="Times New Roman"/>
          <w:sz w:val="20"/>
          <w:szCs w:val="20"/>
          <w:color w:val="auto"/>
        </w:rPr>
        <w:t>Any reduction in payments and/or benefits pursuant to this Section 6 to effectuate the Limited Benefit Amount shall occur in the</w:t>
      </w:r>
    </w:p>
    <w:p>
      <w:pPr>
        <w:spacing w:after="0" w:line="221" w:lineRule="auto"/>
        <w:rPr>
          <w:sz w:val="20"/>
          <w:szCs w:val="20"/>
          <w:color w:val="auto"/>
        </w:rPr>
      </w:pPr>
      <w:r>
        <w:rPr>
          <w:rFonts w:ascii="Times New Roman" w:cs="Times New Roman" w:eastAsia="Times New Roman" w:hAnsi="Times New Roman"/>
          <w:sz w:val="20"/>
          <w:szCs w:val="20"/>
          <w:color w:val="auto"/>
        </w:rPr>
        <w:t>following order: (1) reduction of cash payments; (2) cancellation of accelerated vesting of equity awards other than stock options; (3) cancellation of accelerated vesting of stock options; and (4) reduction of other benefits payable to you.</w:t>
      </w:r>
    </w:p>
    <w:p>
      <w:pPr>
        <w:spacing w:after="0" w:line="158" w:lineRule="exact"/>
        <w:rPr>
          <w:sz w:val="20"/>
          <w:szCs w:val="20"/>
          <w:color w:val="auto"/>
        </w:rPr>
      </w:pPr>
    </w:p>
    <w:p>
      <w:pPr>
        <w:ind w:left="660" w:hanging="652"/>
        <w:spacing w:after="0"/>
        <w:tabs>
          <w:tab w:leader="none" w:pos="66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Non-Solicitation</w:t>
      </w:r>
    </w:p>
    <w:p>
      <w:pPr>
        <w:spacing w:after="0" w:line="193"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7.1. You agree that while employed by Skyworks and for one (1) year thereafter, you will not, either directly or through others, raid, solicit, or attempt to solicit any employee of Skyworks or any subsidiary or affiliate of Skyworks (collectively, the “Company”) to terminate</w:t>
      </w:r>
    </w:p>
    <w:p>
      <w:pPr>
        <w:spacing w:after="0" w:line="212" w:lineRule="auto"/>
        <w:rPr>
          <w:sz w:val="20"/>
          <w:szCs w:val="20"/>
          <w:color w:val="auto"/>
        </w:rPr>
      </w:pPr>
      <w:r>
        <w:rPr>
          <w:rFonts w:ascii="Times New Roman" w:cs="Times New Roman" w:eastAsia="Times New Roman" w:hAnsi="Times New Roman"/>
          <w:sz w:val="20"/>
          <w:szCs w:val="20"/>
          <w:color w:val="auto"/>
        </w:rPr>
        <w:t>his or her relationship with the Company in order to become an employee or independent contractor (including a consultant or advisor) to or</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for any person or entity. You further agree that you will not disrupt or interfere or attempt to disrupt or interfere with the Company’s relationships with such employees.</w:t>
      </w:r>
    </w:p>
    <w:p>
      <w:pPr>
        <w:spacing w:after="0" w:line="1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7.2.</w:t>
      </w:r>
      <w:r>
        <w:rPr>
          <w:sz w:val="20"/>
          <w:szCs w:val="20"/>
          <w:color w:val="auto"/>
        </w:rPr>
        <w:tab/>
      </w:r>
      <w:r>
        <w:rPr>
          <w:rFonts w:ascii="Times New Roman" w:cs="Times New Roman" w:eastAsia="Times New Roman" w:hAnsi="Times New Roman"/>
          <w:sz w:val="19"/>
          <w:szCs w:val="19"/>
          <w:color w:val="auto"/>
        </w:rPr>
        <w:t>You understand and acknowledge that Skyworks’ remedies at law for breach of any of the restrictions in this Section 7 are inadequate</w:t>
      </w:r>
    </w:p>
    <w:p>
      <w:pPr>
        <w:spacing w:after="0" w:line="204" w:lineRule="auto"/>
        <w:rPr>
          <w:sz w:val="20"/>
          <w:szCs w:val="20"/>
          <w:color w:val="auto"/>
        </w:rPr>
      </w:pPr>
      <w:r>
        <w:rPr>
          <w:rFonts w:ascii="Times New Roman" w:cs="Times New Roman" w:eastAsia="Times New Roman" w:hAnsi="Times New Roman"/>
          <w:sz w:val="20"/>
          <w:szCs w:val="20"/>
          <w:color w:val="auto"/>
        </w:rPr>
        <w:t>and that any such breach will cause irreparable harm to Skyworks. You therefore agree that in addition and as a supplement to such other rights and remedies as may exist in Skyworks’ favor, Skyworks may apply to any court having jurisdiction to enforce the specific</w:t>
      </w:r>
    </w:p>
    <w:p>
      <w:pPr>
        <w:spacing w:after="0" w:line="211" w:lineRule="auto"/>
        <w:rPr>
          <w:sz w:val="20"/>
          <w:szCs w:val="20"/>
          <w:color w:val="auto"/>
        </w:rPr>
      </w:pPr>
      <w:r>
        <w:rPr>
          <w:rFonts w:ascii="Times New Roman" w:cs="Times New Roman" w:eastAsia="Times New Roman" w:hAnsi="Times New Roman"/>
          <w:sz w:val="20"/>
          <w:szCs w:val="20"/>
          <w:color w:val="auto"/>
        </w:rPr>
        <w:t>performance of the restrictions in this Section 7, and may apply for injunctive relief against any act which would violate those restrictions.</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You also agree that in addition to any damages that may be recovered, the prevailing party in any legal action to enforce this non-solicitation agreement shall be entitled to recover its costs and attorneys’ fees from the other party.</w:t>
      </w:r>
    </w:p>
    <w:p>
      <w:pPr>
        <w:spacing w:after="0" w:line="158" w:lineRule="exact"/>
        <w:rPr>
          <w:sz w:val="20"/>
          <w:szCs w:val="20"/>
          <w:color w:val="auto"/>
        </w:rPr>
      </w:pPr>
    </w:p>
    <w:p>
      <w:pPr>
        <w:ind w:left="660" w:hanging="652"/>
        <w:spacing w:after="0"/>
        <w:tabs>
          <w:tab w:leader="none" w:pos="66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Release of Claims</w:t>
      </w:r>
    </w:p>
    <w:p>
      <w:pPr>
        <w:spacing w:after="0" w:line="2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Skyworks shall have no obligation to make any payments or provide any benefits pursuant to Sections 1, 2, or 3, as applicable, and you shall not be eligible to receive any such benefits, unless (a) you sign and deliver to the General Counsel of Skyworks a release of claims in substantially the form attached hereto as Exhibit A (the “Release”) and (b) the Release has become non-revocable by the sixtieth (60th) day following the date of termination of your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94" w:name="page95"/>
    <w:bookmarkEnd w:id="94"/>
    <w:p>
      <w:pPr>
        <w:spacing w:after="0" w:line="200" w:lineRule="exact"/>
        <w:rPr>
          <w:sz w:val="20"/>
          <w:szCs w:val="20"/>
          <w:color w:val="auto"/>
        </w:rPr>
      </w:pPr>
    </w:p>
    <w:p>
      <w:pPr>
        <w:spacing w:after="0" w:line="242" w:lineRule="exact"/>
        <w:rPr>
          <w:sz w:val="20"/>
          <w:szCs w:val="20"/>
          <w:color w:val="auto"/>
        </w:rPr>
      </w:pPr>
    </w:p>
    <w:p>
      <w:pPr>
        <w:ind w:left="660" w:hanging="652"/>
        <w:spacing w:after="0"/>
        <w:tabs>
          <w:tab w:leader="none" w:pos="660"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Term</w:t>
      </w:r>
    </w:p>
    <w:p>
      <w:pPr>
        <w:spacing w:after="0" w:line="19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This Agreement shall become effective on the date executed by the parties hereto (the “Effective Date”), and shall remain effective for an initial term of two (2) years from the Effective Date (the “Initial Term”). Following the Initial Term, this Agreement shall renew automatically on the anniversary of the Effective Date for up to five (5) additional one (1) year periods (each an “Additional Term”) unless, at least ninety (90) days prior to the end of the then-current term of the Agreement, either party provides written notice to the other party that the Agreement shall not be extended. For the avoidance of doubt, a non-renewal of an extension of this Agreement is separate from, and shall not itself result in, a termination of your employment with the Company, nor shall the non-renewal of an extension of this Agreement for any reason constitute or give rise to Good Reason. This Agreement shall terminate automatically upon your termination of employment; provided, however, for the avoidance of doubt, that following such termination (i) the Company’s obligations to provide payments or benefits to you in accordance with the terms hereof shall survive any such termination of this Agreement and (ii) your obligations pursuant to Section 7 shall survive any such termination of this Agreement and extend throughout the non-solicitation period.</w:t>
      </w:r>
    </w:p>
    <w:p>
      <w:pPr>
        <w:spacing w:after="0" w:line="160" w:lineRule="exact"/>
        <w:rPr>
          <w:sz w:val="20"/>
          <w:szCs w:val="20"/>
          <w:color w:val="auto"/>
        </w:rPr>
      </w:pPr>
    </w:p>
    <w:p>
      <w:pPr>
        <w:ind w:left="640" w:hanging="632"/>
        <w:spacing w:after="0"/>
        <w:tabs>
          <w:tab w:leader="none" w:pos="640"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Entire Agreement</w:t>
      </w:r>
    </w:p>
    <w:p>
      <w:pPr>
        <w:spacing w:after="0" w:line="193"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10.1. This Agreement contains the entire agreement and understanding of the parties with respect to the subject matter contained herein, and replaces and supersedes, as of the Effective Date, all prior agreements relating to such subject matter, including without limitation the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Change in Control/Severance Agreement between you and Skyworks dated April 13, 2018. For the avoidance of doubt, you shall not be eligible to receive severance or similar payments under any severance plan, program or policy maintained by Skyworks.</w:t>
      </w:r>
    </w:p>
    <w:p>
      <w:pPr>
        <w:spacing w:after="0" w:line="149"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0"/>
          <w:szCs w:val="20"/>
          <w:color w:val="auto"/>
        </w:rPr>
        <w:t>10.2. You acknowledge and agree that you will be subject to the provisions of the compensation clawback policy that Skyworks has in effect or may implement in future.</w:t>
      </w:r>
    </w:p>
    <w:p>
      <w:pPr>
        <w:spacing w:after="0" w:line="161"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0"/>
          <w:szCs w:val="20"/>
          <w:color w:val="auto"/>
        </w:rPr>
        <w:t>10.3. You acknowledge and agree that your employment with Skyworks will continue to be “at will” and that your employment can be terminated with or without Cause at any time, with or without advance notice.</w:t>
      </w:r>
    </w:p>
    <w:p>
      <w:pPr>
        <w:spacing w:after="0" w:line="157" w:lineRule="exact"/>
        <w:rPr>
          <w:sz w:val="20"/>
          <w:szCs w:val="20"/>
          <w:color w:val="auto"/>
        </w:rPr>
      </w:pPr>
    </w:p>
    <w:p>
      <w:pPr>
        <w:ind w:left="640" w:hanging="632"/>
        <w:spacing w:after="0"/>
        <w:tabs>
          <w:tab w:leader="none" w:pos="640"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Definitions</w:t>
      </w:r>
    </w:p>
    <w:p>
      <w:pPr>
        <w:spacing w:after="0" w:line="19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11.1.</w:t>
      </w:r>
      <w:r>
        <w:rPr>
          <w:sz w:val="20"/>
          <w:szCs w:val="20"/>
          <w:color w:val="auto"/>
        </w:rPr>
        <w:tab/>
      </w:r>
      <w:r>
        <w:rPr>
          <w:rFonts w:ascii="Times New Roman" w:cs="Times New Roman" w:eastAsia="Times New Roman" w:hAnsi="Times New Roman"/>
          <w:sz w:val="19"/>
          <w:szCs w:val="19"/>
          <w:color w:val="auto"/>
        </w:rPr>
        <w:t>“Cause” means:</w:t>
      </w:r>
    </w:p>
    <w:p>
      <w:pPr>
        <w:spacing w:after="0" w:line="175" w:lineRule="exact"/>
        <w:rPr>
          <w:sz w:val="20"/>
          <w:szCs w:val="20"/>
          <w:color w:val="auto"/>
        </w:rPr>
      </w:pPr>
    </w:p>
    <w:p>
      <w:pPr>
        <w:ind w:left="1300" w:hanging="644"/>
        <w:spacing w:after="0"/>
        <w:tabs>
          <w:tab w:leader="none" w:pos="1300"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deliberate dishonesty that is significantly detrimental to the best interests of Skyworks or any subsidiary or affiliate;</w:t>
      </w:r>
    </w:p>
    <w:p>
      <w:pPr>
        <w:spacing w:after="0" w:line="18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 on your part constituting an act of moral turpitude;</w:t>
      </w:r>
    </w:p>
    <w:p>
      <w:pPr>
        <w:spacing w:after="0" w:line="188" w:lineRule="exact"/>
        <w:rPr>
          <w:rFonts w:ascii="Times New Roman" w:cs="Times New Roman" w:eastAsia="Times New Roman" w:hAnsi="Times New Roman"/>
          <w:sz w:val="20"/>
          <w:szCs w:val="20"/>
          <w:color w:val="auto"/>
        </w:rPr>
      </w:pPr>
    </w:p>
    <w:p>
      <w:pPr>
        <w:ind w:left="660" w:hanging="4"/>
        <w:spacing w:after="0" w:line="233" w:lineRule="auto"/>
        <w:tabs>
          <w:tab w:leader="none" w:pos="1298"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willful disloyalty to Skyworks or refusal or failure to obey the directions of the Board of Directors of Skyworks (the “</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or</w:t>
      </w:r>
    </w:p>
    <w:p>
      <w:pPr>
        <w:spacing w:after="0" w:line="160"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incompetent performance or substantial or continuing inattention to or neglect of duties assigned to you.</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determination of Cause must be made by the full Board at a meeting duly called.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95" w:name="page96"/>
    <w:bookmarkEnd w:id="95"/>
    <w:p>
      <w:pPr>
        <w:spacing w:after="0" w:line="200" w:lineRule="exact"/>
        <w:rPr>
          <w:sz w:val="20"/>
          <w:szCs w:val="20"/>
          <w:color w:val="auto"/>
        </w:rPr>
      </w:pPr>
    </w:p>
    <w:p>
      <w:pPr>
        <w:spacing w:after="0" w:line="24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11.2. “Change in Control” means an event or occurrence set forth in any one or more of subsections (a) through (d) below (including an event or occurrence that constitutes a Change in Control under one of such subsections but is specifically exempted from another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subsection):</w:t>
      </w:r>
    </w:p>
    <w:p>
      <w:pPr>
        <w:spacing w:after="0" w:line="153" w:lineRule="exact"/>
        <w:rPr>
          <w:sz w:val="20"/>
          <w:szCs w:val="20"/>
          <w:color w:val="auto"/>
        </w:rPr>
      </w:pPr>
    </w:p>
    <w:p>
      <w:pPr>
        <w:jc w:val="both"/>
        <w:ind w:left="660" w:hanging="4"/>
        <w:spacing w:after="0" w:line="223" w:lineRule="auto"/>
        <w:tabs>
          <w:tab w:leader="none" w:pos="1298" w:val="left"/>
        </w:tabs>
        <w:numPr>
          <w:ilvl w:val="0"/>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acquisition by an individual, entity or group (within the meaning of Section 13(d)(3) or 14(d)(2) of the Securities Exchange Act of 1934, as amended (the “Exchange Act”)) (a “Person”) of beneficial ownership of any capital stock of Skyworks if, after such acquisition, such Person beneficially owns (within the meaning of Rule 13d-3 promulgated under the Exchange Act) 40% or more of either (x) the then-outstanding shares of common stock of Skyworks (the “Outstanding Company Common Stock”) or (y) the combined voting power of the then-outstanding securities of Skyworks entitled to vote generally in the election of directors (the “Outstanding Company Voting Securities”); provided, however, that for purposes of this subsection (a), the following acquisitions shall not constitute a Change in Control: (i) any acquisition directly from Skyworks (excluding an acquisition pursuant to the exercise, conversion or exchange of any security exercisable for, convertible into or exchangeable for common stock or voting securities of Skyworks, unless the Person exercising, converting or exchanging such security acquired such security directly from Skyworks or an underwriter or agent of Skyworks), (ii) any acquisition by Skyworks, (iii) any acquisition by any employee benefit plan (or related trust) sponsored or maintained by Skyworks or any corporation controlled by Skyworks, or (iv) any acquisition by any corporation pursuant to a transaction which complies with clauses (i) and (ii) of subsection (c) of this Section 11.2; or</w:t>
      </w:r>
    </w:p>
    <w:p>
      <w:pPr>
        <w:spacing w:after="0" w:line="155" w:lineRule="exact"/>
        <w:rPr>
          <w:rFonts w:ascii="Times New Roman" w:cs="Times New Roman" w:eastAsia="Times New Roman" w:hAnsi="Times New Roman"/>
          <w:sz w:val="19"/>
          <w:szCs w:val="19"/>
          <w:color w:val="auto"/>
        </w:rPr>
      </w:pPr>
    </w:p>
    <w:p>
      <w:pPr>
        <w:jc w:val="both"/>
        <w:ind w:left="660" w:hanging="4"/>
        <w:spacing w:after="0" w:line="214" w:lineRule="auto"/>
        <w:tabs>
          <w:tab w:leader="none" w:pos="1296"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time as the Continuing Directors (as defined below) do not constitute a majority of the Board (or, if applicable, the Board of Directors of a successor corporation to Skyworks), where the term “Continuing Director” means at any date a member of the Board (i) who was a member of the Board on the date of the execution of this Agreement or (ii) who was nominated or elected subsequent to such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provided, however, that there shall be excluded from this clause (ii)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or</w:t>
      </w:r>
    </w:p>
    <w:p>
      <w:pPr>
        <w:spacing w:after="0" w:line="152" w:lineRule="exact"/>
        <w:rPr>
          <w:rFonts w:ascii="Times New Roman" w:cs="Times New Roman" w:eastAsia="Times New Roman" w:hAnsi="Times New Roman"/>
          <w:sz w:val="20"/>
          <w:szCs w:val="20"/>
          <w:color w:val="auto"/>
        </w:rPr>
      </w:pPr>
    </w:p>
    <w:p>
      <w:pPr>
        <w:jc w:val="both"/>
        <w:ind w:left="660" w:hanging="4"/>
        <w:spacing w:after="0" w:line="211" w:lineRule="auto"/>
        <w:tabs>
          <w:tab w:leader="none" w:pos="1298"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consummation of a merger, consolidation, reorganization, recapitalization or statutory share exchange involving Skyworks or a sale or other disposition of all or substantially all of the assets of Skyworks in one or a series of transactions (a “Business Combination”), unless, immediately following such Business Combination, each of the following two conditions is satisfied: (i) all or substantially all of the individuals and entities who were the beneficial owners of the Outstanding Company Common Stock and Outstanding Company Voting Securities immediately prior to such Business Combination beneficially own, directly or indirectly, more than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limitation, a corporation which as a result of such transaction owns Skyworks or substantially all of Skyworks’ assets either directly or through one or more subsidiaries) (such resulting or acquiring corporation is referred to herein as the “Acquiring Corporation”) in substantially the same proportions as their ownership, immediately prior to such Business Combination, of the Outstanding Company Common Stock and Outstanding Company Voting Securities, respectively; and (ii) no Person (excluding any employee benefit plan (or related trust) maintained or sponsored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96" w:name="page97"/>
    <w:bookmarkEnd w:id="96"/>
    <w:p>
      <w:pPr>
        <w:spacing w:after="0" w:line="200" w:lineRule="exact"/>
        <w:rPr>
          <w:sz w:val="20"/>
          <w:szCs w:val="20"/>
          <w:color w:val="auto"/>
        </w:rPr>
      </w:pPr>
    </w:p>
    <w:p>
      <w:pPr>
        <w:spacing w:after="0" w:line="246" w:lineRule="exact"/>
        <w:rPr>
          <w:sz w:val="20"/>
          <w:szCs w:val="20"/>
          <w:color w:val="auto"/>
        </w:rPr>
      </w:pPr>
    </w:p>
    <w:p>
      <w:pPr>
        <w:ind w:left="660"/>
        <w:spacing w:after="0" w:line="227" w:lineRule="auto"/>
        <w:rPr>
          <w:sz w:val="20"/>
          <w:szCs w:val="20"/>
          <w:color w:val="auto"/>
        </w:rPr>
      </w:pPr>
      <w:r>
        <w:rPr>
          <w:rFonts w:ascii="Times New Roman" w:cs="Times New Roman" w:eastAsia="Times New Roman" w:hAnsi="Times New Roman"/>
          <w:sz w:val="19"/>
          <w:szCs w:val="19"/>
          <w:color w:val="auto"/>
        </w:rPr>
        <w:t>Skyworks or by the Acquiring Corporation) beneficially owns, directly or indirectly, 40% or more of the then-outstanding shares of common stock of the Acquiring Corporation, or of the combined voting power of the then-outstanding securities of such corporation</w:t>
      </w:r>
    </w:p>
    <w:p>
      <w:pPr>
        <w:ind w:left="660" w:right="20"/>
        <w:spacing w:after="0" w:line="221" w:lineRule="auto"/>
        <w:rPr>
          <w:sz w:val="20"/>
          <w:szCs w:val="20"/>
          <w:color w:val="auto"/>
        </w:rPr>
      </w:pPr>
      <w:r>
        <w:rPr>
          <w:rFonts w:ascii="Times New Roman" w:cs="Times New Roman" w:eastAsia="Times New Roman" w:hAnsi="Times New Roman"/>
          <w:sz w:val="20"/>
          <w:szCs w:val="20"/>
          <w:color w:val="auto"/>
        </w:rPr>
        <w:t>entitled to vote generally in the election of directors (except to the extent that such ownership existed prior to the Business Combination); or</w:t>
      </w:r>
    </w:p>
    <w:p>
      <w:pPr>
        <w:spacing w:after="0" w:line="162" w:lineRule="exact"/>
        <w:rPr>
          <w:sz w:val="20"/>
          <w:szCs w:val="20"/>
          <w:color w:val="auto"/>
        </w:rPr>
      </w:pPr>
    </w:p>
    <w:p>
      <w:pPr>
        <w:ind w:left="1300" w:hanging="644"/>
        <w:spacing w:after="0"/>
        <w:tabs>
          <w:tab w:leader="none" w:pos="1300"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approval by the stockholders of Skyworks of a complete liquidation or dissolution of Skyworks.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Notwithstanding anything herein to the contrary, to the extent that any payment or benefit hereunder constitutes nonqualified deferred compensation within the meaning of Section 409A (as defined below), then, with respect to such payment or benefit, any event constituting a Change in Control above must also constitute a “change in control event” within the meaning of Treasury Regulation Section 1.409A-3(i)(5) (i).</w:t>
      </w:r>
    </w:p>
    <w:p>
      <w:pPr>
        <w:spacing w:after="0" w:line="15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11.3.</w:t>
      </w:r>
      <w:r>
        <w:rPr>
          <w:sz w:val="20"/>
          <w:szCs w:val="20"/>
          <w:color w:val="auto"/>
        </w:rPr>
        <w:tab/>
      </w:r>
      <w:r>
        <w:rPr>
          <w:rFonts w:ascii="Times New Roman" w:cs="Times New Roman" w:eastAsia="Times New Roman" w:hAnsi="Times New Roman"/>
          <w:sz w:val="19"/>
          <w:szCs w:val="19"/>
          <w:color w:val="auto"/>
        </w:rPr>
        <w:t>“Good Reason” means the occurrence of any of the following events without your prior written consent:</w:t>
      </w:r>
    </w:p>
    <w:p>
      <w:pPr>
        <w:spacing w:after="0" w:line="189" w:lineRule="exact"/>
        <w:rPr>
          <w:sz w:val="20"/>
          <w:szCs w:val="20"/>
          <w:color w:val="auto"/>
        </w:rPr>
      </w:pPr>
    </w:p>
    <w:p>
      <w:pPr>
        <w:ind w:left="1300" w:hanging="644"/>
        <w:spacing w:after="0"/>
        <w:tabs>
          <w:tab w:leader="none" w:pos="1300"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diminution of your base compensation;</w:t>
      </w:r>
    </w:p>
    <w:p>
      <w:pPr>
        <w:spacing w:after="0" w:line="17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diminution in your authority, duties or responsibilities;</w:t>
      </w:r>
    </w:p>
    <w:p>
      <w:pPr>
        <w:spacing w:after="0" w:line="188" w:lineRule="exact"/>
        <w:rPr>
          <w:rFonts w:ascii="Times New Roman" w:cs="Times New Roman" w:eastAsia="Times New Roman" w:hAnsi="Times New Roman"/>
          <w:sz w:val="20"/>
          <w:szCs w:val="20"/>
          <w:color w:val="auto"/>
        </w:rPr>
      </w:pPr>
    </w:p>
    <w:p>
      <w:pPr>
        <w:jc w:val="both"/>
        <w:ind w:left="660" w:hanging="4"/>
        <w:spacing w:after="0" w:line="226" w:lineRule="auto"/>
        <w:tabs>
          <w:tab w:leader="none" w:pos="1298"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diminution in the authority, duties or responsibilities of the supervisor to whom you are required to report, such a material diminution to include the supervisor to whom you are required to report no longer reporting to the Board of Directors of Skyworks (or its successor or parent) or the analogous governing body of Skyworks (or its successor or parent);</w:t>
      </w:r>
    </w:p>
    <w:p>
      <w:pPr>
        <w:spacing w:after="0" w:line="160" w:lineRule="exact"/>
        <w:rPr>
          <w:rFonts w:ascii="Times New Roman" w:cs="Times New Roman" w:eastAsia="Times New Roman" w:hAnsi="Times New Roman"/>
          <w:sz w:val="20"/>
          <w:szCs w:val="20"/>
          <w:color w:val="auto"/>
        </w:rPr>
      </w:pPr>
    </w:p>
    <w:p>
      <w:pPr>
        <w:jc w:val="both"/>
        <w:ind w:left="660" w:hanging="4"/>
        <w:spacing w:after="0" w:line="222" w:lineRule="auto"/>
        <w:tabs>
          <w:tab w:leader="none" w:pos="1296"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change in the geographic location at which you are directed that you must perform your duties, which Skyworks has determined shall include a change in your principal place of employment at Skyworks’ or an affiliate’s direction from the location of your principal place of employment immediately prior to the Effective Date of this Agreement to a location more than fifty (50) miles from such principal place of employment; or</w:t>
      </w:r>
    </w:p>
    <w:p>
      <w:pPr>
        <w:spacing w:after="0" w:line="16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action or inaction constituting a material breach by Skyworks of the terms of this Agreement.</w:t>
      </w:r>
    </w:p>
    <w:p>
      <w:pPr>
        <w:spacing w:after="0" w:line="1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Your termination of employment shall not be deemed to be for Good Reason unless, within sixty (60) days of the occurrence of the event constituting Good Reason, you have provided Skyworks with (i) at least thirty (30) days’ advance written notice of your decision to terminate your employment for Good Reason, and (ii) a period of not less than thirty (30) days to cure the event or condition described in subsections (a), (b), (c), (d), or (e) above, and Skyworks has either failed to so cure the event or waived its right to cure the event, to the extent it is then subject to cure.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97" w:name="page98"/>
    <w:bookmarkEnd w:id="97"/>
    <w:p>
      <w:pPr>
        <w:spacing w:after="0" w:line="200" w:lineRule="exact"/>
        <w:rPr>
          <w:sz w:val="20"/>
          <w:szCs w:val="20"/>
          <w:color w:val="auto"/>
        </w:rPr>
      </w:pPr>
    </w:p>
    <w:p>
      <w:pPr>
        <w:spacing w:after="0" w:line="242" w:lineRule="exact"/>
        <w:rPr>
          <w:sz w:val="20"/>
          <w:szCs w:val="20"/>
          <w:color w:val="auto"/>
        </w:rPr>
      </w:pPr>
    </w:p>
    <w:p>
      <w:pPr>
        <w:ind w:left="640" w:hanging="632"/>
        <w:spacing w:after="0"/>
        <w:tabs>
          <w:tab w:leader="none" w:pos="640"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Miscellaneous</w:t>
      </w:r>
    </w:p>
    <w:p>
      <w:pPr>
        <w:spacing w:after="0" w:line="17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12.1.</w:t>
        <w:tab/>
        <w:t>All claims by you for benefits under this Agreement shall be directed to and determined by the Board and shall be in writing. Any</w:t>
      </w:r>
    </w:p>
    <w:p>
      <w:pPr>
        <w:spacing w:after="0" w:line="204" w:lineRule="auto"/>
        <w:rPr>
          <w:sz w:val="20"/>
          <w:szCs w:val="20"/>
          <w:color w:val="auto"/>
        </w:rPr>
      </w:pPr>
      <w:r>
        <w:rPr>
          <w:rFonts w:ascii="Times New Roman" w:cs="Times New Roman" w:eastAsia="Times New Roman" w:hAnsi="Times New Roman"/>
          <w:sz w:val="20"/>
          <w:szCs w:val="20"/>
          <w:color w:val="auto"/>
        </w:rPr>
        <w:t>denial by the Board of a claim for benefits under this Agreement shall be delivered to you in writing and shall set forth the specific reasons for the denial and the specific provisions of this Agreement relied upon. The Board shall afford a reasonable opportunity to you for a review</w:t>
      </w:r>
    </w:p>
    <w:p>
      <w:pPr>
        <w:spacing w:after="0" w:line="211" w:lineRule="auto"/>
        <w:rPr>
          <w:sz w:val="20"/>
          <w:szCs w:val="20"/>
          <w:color w:val="auto"/>
        </w:rPr>
      </w:pPr>
      <w:r>
        <w:rPr>
          <w:rFonts w:ascii="Times New Roman" w:cs="Times New Roman" w:eastAsia="Times New Roman" w:hAnsi="Times New Roman"/>
          <w:sz w:val="20"/>
          <w:szCs w:val="20"/>
          <w:color w:val="auto"/>
        </w:rPr>
        <w:t>of the decision denying a claim. Any further dispute or controversy arising under or in connection with this Agreement shall be settled</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exclusively by arbitration in accordance with the terms and conditions of the Company’s standard form of arbitration agreement, which if you have not already entered into shall be signed by you contemporaneously with this Agreement as a condition of the severance arrangements</w:t>
      </w:r>
    </w:p>
    <w:p>
      <w:pPr>
        <w:spacing w:after="0" w:line="211" w:lineRule="auto"/>
        <w:rPr>
          <w:sz w:val="20"/>
          <w:szCs w:val="20"/>
          <w:color w:val="auto"/>
        </w:rPr>
      </w:pPr>
      <w:r>
        <w:rPr>
          <w:rFonts w:ascii="Times New Roman" w:cs="Times New Roman" w:eastAsia="Times New Roman" w:hAnsi="Times New Roman"/>
          <w:sz w:val="20"/>
          <w:szCs w:val="20"/>
          <w:color w:val="auto"/>
        </w:rPr>
        <w:t>hereunder. Skyworks agrees to pay as incurred, to the full extent permitted by law, all legal, accounting and other fees and expenses which</w:t>
      </w:r>
    </w:p>
    <w:p>
      <w:pPr>
        <w:spacing w:after="0" w:line="215" w:lineRule="auto"/>
        <w:rPr>
          <w:sz w:val="20"/>
          <w:szCs w:val="20"/>
          <w:color w:val="auto"/>
        </w:rPr>
      </w:pPr>
      <w:r>
        <w:rPr>
          <w:rFonts w:ascii="Times New Roman" w:cs="Times New Roman" w:eastAsia="Times New Roman" w:hAnsi="Times New Roman"/>
          <w:sz w:val="19"/>
          <w:szCs w:val="19"/>
          <w:color w:val="auto"/>
        </w:rPr>
        <w:t>you may reasonably incur as a result of any claim or contest (regardless of the outcome thereof) by Skyworks, you or others regarding the validity or enforceability of, or liability under, any provision of this Agreement or any guarantee of performance thereof (including as a result</w:t>
      </w:r>
    </w:p>
    <w:p>
      <w:pPr>
        <w:spacing w:after="0" w:line="222" w:lineRule="auto"/>
        <w:rPr>
          <w:sz w:val="20"/>
          <w:szCs w:val="20"/>
          <w:color w:val="auto"/>
        </w:rPr>
      </w:pPr>
      <w:r>
        <w:rPr>
          <w:rFonts w:ascii="Times New Roman" w:cs="Times New Roman" w:eastAsia="Times New Roman" w:hAnsi="Times New Roman"/>
          <w:sz w:val="19"/>
          <w:szCs w:val="19"/>
          <w:color w:val="auto"/>
        </w:rPr>
        <w:t>of any contest by you regarding the amount of any payment or benefits pursuant to this Agreement), plus in each case interest on any delayed</w:t>
      </w:r>
    </w:p>
    <w:p>
      <w:pPr>
        <w:spacing w:after="0" w:line="204" w:lineRule="auto"/>
        <w:rPr>
          <w:sz w:val="20"/>
          <w:szCs w:val="20"/>
          <w:color w:val="auto"/>
        </w:rPr>
      </w:pPr>
      <w:r>
        <w:rPr>
          <w:rFonts w:ascii="Times New Roman" w:cs="Times New Roman" w:eastAsia="Times New Roman" w:hAnsi="Times New Roman"/>
          <w:sz w:val="20"/>
          <w:szCs w:val="20"/>
          <w:color w:val="auto"/>
        </w:rPr>
        <w:t>payment at the applicable federal rate provided for in Section 7872(f)(2)(A) of the Code. Notwithstanding anything in this Agreement to the contrary, (a) no provision of this Agreement shall operate to extend the life of any option beyond the term originally stated in the applicable</w:t>
      </w:r>
    </w:p>
    <w:p>
      <w:pPr>
        <w:spacing w:after="0" w:line="211" w:lineRule="auto"/>
        <w:rPr>
          <w:sz w:val="20"/>
          <w:szCs w:val="20"/>
          <w:color w:val="auto"/>
        </w:rPr>
      </w:pPr>
      <w:r>
        <w:rPr>
          <w:rFonts w:ascii="Times New Roman" w:cs="Times New Roman" w:eastAsia="Times New Roman" w:hAnsi="Times New Roman"/>
          <w:sz w:val="20"/>
          <w:szCs w:val="20"/>
          <w:color w:val="auto"/>
        </w:rPr>
        <w:t>option grant or option agreement; (b) the reimbursement of a fee or expense pursuant to this Section 12 shall be provided not later than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calendar year following the calendar year in which the fee or expense was incurred, (c) the amount of fees and expenses eligible for reimbursement during any calendar year may not affect the amount of fees and expenses eligible for reimbursement in any other calendar</w:t>
      </w:r>
    </w:p>
    <w:p>
      <w:pPr>
        <w:spacing w:after="0" w:line="211" w:lineRule="auto"/>
        <w:rPr>
          <w:sz w:val="20"/>
          <w:szCs w:val="20"/>
          <w:color w:val="auto"/>
        </w:rPr>
      </w:pPr>
      <w:r>
        <w:rPr>
          <w:rFonts w:ascii="Times New Roman" w:cs="Times New Roman" w:eastAsia="Times New Roman" w:hAnsi="Times New Roman"/>
          <w:sz w:val="20"/>
          <w:szCs w:val="20"/>
          <w:color w:val="auto"/>
        </w:rPr>
        <w:t>year, (d) the right to reimbursement under this Section 12 is not subject to liquidation or exchange for another benefit and (e) the obligation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of Skyworks under this Section 12 shall survive the termination for any reason of this Agreement and shall remain in effect until the applicable statute of limitation has expired with respect to any claim or contest (regardless of the outcome thereof) by Skyworks, you or</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others regarding the validity or enforceability of, or liability under, any provision of this Agreement or any guarantee of performance thereof (including as a result of any contest by you regarding the amount of any payment or benefits pursuant to this Agreement).</w:t>
      </w:r>
    </w:p>
    <w:p>
      <w:pPr>
        <w:spacing w:after="0" w:line="149"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20"/>
          <w:szCs w:val="20"/>
          <w:color w:val="auto"/>
        </w:rPr>
        <w:t>12.2. This Agreement is intended to comply with or be exempt from Section 409A of the Code and any related regulations or other applicable guidance promulgated thereunder (collectively, “Section 409A”), to the extent applicable. It is the intent of the parties hereto that</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all severance payments and benefits provided pursuant to this Agreement qualify as short-term deferrals, as defined in Treasury Regulation §1.409A-1(a)(4), separation pay due to an involuntary separation from service under Treasury Regulation §1.409A-1(b)(9)(iii),</w:t>
      </w:r>
    </w:p>
    <w:p>
      <w:pPr>
        <w:spacing w:after="0" w:line="211" w:lineRule="auto"/>
        <w:rPr>
          <w:sz w:val="20"/>
          <w:szCs w:val="20"/>
          <w:color w:val="auto"/>
        </w:rPr>
      </w:pPr>
      <w:r>
        <w:rPr>
          <w:rFonts w:ascii="Times New Roman" w:cs="Times New Roman" w:eastAsia="Times New Roman" w:hAnsi="Times New Roman"/>
          <w:sz w:val="20"/>
          <w:szCs w:val="20"/>
          <w:color w:val="auto"/>
        </w:rPr>
        <w:t>reimbursement of medical benefits under Treasury Regulation §1.409A-1(b)(9)(v)(B), and/or limited payments, as defined in Treasury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Regulation §1.409A-1(b)(9)(v)(D), to the extent applicable. If (a) it is determined that any payments or benefits provided pursuant to this Agreement that are paid upon “separation from service” (as that term is used in Section 409A) constitute deferred compensation for purposes</w:t>
      </w:r>
    </w:p>
    <w:p>
      <w:pPr>
        <w:spacing w:after="0" w:line="222" w:lineRule="auto"/>
        <w:rPr>
          <w:sz w:val="20"/>
          <w:szCs w:val="20"/>
          <w:color w:val="auto"/>
        </w:rPr>
      </w:pPr>
      <w:r>
        <w:rPr>
          <w:rFonts w:ascii="Times New Roman" w:cs="Times New Roman" w:eastAsia="Times New Roman" w:hAnsi="Times New Roman"/>
          <w:sz w:val="19"/>
          <w:szCs w:val="19"/>
          <w:color w:val="auto"/>
        </w:rPr>
        <w:t>of Section 409A (after taking into account the exceptions listed in the prior sentence and/or any other applicable exceptions) and (b) you are a</w:t>
      </w:r>
    </w:p>
    <w:p>
      <w:pPr>
        <w:ind w:right="20"/>
        <w:spacing w:after="0" w:line="215" w:lineRule="auto"/>
        <w:rPr>
          <w:sz w:val="20"/>
          <w:szCs w:val="20"/>
          <w:color w:val="auto"/>
        </w:rPr>
      </w:pPr>
      <w:r>
        <w:rPr>
          <w:rFonts w:ascii="Times New Roman" w:cs="Times New Roman" w:eastAsia="Times New Roman" w:hAnsi="Times New Roman"/>
          <w:sz w:val="19"/>
          <w:szCs w:val="19"/>
          <w:color w:val="auto"/>
        </w:rPr>
        <w:t>“specified employee” (as that term is used in Section 409A) when your employment terminates, such payments or benefits (or portions thereof) that constitute deferred compensation payable upon a separation from service that are to be paid or provided during the six (6) month</w:t>
      </w:r>
    </w:p>
    <w:p>
      <w:pPr>
        <w:spacing w:after="0" w:line="222" w:lineRule="auto"/>
        <w:rPr>
          <w:sz w:val="20"/>
          <w:szCs w:val="20"/>
          <w:color w:val="auto"/>
        </w:rPr>
      </w:pPr>
      <w:r>
        <w:rPr>
          <w:rFonts w:ascii="Times New Roman" w:cs="Times New Roman" w:eastAsia="Times New Roman" w:hAnsi="Times New Roman"/>
          <w:sz w:val="19"/>
          <w:szCs w:val="19"/>
          <w:color w:val="auto"/>
        </w:rPr>
        <w:t>period following termination of your employment shall not be paid or provided until the first business day after the date that is six (6) months</w:t>
      </w:r>
    </w:p>
    <w:p>
      <w:pPr>
        <w:jc w:val="both"/>
        <w:ind w:right="20"/>
        <w:spacing w:after="0" w:line="204" w:lineRule="auto"/>
        <w:rPr>
          <w:sz w:val="20"/>
          <w:szCs w:val="20"/>
          <w:color w:val="auto"/>
        </w:rPr>
      </w:pPr>
      <w:r>
        <w:rPr>
          <w:rFonts w:ascii="Times New Roman" w:cs="Times New Roman" w:eastAsia="Times New Roman" w:hAnsi="Times New Roman"/>
          <w:sz w:val="20"/>
          <w:szCs w:val="20"/>
          <w:color w:val="auto"/>
        </w:rPr>
        <w:t>following termination of your employment or, if earlier, the first business day following the date of your death. The payment that is made pursuant to the prior sentence shall include the cumulative amount of any amounts that could not be paid during the six (6) month period.</w:t>
      </w:r>
    </w:p>
    <w:p>
      <w:pPr>
        <w:spacing w:after="0" w:line="197" w:lineRule="auto"/>
        <w:rPr>
          <w:sz w:val="20"/>
          <w:szCs w:val="20"/>
          <w:color w:val="auto"/>
        </w:rPr>
      </w:pPr>
      <w:r>
        <w:rPr>
          <w:rFonts w:ascii="Times New Roman" w:cs="Times New Roman" w:eastAsia="Times New Roman" w:hAnsi="Times New Roman"/>
          <w:sz w:val="20"/>
          <w:szCs w:val="20"/>
          <w:color w:val="auto"/>
        </w:rPr>
        <w:t>Each installment payment under this Agreement shall be treated as a separate payment as defined under Treasury Regulation §1.409A-2(b)</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98" w:name="page99"/>
    <w:bookmarkEnd w:id="98"/>
    <w:p>
      <w:pPr>
        <w:spacing w:after="0" w:line="200" w:lineRule="exact"/>
        <w:rPr>
          <w:sz w:val="20"/>
          <w:szCs w:val="20"/>
          <w:color w:val="auto"/>
        </w:rPr>
      </w:pPr>
    </w:p>
    <w:p>
      <w:pPr>
        <w:spacing w:after="0" w:line="246"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12.3. Except as expressly provided in this Section 12, neither you nor Skyworks shall have the right to accelerate or to defer the delivery of the payments or benefits to be made or provided under this Agreement and in no event shall you have the right to designate in which tax year</w:t>
      </w:r>
    </w:p>
    <w:p>
      <w:pPr>
        <w:spacing w:after="0" w:line="207" w:lineRule="auto"/>
        <w:rPr>
          <w:sz w:val="20"/>
          <w:szCs w:val="20"/>
          <w:color w:val="auto"/>
        </w:rPr>
      </w:pPr>
      <w:r>
        <w:rPr>
          <w:rFonts w:ascii="Times New Roman" w:cs="Times New Roman" w:eastAsia="Times New Roman" w:hAnsi="Times New Roman"/>
          <w:sz w:val="19"/>
          <w:szCs w:val="19"/>
          <w:color w:val="auto"/>
        </w:rPr>
        <w:t>a payment will be made or benefit will be provided. Accordingly, if the sixty (60) day period during which the Release (described in Section</w:t>
      </w:r>
    </w:p>
    <w:p>
      <w:pPr>
        <w:spacing w:after="0" w:line="1" w:lineRule="exact"/>
        <w:rPr>
          <w:sz w:val="20"/>
          <w:szCs w:val="20"/>
          <w:color w:val="auto"/>
        </w:rPr>
      </w:pPr>
    </w:p>
    <w:p>
      <w:pPr>
        <w:jc w:val="both"/>
        <w:ind w:firstLine="8"/>
        <w:spacing w:after="0" w:line="215" w:lineRule="auto"/>
        <w:tabs>
          <w:tab w:leader="none" w:pos="231"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must be executed, delivered, and become irrevocable straddles two tax years, no payments or benefits will be made or provided to you before the first business day of the second tax year. Notwithstanding anything in this Agreement to the contrary, references to employment termination in Sections 1, 2, or 4, as applicable, shall be interpreted to mean “separation from service,” as that term is used in Section 409A of the Code and related regulations. Accordingly, payments to be made under Sections 1, 2, or 4, as applicable, shall not be made unless a separation from service (within the meaning of Section 409A of the Code and related regulations) shall have occurred.</w:t>
      </w:r>
    </w:p>
    <w:p>
      <w:pPr>
        <w:spacing w:after="0" w:line="163"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0"/>
          <w:szCs w:val="20"/>
          <w:color w:val="auto"/>
        </w:rPr>
        <w:t>12.4. Skyworks may withhold (or cause to be withheld) from any payments made under this Agreement, all federal, state, city or other taxes as shall be required to be withheld pursuant to any law or governmental regulation or ruling.</w:t>
      </w:r>
    </w:p>
    <w:p>
      <w:pPr>
        <w:spacing w:after="0" w:line="15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12.5.</w:t>
      </w:r>
      <w:r>
        <w:rPr>
          <w:sz w:val="20"/>
          <w:szCs w:val="20"/>
          <w:color w:val="auto"/>
        </w:rPr>
        <w:tab/>
      </w:r>
      <w:r>
        <w:rPr>
          <w:rFonts w:ascii="Times New Roman" w:cs="Times New Roman" w:eastAsia="Times New Roman" w:hAnsi="Times New Roman"/>
          <w:sz w:val="19"/>
          <w:szCs w:val="19"/>
          <w:color w:val="auto"/>
        </w:rPr>
        <w:t>Skyworks shall require any successor (whether direct or indirect, by purchase, merger, consolidation, reorganization or otherwise) to</w:t>
      </w:r>
    </w:p>
    <w:p>
      <w:pPr>
        <w:spacing w:after="0" w:line="204" w:lineRule="auto"/>
        <w:rPr>
          <w:sz w:val="20"/>
          <w:szCs w:val="20"/>
          <w:color w:val="auto"/>
        </w:rPr>
      </w:pPr>
      <w:r>
        <w:rPr>
          <w:rFonts w:ascii="Times New Roman" w:cs="Times New Roman" w:eastAsia="Times New Roman" w:hAnsi="Times New Roman"/>
          <w:sz w:val="20"/>
          <w:szCs w:val="20"/>
          <w:color w:val="auto"/>
        </w:rPr>
        <w:t>all or substantially all of the business or assets of Skyworks (the “Acquisition”), as a condition precedent to the Acquisition, to expressly assume and agree in writing, with a copy to you, to perform this Agreement in the same manner and to the same extent as Skyworks would</w:t>
      </w:r>
    </w:p>
    <w:p>
      <w:pPr>
        <w:spacing w:after="0" w:line="211" w:lineRule="auto"/>
        <w:rPr>
          <w:sz w:val="20"/>
          <w:szCs w:val="20"/>
          <w:color w:val="auto"/>
        </w:rPr>
      </w:pPr>
      <w:r>
        <w:rPr>
          <w:rFonts w:ascii="Times New Roman" w:cs="Times New Roman" w:eastAsia="Times New Roman" w:hAnsi="Times New Roman"/>
          <w:sz w:val="20"/>
          <w:szCs w:val="20"/>
          <w:color w:val="auto"/>
        </w:rPr>
        <w:t>be required to perform this Agreement as if no such succession had taken place. You acknowledge and agree, and Skyworks acknowledges</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and agrees, that, without limitation to any other provision of this Agreement which is also “material,” this provision is a material term of this Agreement and an important clause benefiting you, to assure you that the obligation of Skyworks to provide you with the existing benefits</w:t>
      </w:r>
    </w:p>
    <w:p>
      <w:pPr>
        <w:spacing w:after="0" w:line="228" w:lineRule="auto"/>
        <w:rPr>
          <w:sz w:val="20"/>
          <w:szCs w:val="20"/>
          <w:color w:val="auto"/>
        </w:rPr>
      </w:pPr>
      <w:r>
        <w:rPr>
          <w:rFonts w:ascii="Times New Roman" w:cs="Times New Roman" w:eastAsia="Times New Roman" w:hAnsi="Times New Roman"/>
          <w:sz w:val="20"/>
          <w:szCs w:val="20"/>
          <w:color w:val="auto"/>
        </w:rPr>
        <w:t>made available under this Agreement, are adhered to by any successor to Skyworks, and the provision also benefits Skyworks in that the assurance to you afforded by this provision is an important retention incentive to have you remain in the employment of Skyworks.</w:t>
      </w:r>
    </w:p>
    <w:p>
      <w:pPr>
        <w:spacing w:after="0" w:line="14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12.6.</w:t>
      </w:r>
      <w:r>
        <w:rPr>
          <w:sz w:val="20"/>
          <w:szCs w:val="20"/>
          <w:color w:val="auto"/>
        </w:rPr>
        <w:tab/>
      </w:r>
      <w:r>
        <w:rPr>
          <w:rFonts w:ascii="Times New Roman" w:cs="Times New Roman" w:eastAsia="Times New Roman" w:hAnsi="Times New Roman"/>
          <w:sz w:val="19"/>
          <w:szCs w:val="19"/>
          <w:color w:val="auto"/>
        </w:rPr>
        <w:t>This Agreement may be modified only by a written instrument executed by both parties.</w:t>
      </w:r>
    </w:p>
    <w:p>
      <w:pPr>
        <w:spacing w:after="0" w:line="18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12.7.</w:t>
        <w:tab/>
        <w:t>This Agreement and any disputes hereunder shall be governed by and construed in accordance with the internal laws of the State of</w:t>
      </w:r>
    </w:p>
    <w:p>
      <w:pPr>
        <w:spacing w:after="0" w:line="221" w:lineRule="auto"/>
        <w:rPr>
          <w:sz w:val="20"/>
          <w:szCs w:val="20"/>
          <w:color w:val="auto"/>
        </w:rPr>
      </w:pPr>
      <w:r>
        <w:rPr>
          <w:rFonts w:ascii="Times New Roman" w:cs="Times New Roman" w:eastAsia="Times New Roman" w:hAnsi="Times New Roman"/>
          <w:sz w:val="20"/>
          <w:szCs w:val="20"/>
          <w:color w:val="auto"/>
        </w:rPr>
        <w:t>California without giving effect to any choice or conflict of law provision or rule (whether of California or any other jurisdiction) that would cause the application of laws of any jurisdiction other than those of California.</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Please sign both copies of this Agreement and return one to Skyworks.</w:t>
      </w:r>
    </w:p>
    <w:p>
      <w:pPr>
        <w:spacing w:after="0" w:line="25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Sincerely,</w:t>
      </w:r>
    </w:p>
    <w:p>
      <w:pPr>
        <w:spacing w:after="0" w:line="297" w:lineRule="exact"/>
        <w:rPr>
          <w:sz w:val="20"/>
          <w:szCs w:val="20"/>
          <w:color w:val="auto"/>
        </w:rPr>
      </w:pPr>
    </w:p>
    <w:p>
      <w:pPr>
        <w:ind w:left="80"/>
        <w:spacing w:after="0"/>
        <w:tabs>
          <w:tab w:leader="none" w:pos="5680" w:val="left"/>
        </w:tabs>
        <w:rPr>
          <w:sz w:val="20"/>
          <w:szCs w:val="20"/>
          <w:color w:val="auto"/>
        </w:rPr>
      </w:pPr>
      <w:r>
        <w:rPr>
          <w:rFonts w:ascii="Times New Roman" w:cs="Times New Roman" w:eastAsia="Times New Roman" w:hAnsi="Times New Roman"/>
          <w:sz w:val="20"/>
          <w:szCs w:val="20"/>
          <w:color w:val="auto"/>
        </w:rPr>
        <w:t>SKYWORKS SOLUTIONS, INC.</w:t>
      </w:r>
      <w:r>
        <w:rPr>
          <w:sz w:val="20"/>
          <w:szCs w:val="20"/>
          <w:color w:val="auto"/>
        </w:rPr>
        <w:tab/>
      </w:r>
      <w:r>
        <w:rPr>
          <w:rFonts w:ascii="Times New Roman" w:cs="Times New Roman" w:eastAsia="Times New Roman" w:hAnsi="Times New Roman"/>
          <w:sz w:val="19"/>
          <w:szCs w:val="19"/>
          <w:color w:val="auto"/>
        </w:rPr>
        <w:t>AGREED TO:</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 Liam K. Griffin</w:t>
            </w:r>
          </w:p>
        </w:tc>
        <w:tc>
          <w:tcPr>
            <w:tcW w:w="280" w:type="dxa"/>
            <w:vAlign w:val="bottom"/>
          </w:tcPr>
          <w:p>
            <w:pPr>
              <w:spacing w:after="0"/>
              <w:rPr>
                <w:sz w:val="22"/>
                <w:szCs w:val="22"/>
                <w:color w:val="auto"/>
              </w:rPr>
            </w:pPr>
          </w:p>
        </w:tc>
        <w:tc>
          <w:tcPr>
            <w:tcW w:w="56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 Karilee Durham</w:t>
            </w:r>
          </w:p>
        </w:tc>
        <w:tc>
          <w:tcPr>
            <w:tcW w:w="0" w:type="dxa"/>
            <w:vAlign w:val="bottom"/>
          </w:tcPr>
          <w:p>
            <w:pPr>
              <w:spacing w:after="0"/>
              <w:rPr>
                <w:sz w:val="1"/>
                <w:szCs w:val="1"/>
                <w:color w:val="auto"/>
              </w:rPr>
            </w:pPr>
          </w:p>
        </w:tc>
      </w:tr>
      <w:tr>
        <w:trPr>
          <w:trHeight w:val="244"/>
        </w:trPr>
        <w:tc>
          <w:tcPr>
            <w:tcW w:w="56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Liam K. Griffin</w:t>
            </w:r>
          </w:p>
        </w:tc>
        <w:tc>
          <w:tcPr>
            <w:tcW w:w="56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Karilee Durham</w:t>
            </w:r>
          </w:p>
        </w:tc>
        <w:tc>
          <w:tcPr>
            <w:tcW w:w="0" w:type="dxa"/>
            <w:vAlign w:val="bottom"/>
          </w:tcPr>
          <w:p>
            <w:pPr>
              <w:spacing w:after="0"/>
              <w:rPr>
                <w:sz w:val="1"/>
                <w:szCs w:val="1"/>
                <w:color w:val="auto"/>
              </w:rPr>
            </w:pPr>
          </w:p>
        </w:tc>
      </w:tr>
      <w:tr>
        <w:trPr>
          <w:trHeight w:val="258"/>
        </w:trPr>
        <w:tc>
          <w:tcPr>
            <w:tcW w:w="56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Chairman, Chief Executive Officer and President</w:t>
            </w:r>
          </w:p>
        </w:tc>
        <w:tc>
          <w:tcPr>
            <w:tcW w:w="560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Date:</w:t>
            </w:r>
          </w:p>
        </w:tc>
        <w:tc>
          <w:tcPr>
            <w:tcW w:w="0" w:type="dxa"/>
            <w:vAlign w:val="bottom"/>
          </w:tcPr>
          <w:p>
            <w:pPr>
              <w:spacing w:after="0"/>
              <w:rPr>
                <w:sz w:val="1"/>
                <w:szCs w:val="1"/>
                <w:color w:val="auto"/>
              </w:rPr>
            </w:pPr>
          </w:p>
        </w:tc>
      </w:tr>
      <w:tr>
        <w:trPr>
          <w:trHeight w:val="214"/>
        </w:trPr>
        <w:tc>
          <w:tcPr>
            <w:tcW w:w="5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5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May 10, 2023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40"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Release of Claims</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 xml:space="preserve">In consideration for receiving benefits pursuant to Sections 1, 2, or 3, as applicable, of the Amended and Restated Change in Control/Severance Agreement dated May 10, 2023, between you and Skyworks Solutions, Inc. (the “Company”) (the “Agreement”), you, on behalf of yourself and your representatives, agents, estate, heirs, successors and assigns, agree to and do hereby fully, forever, irrevocably and unconditionally waive, release and discharge the Company, and each of its affiliated or related entities, parents, subsidiaries, predecessors, successors, assigns, divisions, owners, stockholders, partners, directors, officers, attorneys, insurers, benefit plans, employees and agents, whether previously or hereinafter affiliated in any manner, as well as all persons or entities acting by, through, or in concert with any of them (collectively, the “Released Parties”), from any and all claims, debts, contracts, obligations, promises, controversies, agreements, liabilities, charges, demands, actions, suits, disputes, agreements, damages, attorneys’ fees, and complaints of every kind and nature whatsoever, whether or not now known, suspected, claimed, matured or unmatured, existing or contingent, from the beginning of time until the moment you have signed this Agreement, against the Released Parties (whether directly or indirectly), or any of them, by reason of any act, event or omission concerning any matter, cause or thing, including, but not limited to, any and all claims arising out of or relating to your employment with and/or separation from the Company, including without limiting the generality of the foregoing, all claims under Title VII of the Civil Rights Act of 1964, 42 U.S.C. § 2000e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the Age Discrimination in Employment Act of 1967, 29 U.S.C. § 621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(including the Older Workers Benefit Protection Act), the Genetic Information Nondiscrimination Act of 2008, 42 U.S.C. § 2000ff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the Rehabilitation Act of 1973, 29 U.S.C. § 701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the Fair Credit Reporting Act, 15 U.S.C. § 1681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the Equal Pay Act of 1963, 29 U.S.C. § 206(d), the Americans With Disabilities Act of 1990, 42 U.S.C. § 12101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the Family and Medical Leave Act of 1993, 29 U.S.C. § 2601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the Worker Adjustment Retraining and Notification Act, 29 U.S.C. § 2101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the Employee Retirement Income Security Act of 1974, 29 U.S.C. § 1001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and any applicable Executive Orders, all as amended; all claims arising out of the California Fair Employment and Housing Act, Cal. Gov’t. Code § 12900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the California Equal Pay Act, Cal. Lab. Code § 1197.5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the California Family Rights Act, Cal. Gov’t. Code § 12945.1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and § 19702.3, the Cal-WARN Act, Cal. Lab. Code §§ 1400-1408, Cal. Lab. Code § 233 (California’s kin care law), Cal. Code Regs. tit. 2, §§ 7291.2– 7291.16 (California’s pregnancy leave law), California Unruh Civil Rights Act, Cal. Civ. Code § 51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and Cal. Lab. Code §§ 98.6 and 1102.5 (California whistleblower protection laws), all as amended; all common law claims including, but not limited to, actions for wrongful discharge, breach of contract, infliction of emotional distress, defamation, misrepresentation, and fraud; all claims to any non-vested ownership interest in the Company or any of its affiliates, contractual or otherwise; all state and federal whistleblower claims to the maximum extent permitted by law; and any claim or damage arising out of your employment with and/or separation from the Company (including a claim for retaliation) under any common law theory</w:t>
      </w:r>
    </w:p>
    <w:p>
      <w:pPr>
        <w:spacing w:after="0" w:line="23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or any federal, state or local statute or ordinance not expressly referenced above; </w:t>
      </w:r>
      <w:r>
        <w:rPr>
          <w:rFonts w:ascii="Times New Roman" w:cs="Times New Roman" w:eastAsia="Times New Roman" w:hAnsi="Times New Roman"/>
          <w:sz w:val="20"/>
          <w:szCs w:val="20"/>
          <w:i w:val="1"/>
          <w:iCs w:val="1"/>
          <w:color w:val="auto"/>
        </w:rPr>
        <w:t>provided, however, that this release of claims does not waive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any claims that cannot be waived as a matter of law, and it also does not prevent you from filing a charge with, cooperating with, or participating in any investigation or proceeding before, the Equal Employment Opportunity Commission or a state fair employment practices agency (except that you acknowledge that you may not recover any monetary benefits in connection with any such charge, investigation, or proceeding, and you further waive any rights or claims to any payment, benefit, attorneys’ fees or other remedial relief in connection with any such charge, investigation or proceeding</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ectPr>
          <w:pgSz w:w="11900" w:h="16838" w:orient="portrait"/>
          <w:cols w:equalWidth="0" w:num="1">
            <w:col w:w="11240"/>
          </w:cols>
          <w:pgMar w:left="320" w:top="1328" w:right="339" w:bottom="1440" w:gutter="0" w:footer="0" w:header="0"/>
        </w:sectPr>
      </w:pPr>
    </w:p>
    <w:bookmarkStart w:id="101" w:name="page102"/>
    <w:bookmarkEnd w:id="101"/>
    <w:p>
      <w:pPr>
        <w:spacing w:after="0" w:line="283" w:lineRule="auto"/>
        <w:rPr>
          <w:sz w:val="20"/>
          <w:szCs w:val="20"/>
          <w:color w:val="auto"/>
        </w:rPr>
      </w:pPr>
      <w:r>
        <w:rPr>
          <w:rFonts w:ascii="Times New Roman" w:cs="Times New Roman" w:eastAsia="Times New Roman" w:hAnsi="Times New Roman"/>
          <w:sz w:val="20"/>
          <w:szCs w:val="20"/>
          <w:color w:val="auto"/>
        </w:rPr>
        <w:t>You knowingly and voluntarily waive any and all rights you may have under Section 1542 of the California Civil Code, or any other similar state statutes or laws, regarding the waiver of unknown claims.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1542 states:</w:t>
      </w:r>
    </w:p>
    <w:p>
      <w:pPr>
        <w:spacing w:after="0" w:line="229" w:lineRule="exact"/>
        <w:rPr>
          <w:sz w:val="20"/>
          <w:szCs w:val="20"/>
          <w:color w:val="auto"/>
        </w:rPr>
      </w:pPr>
    </w:p>
    <w:p>
      <w:pPr>
        <w:jc w:val="both"/>
        <w:ind w:left="660" w:right="700"/>
        <w:spacing w:after="0" w:line="258" w:lineRule="auto"/>
        <w:rPr>
          <w:sz w:val="20"/>
          <w:szCs w:val="20"/>
          <w:color w:val="auto"/>
        </w:rPr>
      </w:pPr>
      <w:r>
        <w:rPr>
          <w:rFonts w:ascii="Times New Roman" w:cs="Times New Roman" w:eastAsia="Times New Roman" w:hAnsi="Times New Roman"/>
          <w:sz w:val="20"/>
          <w:szCs w:val="20"/>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Notwithstanding the provisions of Section 1542, or any similar state statutes or laws, and for the purpose of implementing a full and complete release and discharge of the Released Parties, you expressly acknowledge that this Agreement is intended to include and does include in its effect, without limitation, all claims which you do not know or suspect to exist in your favor against the Released Parties, or any of them, at the moment of execution hereof, and that this Agreement expressly contemplates the extinguishment of all such claims.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SIGNING THIS AGREEMENT, YOU REPRESENT AND AGREE THAT:</w:t>
      </w:r>
    </w:p>
    <w:p>
      <w:pPr>
        <w:spacing w:after="0" w:line="202" w:lineRule="exact"/>
        <w:rPr>
          <w:sz w:val="20"/>
          <w:szCs w:val="20"/>
          <w:color w:val="auto"/>
        </w:rPr>
      </w:pPr>
    </w:p>
    <w:p>
      <w:pPr>
        <w:jc w:val="both"/>
        <w:ind w:left="660" w:hanging="652"/>
        <w:spacing w:after="0" w:line="220" w:lineRule="auto"/>
        <w:tabs>
          <w:tab w:leader="none" w:pos="660"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UNDERSTAND ALL OF ITS TERMS AND KNOW THAT YOU ARE GIVING UP IMPORTANT RIGHTS, INCLUDING BUT NOT LIMITED TO, RIGHTS UNDER THE AGE DISCRIMINATION IN EMPLOYMENT ACT OF 1967, AS AMENDED BY THE OLDER WORKERS BENEFIT PROTECTION ACT; TITLE VII OF THE CIVIL RIGHTS ACT OF 1964, AS AMENDED; THE EQUAL PAY ACT OF 1963; THE AMERICANS WITH DISABILITIES ACT OF 1990; AND THE EMPLOYEE RETIREMENT INCOME SECURITY ACT OF 1974, AS AMENDED;</w:t>
      </w:r>
    </w:p>
    <w:p>
      <w:pPr>
        <w:spacing w:after="0" w:line="147" w:lineRule="exact"/>
        <w:rPr>
          <w:rFonts w:ascii="Times New Roman" w:cs="Times New Roman" w:eastAsia="Times New Roman" w:hAnsi="Times New Roman"/>
          <w:sz w:val="20"/>
          <w:szCs w:val="20"/>
          <w:color w:val="auto"/>
        </w:rPr>
      </w:pPr>
    </w:p>
    <w:p>
      <w:pPr>
        <w:jc w:val="both"/>
        <w:ind w:left="660" w:hanging="652"/>
        <w:spacing w:after="0" w:line="230" w:lineRule="auto"/>
        <w:tabs>
          <w:tab w:leader="none" w:pos="660"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ARE ADVISED TO CONSULT WITH AN ATTORNEY BEFORE EXECUTING IT AND YOU HAVE EITHER DONE SO OR, AFTER CAREFUL READING AND CONSIDERATION, YOU HAVE CHOSEN NOT TO DO SO OF YOUR OWN VOLITION;</w:t>
      </w:r>
    </w:p>
    <w:p>
      <w:pPr>
        <w:spacing w:after="0" w:line="148"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HAVE HAD AT LEAST 21 DAYS FROM THE DATE OF YOUR RECEIPT OF THIS AGREEMENT SUBSTANTIALLY IN ITS FINAL FORM ON _______________ __, _____ TO CONSIDER IT; AND</w:t>
      </w:r>
    </w:p>
    <w:p>
      <w:pPr>
        <w:spacing w:after="0" w:line="161" w:lineRule="exact"/>
        <w:rPr>
          <w:rFonts w:ascii="Times New Roman" w:cs="Times New Roman" w:eastAsia="Times New Roman" w:hAnsi="Times New Roman"/>
          <w:sz w:val="20"/>
          <w:szCs w:val="20"/>
          <w:color w:val="auto"/>
        </w:rPr>
      </w:pPr>
    </w:p>
    <w:p>
      <w:pPr>
        <w:jc w:val="both"/>
        <w:ind w:left="660" w:hanging="652"/>
        <w:spacing w:after="0" w:line="226" w:lineRule="auto"/>
        <w:tabs>
          <w:tab w:leader="none" w:pos="660"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UNDERSTAND THAT YOU HAVE SEVEN DAYS AFTER THE EXECUTION OF THIS AGREEMENT TO REVOKE IT AND THAT THIS AGREEMENT SHALL NOT BECOME EFFECTIVE OR ENFORCEABLE UNTIL THE REVOCATION PERIOD HAS EXPIRED.</w:t>
      </w: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Agreed: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40005</wp:posOffset>
            </wp:positionV>
            <wp:extent cx="244284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5">
                      <a:extLst>
                        <a:ext uri="{28A0092B-C50C-407E-A947-70E740481C1C}"/>
                      </a:extLst>
                    </a:blip>
                    <a:srcRect/>
                    <a:stretch>
                      <a:fillRect/>
                    </a:stretch>
                  </pic:blipFill>
                  <pic:spPr bwMode="auto">
                    <a:xfrm>
                      <a:off x="0" y="0"/>
                      <a:ext cx="2442845"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40005</wp:posOffset>
            </wp:positionV>
            <wp:extent cx="20916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6">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61"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20"/>
          <w:szCs w:val="20"/>
          <w:color w:val="auto"/>
        </w:rPr>
        <w:t>Date</w:t>
      </w:r>
    </w:p>
    <w:p>
      <w:pPr>
        <w:spacing w:after="0" w:line="3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Acknowledged: SKYWORKS SOLUTIONS, INC.</w:t>
      </w: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40005</wp:posOffset>
            </wp:positionV>
            <wp:extent cx="244284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7">
                      <a:extLst>
                        <a:ext uri="{28A0092B-C50C-407E-A947-70E740481C1C}"/>
                      </a:extLst>
                    </a:blip>
                    <a:srcRect/>
                    <a:stretch>
                      <a:fillRect/>
                    </a:stretch>
                  </pic:blipFill>
                  <pic:spPr bwMode="auto">
                    <a:xfrm>
                      <a:off x="0" y="0"/>
                      <a:ext cx="244284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40005</wp:posOffset>
            </wp:positionV>
            <wp:extent cx="209169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8">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61"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20"/>
          <w:szCs w:val="20"/>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w:t>
      </w:r>
    </w:p>
    <w:p>
      <w:pPr>
        <w:sectPr>
          <w:pgSz w:w="11900" w:h="16838" w:orient="portrait"/>
          <w:cols w:equalWidth="0" w:num="1">
            <w:col w:w="11240"/>
          </w:cols>
          <w:pgMar w:left="320" w:top="1332" w:right="339" w:bottom="1440" w:gutter="0" w:footer="0" w:header="0"/>
        </w:sectPr>
      </w:pPr>
    </w:p>
    <w:bookmarkStart w:id="102" w:name="page103"/>
    <w:bookmarkEnd w:id="10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2917190</wp:posOffset>
            </wp:positionH>
            <wp:positionV relativeFrom="page">
              <wp:posOffset>88900</wp:posOffset>
            </wp:positionV>
            <wp:extent cx="1722755" cy="5657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9">
                      <a:clrChange>
                        <a:clrFrom>
                          <a:srgbClr val="FFFFFF"/>
                        </a:clrFrom>
                        <a:clrTo>
                          <a:srgbClr val="FFFFFF">
                            <a:alpha val="0"/>
                          </a:srgbClr>
                        </a:clrTo>
                      </a:clrChange>
                      <a:extLst>
                        <a:ext uri="{28A0092B-C50C-407E-A947-70E740481C1C}"/>
                      </a:extLst>
                    </a:blip>
                    <a:srcRect/>
                    <a:stretch>
                      <a:fillRect/>
                    </a:stretch>
                  </pic:blipFill>
                  <pic:spPr bwMode="auto">
                    <a:xfrm>
                      <a:off x="0" y="0"/>
                      <a:ext cx="1722755" cy="565785"/>
                    </a:xfrm>
                    <a:prstGeom prst="rect">
                      <a:avLst/>
                    </a:prstGeom>
                    <a:noFill/>
                  </pic:spPr>
                </pic:pic>
              </a:graphicData>
            </a:graphic>
          </wp:anchor>
        </w:drawing>
      </w:r>
    </w:p>
    <w:p>
      <w:pPr>
        <w:spacing w:after="0" w:line="2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10.17</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May 10,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Reza Kasnavi</w:t>
      </w:r>
    </w:p>
    <w:p>
      <w:pPr>
        <w:spacing w:after="0" w:line="24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Re:</w:t>
      </w:r>
      <w:r>
        <w:rPr>
          <w:sz w:val="20"/>
          <w:szCs w:val="20"/>
          <w:color w:val="auto"/>
        </w:rPr>
        <w:tab/>
      </w:r>
      <w:r>
        <w:rPr>
          <w:rFonts w:ascii="Times New Roman" w:cs="Times New Roman" w:eastAsia="Times New Roman" w:hAnsi="Times New Roman"/>
          <w:sz w:val="19"/>
          <w:szCs w:val="19"/>
          <w:color w:val="auto"/>
        </w:rPr>
        <w:t>Amended and Restated Change in Control / Severance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Reza: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letter agreement (the “Agreement”) sets out the severance arrangements concerning your employment with Skyworks Solutions,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(“Skyworks”).</w:t>
      </w:r>
    </w:p>
    <w:p>
      <w:pPr>
        <w:spacing w:after="0" w:line="196" w:lineRule="exact"/>
        <w:rPr>
          <w:sz w:val="20"/>
          <w:szCs w:val="20"/>
          <w:color w:val="auto"/>
        </w:rPr>
      </w:pPr>
    </w:p>
    <w:p>
      <w:pPr>
        <w:ind w:left="660" w:hanging="652"/>
        <w:spacing w:after="0"/>
        <w:tabs>
          <w:tab w:leader="none" w:pos="660"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Termination of Employment Related to Change in Control</w:t>
      </w:r>
    </w:p>
    <w:p>
      <w:pPr>
        <w:spacing w:after="0" w:line="179"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9"/>
          <w:szCs w:val="19"/>
          <w:color w:val="auto"/>
        </w:rPr>
        <w:t>1.1. If: (a) a Change in Control occurs during the Initial Term or the Additional Term (as defined in Section 9) and (b) your employment with Skyworks is terminated by Skyworks without Cause or you terminate your employment with Skyworks for Good Reason, in either case</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within the period of time commencing three (3) months prior to and ending two (2) years following the Change in Control, then you will receive the benefits provided in Section 1.2 and Section 2 below.</w:t>
      </w:r>
    </w:p>
    <w:p>
      <w:pPr>
        <w:spacing w:after="0" w:line="16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0"/>
          <w:szCs w:val="20"/>
          <w:color w:val="auto"/>
        </w:rPr>
        <w:t>1.2. Subject to the provisions of Sections 3.3, 8 and 12, (a) as soon as practicable (but not more than sixty (60) days) after the date of any termination of your employment described in Section 1.1 (or such later date as may be required by this Section 1.2 or by Section 12.2),</w:t>
      </w:r>
    </w:p>
    <w:p>
      <w:pPr>
        <w:spacing w:after="0" w:line="224" w:lineRule="auto"/>
        <w:rPr>
          <w:sz w:val="20"/>
          <w:szCs w:val="20"/>
          <w:color w:val="auto"/>
        </w:rPr>
      </w:pPr>
      <w:r>
        <w:rPr>
          <w:rFonts w:ascii="Times New Roman" w:cs="Times New Roman" w:eastAsia="Times New Roman" w:hAnsi="Times New Roman"/>
          <w:sz w:val="19"/>
          <w:szCs w:val="19"/>
          <w:color w:val="auto"/>
        </w:rPr>
        <w:t>Skyworks shall pay you a lump sum equal to one and one-half (1.5) times the sum of (i) your rate of annual base salary in effect immediately</w:t>
      </w:r>
    </w:p>
    <w:p>
      <w:pPr>
        <w:spacing w:after="0" w:line="215" w:lineRule="auto"/>
        <w:rPr>
          <w:sz w:val="20"/>
          <w:szCs w:val="20"/>
          <w:color w:val="auto"/>
        </w:rPr>
      </w:pPr>
      <w:r>
        <w:rPr>
          <w:rFonts w:ascii="Times New Roman" w:cs="Times New Roman" w:eastAsia="Times New Roman" w:hAnsi="Times New Roman"/>
          <w:sz w:val="19"/>
          <w:szCs w:val="19"/>
          <w:color w:val="auto"/>
        </w:rPr>
        <w:t>prior to the Change in Control, and (ii) the greater of (A) the average of the annual short-term cash incentive payments you received for each of the three years prior to the year in which the Change in Control occurs, or (B) your target annual short-term cash incentive opportunity for</w:t>
      </w:r>
    </w:p>
    <w:p>
      <w:pPr>
        <w:spacing w:after="0" w:line="211" w:lineRule="auto"/>
        <w:rPr>
          <w:sz w:val="20"/>
          <w:szCs w:val="20"/>
          <w:color w:val="auto"/>
        </w:rPr>
      </w:pPr>
      <w:r>
        <w:rPr>
          <w:rFonts w:ascii="Times New Roman" w:cs="Times New Roman" w:eastAsia="Times New Roman" w:hAnsi="Times New Roman"/>
          <w:sz w:val="20"/>
          <w:szCs w:val="20"/>
          <w:color w:val="auto"/>
        </w:rPr>
        <w:t>the year in which the Change in Control occurs (without regard to the relative achievement of any performance milestones which would</w:t>
      </w:r>
    </w:p>
    <w:p>
      <w:pPr>
        <w:jc w:val="both"/>
        <w:spacing w:after="0" w:line="204" w:lineRule="auto"/>
        <w:rPr>
          <w:sz w:val="20"/>
          <w:szCs w:val="20"/>
          <w:color w:val="auto"/>
        </w:rPr>
      </w:pPr>
      <w:r>
        <w:rPr>
          <w:rFonts w:ascii="Times New Roman" w:cs="Times New Roman" w:eastAsia="Times New Roman" w:hAnsi="Times New Roman"/>
          <w:sz w:val="20"/>
          <w:szCs w:val="20"/>
          <w:color w:val="auto"/>
        </w:rPr>
        <w:t>otherwise impact payment of the short-term cash incentive); (b) on the date of any termination described in Section 1.1, all of your then-outstanding Skyworks stock options shall remain exercisable for a period of eighteen (18) months after the termination date (or, if earlier,</w:t>
      </w:r>
    </w:p>
    <w:p>
      <w:pPr>
        <w:spacing w:after="0" w:line="223" w:lineRule="auto"/>
        <w:rPr>
          <w:sz w:val="20"/>
          <w:szCs w:val="20"/>
          <w:color w:val="auto"/>
        </w:rPr>
      </w:pPr>
      <w:r>
        <w:rPr>
          <w:rFonts w:ascii="Times New Roman" w:cs="Times New Roman" w:eastAsia="Times New Roman" w:hAnsi="Times New Roman"/>
          <w:sz w:val="19"/>
          <w:szCs w:val="19"/>
          <w:color w:val="auto"/>
        </w:rPr>
        <w:t>until the last day of the full option term), subject to their other terms and conditions; and (c) Skyworks shall make contributions to the cost of</w:t>
      </w:r>
    </w:p>
    <w:p>
      <w:pPr>
        <w:spacing w:after="0" w:line="204" w:lineRule="auto"/>
        <w:rPr>
          <w:sz w:val="20"/>
          <w:szCs w:val="20"/>
          <w:color w:val="auto"/>
        </w:rPr>
      </w:pPr>
      <w:r>
        <w:rPr>
          <w:rFonts w:ascii="Times New Roman" w:cs="Times New Roman" w:eastAsia="Times New Roman" w:hAnsi="Times New Roman"/>
          <w:sz w:val="20"/>
          <w:szCs w:val="20"/>
          <w:color w:val="auto"/>
        </w:rPr>
        <w:t>COBRA (Consolidated Omnibus Budget Reconciliation Act) coverage on your behalf (and on behalf of any applicable dependents) for a period of eighteen (18) months after your termination if you elect COBRA coverage, and only for so long as such coverage continues in</w:t>
      </w:r>
    </w:p>
    <w:p>
      <w:pPr>
        <w:spacing w:after="0" w:line="211" w:lineRule="auto"/>
        <w:rPr>
          <w:sz w:val="20"/>
          <w:szCs w:val="20"/>
          <w:color w:val="auto"/>
        </w:rPr>
      </w:pPr>
      <w:r>
        <w:rPr>
          <w:rFonts w:ascii="Times New Roman" w:cs="Times New Roman" w:eastAsia="Times New Roman" w:hAnsi="Times New Roman"/>
          <w:sz w:val="20"/>
          <w:szCs w:val="20"/>
          <w:color w:val="auto"/>
        </w:rPr>
        <w:t>force; provided, however, that if you commence new employment and are eligible for a new group health plan in connection with such</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employment, Skyworks’ contributions toward COBRA coverage shall end when the new employment begins. The contribution to the cost of COBRA coverage to be made by Skyworks shall be determined on the same basis as Skyworks’ contribution to Skyworks-provided medical,</w:t>
      </w:r>
    </w:p>
    <w:p>
      <w:pPr>
        <w:spacing w:after="0" w:line="211" w:lineRule="auto"/>
        <w:rPr>
          <w:sz w:val="20"/>
          <w:szCs w:val="20"/>
          <w:color w:val="auto"/>
        </w:rPr>
      </w:pPr>
      <w:r>
        <w:rPr>
          <w:rFonts w:ascii="Times New Roman" w:cs="Times New Roman" w:eastAsia="Times New Roman" w:hAnsi="Times New Roman"/>
          <w:sz w:val="20"/>
          <w:szCs w:val="20"/>
          <w:color w:val="auto"/>
        </w:rPr>
        <w:t>dental, and vision insurance coverage in effect immediately before your termination of your employment for an active employee with the</w:t>
      </w:r>
    </w:p>
    <w:p>
      <w:pPr>
        <w:spacing w:after="0" w:line="204" w:lineRule="auto"/>
        <w:rPr>
          <w:sz w:val="20"/>
          <w:szCs w:val="20"/>
          <w:color w:val="auto"/>
        </w:rPr>
      </w:pPr>
      <w:r>
        <w:rPr>
          <w:rFonts w:ascii="Times New Roman" w:cs="Times New Roman" w:eastAsia="Times New Roman" w:hAnsi="Times New Roman"/>
          <w:sz w:val="20"/>
          <w:szCs w:val="20"/>
          <w:color w:val="auto"/>
        </w:rPr>
        <w:t>same coverage elections. Notwithstanding the foregoing, in the event that Skyworks’ provision of such COBRA payments will violate the nondiscrimination requirements of applicable law, Skyworks will not provide contributions to the cost of COBRA and this benefit shall not</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apply. Notwithstanding anything in this agreement to the contrary, in the event that your employment is terminated prior to the Change in Control, no payments shall be made under this Section 1.2 until after the effective date of the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Skyworks Solutions, Inc. </w:t>
      </w:r>
      <w:r>
        <w:rPr>
          <w:rFonts w:ascii="Arial" w:cs="Arial" w:eastAsia="Arial" w:hAnsi="Arial"/>
          <w:sz w:val="16"/>
          <w:szCs w:val="16"/>
          <w:color w:val="808080"/>
        </w:rPr>
        <w:t>●</w:t>
      </w:r>
      <w:r>
        <w:rPr>
          <w:rFonts w:ascii="Arial" w:cs="Arial" w:eastAsia="Arial" w:hAnsi="Arial"/>
          <w:sz w:val="16"/>
          <w:szCs w:val="16"/>
          <w:color w:val="auto"/>
        </w:rPr>
        <w:t xml:space="preserve"> 5260 California Avenue, Irvine, CA 92617</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949.231.3000 </w:t>
      </w:r>
      <w:r>
        <w:rPr>
          <w:rFonts w:ascii="Arial" w:cs="Arial" w:eastAsia="Arial" w:hAnsi="Arial"/>
          <w:sz w:val="16"/>
          <w:szCs w:val="16"/>
          <w:color w:val="808080"/>
        </w:rPr>
        <w:t>●</w:t>
      </w:r>
      <w:r>
        <w:rPr>
          <w:rFonts w:ascii="Arial" w:cs="Arial" w:eastAsia="Arial" w:hAnsi="Arial"/>
          <w:sz w:val="16"/>
          <w:szCs w:val="16"/>
          <w:color w:val="auto"/>
        </w:rPr>
        <w:t xml:space="preserve"> www.skyworksinc.com</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200" w:lineRule="exact"/>
        <w:rPr>
          <w:sz w:val="20"/>
          <w:szCs w:val="20"/>
          <w:color w:val="auto"/>
        </w:rPr>
      </w:pPr>
    </w:p>
    <w:p>
      <w:pPr>
        <w:spacing w:after="0" w:line="242" w:lineRule="exact"/>
        <w:rPr>
          <w:sz w:val="20"/>
          <w:szCs w:val="20"/>
          <w:color w:val="auto"/>
        </w:rPr>
      </w:pPr>
    </w:p>
    <w:p>
      <w:pPr>
        <w:ind w:left="660" w:hanging="652"/>
        <w:spacing w:after="0"/>
        <w:tabs>
          <w:tab w:leader="none" w:pos="660"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Effect of Change in Control on Equity Awards</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color w:val="auto"/>
        </w:rPr>
        <w:t>For purposes of this Section 2, “Equity Acceleration Date” means:</w:t>
      </w:r>
    </w:p>
    <w:p>
      <w:pPr>
        <w:spacing w:after="0" w:line="189" w:lineRule="exact"/>
        <w:rPr>
          <w:sz w:val="20"/>
          <w:szCs w:val="20"/>
          <w:color w:val="auto"/>
        </w:rPr>
      </w:pPr>
    </w:p>
    <w:p>
      <w:pPr>
        <w:jc w:val="both"/>
        <w:ind w:left="660" w:hanging="4"/>
        <w:spacing w:after="0" w:line="226" w:lineRule="auto"/>
        <w:tabs>
          <w:tab w:leader="none" w:pos="1298"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effective date of the Change in Control, in the event that you experience a termination of employment described in Section 1.1 that is within the period of time commencing three (3) months prior to the Change in Control and ending on the effective date of the Change in Control; or</w:t>
      </w:r>
    </w:p>
    <w:p>
      <w:pPr>
        <w:spacing w:after="0" w:line="160" w:lineRule="exact"/>
        <w:rPr>
          <w:rFonts w:ascii="Times New Roman" w:cs="Times New Roman" w:eastAsia="Times New Roman" w:hAnsi="Times New Roman"/>
          <w:sz w:val="20"/>
          <w:szCs w:val="20"/>
          <w:color w:val="auto"/>
        </w:rPr>
      </w:pPr>
    </w:p>
    <w:p>
      <w:pPr>
        <w:jc w:val="both"/>
        <w:ind w:left="660" w:hanging="4"/>
        <w:spacing w:after="0" w:line="215" w:lineRule="auto"/>
        <w:tabs>
          <w:tab w:leader="none" w:pos="1296"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effective date of your termination of employment, in the event that you experience a termination of employment described in Section 1.1 that is within the period of time commencing on the effective date of the Change in Control and ending two</w:t>
      </w:r>
    </w:p>
    <w:p>
      <w:pPr>
        <w:spacing w:after="0" w:line="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 years following the Change in Control.</w:t>
      </w:r>
    </w:p>
    <w:p>
      <w:pPr>
        <w:spacing w:after="0" w:line="167"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2.2. In the event that you experience a termination of employment without Cause or for Good Reason, as described in Section 1.1, that is within the period of time commencing three (3) months prior to the Change in Control and ending on the effective date of the Change in</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Control, then on the date of your termination, each outstanding and unvested equity award held by you as of the day prior to the date of your termination of employment shall:</w:t>
      </w:r>
    </w:p>
    <w:p>
      <w:pPr>
        <w:spacing w:after="0" w:line="149" w:lineRule="exact"/>
        <w:rPr>
          <w:sz w:val="20"/>
          <w:szCs w:val="20"/>
          <w:color w:val="auto"/>
        </w:rPr>
      </w:pPr>
    </w:p>
    <w:p>
      <w:pPr>
        <w:jc w:val="both"/>
        <w:ind w:left="660" w:hanging="4"/>
        <w:spacing w:after="0" w:line="230" w:lineRule="auto"/>
        <w:tabs>
          <w:tab w:leader="none" w:pos="1298"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remain outstanding for the period of three months following your termination of employment with any vesting of such award being suspended until it is determined whether there is a Change in Control during the three (3) month period following your termination of employment;</w:t>
      </w:r>
    </w:p>
    <w:p>
      <w:pPr>
        <w:spacing w:after="0" w:line="148" w:lineRule="exact"/>
        <w:rPr>
          <w:rFonts w:ascii="Times New Roman" w:cs="Times New Roman" w:eastAsia="Times New Roman" w:hAnsi="Times New Roman"/>
          <w:sz w:val="20"/>
          <w:szCs w:val="20"/>
          <w:color w:val="auto"/>
        </w:rPr>
      </w:pPr>
    </w:p>
    <w:p>
      <w:pPr>
        <w:jc w:val="both"/>
        <w:ind w:left="660" w:hanging="4"/>
        <w:spacing w:after="0" w:line="220" w:lineRule="auto"/>
        <w:tabs>
          <w:tab w:leader="none" w:pos="1296"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Change in Control occurs within the three (3) month period following your termination of employment, be treated as if you had remained employed by Skyworks through the effective date of the Change in Control and notwithstanding any vesting schedule, forfeiture provisions, or anything else to the contrary in the respective award agreement or plan document governing such award, subject to the same terms and conditions as in effect immediately prior to your termination of employment and subject to any applicable provisions of this Section 2; and</w:t>
      </w:r>
    </w:p>
    <w:p>
      <w:pPr>
        <w:spacing w:after="0" w:line="160" w:lineRule="exact"/>
        <w:rPr>
          <w:rFonts w:ascii="Times New Roman" w:cs="Times New Roman" w:eastAsia="Times New Roman" w:hAnsi="Times New Roman"/>
          <w:sz w:val="20"/>
          <w:szCs w:val="20"/>
          <w:color w:val="auto"/>
        </w:rPr>
      </w:pPr>
    </w:p>
    <w:p>
      <w:pPr>
        <w:ind w:left="660" w:hanging="4"/>
        <w:spacing w:after="0" w:line="233" w:lineRule="auto"/>
        <w:tabs>
          <w:tab w:leader="none" w:pos="1298"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no Change in Control occurs within the three (3) month period following your termination of employment, terminate and be of no further force or effect except as otherwise provided in this Agreement.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2.3. If a Change in Control occurs during the Initial Term or the Additional Term, then the following provisions shall apply to your then-outstanding equity awards (including any equity awards that remain outstanding as of the Change in Control pursuant to Section 2.2):</w:t>
      </w:r>
    </w:p>
    <w:p>
      <w:pPr>
        <w:spacing w:after="0" w:line="148" w:lineRule="exact"/>
        <w:rPr>
          <w:sz w:val="20"/>
          <w:szCs w:val="20"/>
          <w:color w:val="auto"/>
        </w:rPr>
      </w:pPr>
    </w:p>
    <w:p>
      <w:pPr>
        <w:jc w:val="both"/>
        <w:ind w:left="660" w:hanging="4"/>
        <w:spacing w:after="0" w:line="212" w:lineRule="auto"/>
        <w:tabs>
          <w:tab w:leader="none" w:pos="1298"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you hold a performance-based equity award that vests based upon the achievement of performance metrics and upon providing continued service to Skyworks, and the Change in Control occurs prior to the “measurement date” (i.e. the last day of the applicable performance period) for such award, then upon the effective date of the Change in Control such award shall be earned as to the greater of (i) the “Target” level of shares for such award, or (ii) the number of shares that would have been earned pursuant to the terms of such award based upon performance up through and including the day prior to the date of the Change in Control; provided, however, that if the Compensation Committee of the Board of Directors of Skyworks (the “</w:t>
      </w:r>
      <w:r>
        <w:rPr>
          <w:rFonts w:ascii="Times New Roman" w:cs="Times New Roman" w:eastAsia="Times New Roman" w:hAnsi="Times New Roman"/>
          <w:sz w:val="20"/>
          <w:szCs w:val="20"/>
          <w:u w:val="single" w:color="auto"/>
          <w:color w:val="auto"/>
        </w:rPr>
        <w:t>Compensation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Committee</w:t>
      </w:r>
      <w:r>
        <w:rPr>
          <w:rFonts w:ascii="Times New Roman" w:cs="Times New Roman" w:eastAsia="Times New Roman" w:hAnsi="Times New Roman"/>
          <w:sz w:val="20"/>
          <w:szCs w:val="20"/>
          <w:color w:val="auto"/>
        </w:rPr>
        <w:t>”) determines in its sole discretion that it is impracticable to calculate the number of shares that would have been earned under subsection (ii) above with respect to one or more of the applicable performance metrics of the award, then such award shall be earned as to the “Target” level of shares covered by such performance metric(s). For the avoidance of doubt, any deemed satisfaction of performance goals as described in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200" w:lineRule="exact"/>
        <w:rPr>
          <w:sz w:val="20"/>
          <w:szCs w:val="20"/>
          <w:color w:val="auto"/>
        </w:rPr>
      </w:pPr>
    </w:p>
    <w:p>
      <w:pPr>
        <w:spacing w:after="0" w:line="246" w:lineRule="exact"/>
        <w:rPr>
          <w:sz w:val="20"/>
          <w:szCs w:val="20"/>
          <w:color w:val="auto"/>
        </w:rPr>
      </w:pPr>
    </w:p>
    <w:p>
      <w:pPr>
        <w:ind w:left="660"/>
        <w:spacing w:after="0" w:line="233" w:lineRule="auto"/>
        <w:rPr>
          <w:sz w:val="20"/>
          <w:szCs w:val="20"/>
          <w:color w:val="auto"/>
        </w:rPr>
      </w:pPr>
      <w:r>
        <w:rPr>
          <w:rFonts w:ascii="Times New Roman" w:cs="Times New Roman" w:eastAsia="Times New Roman" w:hAnsi="Times New Roman"/>
          <w:sz w:val="20"/>
          <w:szCs w:val="20"/>
          <w:color w:val="auto"/>
        </w:rPr>
        <w:t>Section 2.3(a) shall occur prior to the assumption, substitution, or accelerated vesting of such award as provided in this Section 2.3 or in Section 2.4.</w:t>
      </w:r>
    </w:p>
    <w:p>
      <w:pPr>
        <w:spacing w:after="0" w:line="161" w:lineRule="exact"/>
        <w:rPr>
          <w:sz w:val="20"/>
          <w:szCs w:val="20"/>
          <w:color w:val="auto"/>
        </w:rPr>
      </w:pPr>
    </w:p>
    <w:p>
      <w:pPr>
        <w:jc w:val="both"/>
        <w:ind w:left="660" w:hanging="4"/>
        <w:spacing w:after="0" w:line="213" w:lineRule="auto"/>
        <w:tabs>
          <w:tab w:leader="none" w:pos="1296"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successor or surviving company in the Change in Control does not agree to assume, or substitute for, an equity award (or in which Skyworks is the ultimate parent corporation and does not agree to continue the equity award) on substantially similar terms with substantially equivalent economic benefits (which benefits shall include, for the avoidance of doubt, the liquidity of the securities underlying the assumed or substituted award following the Change in Control) as exist for such award immediately prior to the Change in Control, as determined in the sole discretion of the Compensation Committee, then such equity award shall, immediately prior to the Change in Control, automatically become vested, exercisable, and issuable, and any forfeiture restrictions thereon shall immediately lapse, as applicable, in each case, with respect to one-hundred percent (100%) of that number of then-unvested shares underlying such equity award, after giving effect to any deemed satisfaction of performance goals as described in Section 2.3(a).</w:t>
      </w:r>
    </w:p>
    <w:p>
      <w:pPr>
        <w:spacing w:after="0" w:line="161" w:lineRule="exact"/>
        <w:rPr>
          <w:rFonts w:ascii="Times New Roman" w:cs="Times New Roman" w:eastAsia="Times New Roman" w:hAnsi="Times New Roman"/>
          <w:sz w:val="20"/>
          <w:szCs w:val="20"/>
          <w:color w:val="auto"/>
        </w:rPr>
      </w:pPr>
    </w:p>
    <w:p>
      <w:pPr>
        <w:jc w:val="both"/>
        <w:ind w:left="660" w:hanging="4"/>
        <w:spacing w:after="0" w:line="213" w:lineRule="auto"/>
        <w:tabs>
          <w:tab w:leader="none" w:pos="1298"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successor or surviving company in the Change in Control agrees to assume, or substitute for, an outstanding equity award (or in which Skyworks is the ultimate parent corporation and agrees to continue the equity award) on substantially similar terms with substantially equivalent economic benefits (which benefits shall include, for the avoidance of doubt, the liquidity of the securities underlying the assumed or substituted award following the Change in Control) as exist for such award immediately prior to the Change in Control (but after giving effect to any deemed satisfaction of performance goals as described in Section 2.3(a)), as determined in the sole discretion of the Compensation Committee, then for the avoidance of doubt, such equity award shall continue to be subject to the same time-based vesting schedule to which the award was subject immediately prior to the Change in Control.</w:t>
      </w:r>
    </w:p>
    <w:p>
      <w:pPr>
        <w:spacing w:after="0" w:line="15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2.4.</w:t>
      </w:r>
      <w:r>
        <w:rPr>
          <w:sz w:val="20"/>
          <w:szCs w:val="20"/>
          <w:color w:val="auto"/>
        </w:rPr>
        <w:tab/>
      </w:r>
      <w:r>
        <w:rPr>
          <w:rFonts w:ascii="Times New Roman" w:cs="Times New Roman" w:eastAsia="Times New Roman" w:hAnsi="Times New Roman"/>
          <w:sz w:val="20"/>
          <w:szCs w:val="20"/>
          <w:color w:val="auto"/>
        </w:rPr>
        <w:t>Subject to the provisions of Sections 3.3, 8 and 12, each outstanding and unvested equity award held by you on the Equity</w:t>
      </w:r>
    </w:p>
    <w:p>
      <w:pPr>
        <w:spacing w:after="0" w:line="204" w:lineRule="auto"/>
        <w:rPr>
          <w:sz w:val="20"/>
          <w:szCs w:val="20"/>
          <w:color w:val="auto"/>
        </w:rPr>
      </w:pPr>
      <w:r>
        <w:rPr>
          <w:rFonts w:ascii="Times New Roman" w:cs="Times New Roman" w:eastAsia="Times New Roman" w:hAnsi="Times New Roman"/>
          <w:sz w:val="20"/>
          <w:szCs w:val="20"/>
          <w:color w:val="auto"/>
        </w:rPr>
        <w:t>Acceleration Date that, pursuant to its terms and after giving effect to any deemed satisfaction of performance goals as described in Section 2.3(a) and any deemed continued employment through the effective date of the Change in Control as described in Section 2.2, vests</w:t>
      </w:r>
    </w:p>
    <w:p>
      <w:pPr>
        <w:spacing w:after="0" w:line="211" w:lineRule="auto"/>
        <w:rPr>
          <w:sz w:val="20"/>
          <w:szCs w:val="20"/>
          <w:color w:val="auto"/>
        </w:rPr>
      </w:pPr>
      <w:r>
        <w:rPr>
          <w:rFonts w:ascii="Times New Roman" w:cs="Times New Roman" w:eastAsia="Times New Roman" w:hAnsi="Times New Roman"/>
          <w:sz w:val="20"/>
          <w:szCs w:val="20"/>
          <w:color w:val="auto"/>
        </w:rPr>
        <w:t>solely based upon providing continued service to Skyworks (or, if applicable, a successor corporation to Skyworks), including, without</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limitation, stock options, restricted stock awards (including restricted stock unit awards), and performance-based equity awards that are earned but unissued, shall on the Equity Acceleration Date automatically become vested, exercisable, and issuable, and any forfeiture</w:t>
      </w:r>
    </w:p>
    <w:p>
      <w:pPr>
        <w:spacing w:after="0" w:line="211" w:lineRule="auto"/>
        <w:rPr>
          <w:sz w:val="20"/>
          <w:szCs w:val="20"/>
          <w:color w:val="auto"/>
        </w:rPr>
      </w:pPr>
      <w:r>
        <w:rPr>
          <w:rFonts w:ascii="Times New Roman" w:cs="Times New Roman" w:eastAsia="Times New Roman" w:hAnsi="Times New Roman"/>
          <w:sz w:val="20"/>
          <w:szCs w:val="20"/>
          <w:color w:val="auto"/>
        </w:rPr>
        <w:t>restrictions thereon shall immediately lapse, as applicable, in each case, with respect to one-hundred percent (100%) of that number of then-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unvested shares underlying such equity award. For the avoidance of doubt, the reference in this Section 2.4 to “performance-based equity awards that are earned but unissued” shall include any awards (i) for which the measurement date occurs on or prior to the effective date of</w:t>
      </w:r>
    </w:p>
    <w:p>
      <w:pPr>
        <w:spacing w:after="0" w:line="211" w:lineRule="auto"/>
        <w:rPr>
          <w:sz w:val="20"/>
          <w:szCs w:val="20"/>
          <w:color w:val="auto"/>
        </w:rPr>
      </w:pPr>
      <w:r>
        <w:rPr>
          <w:rFonts w:ascii="Times New Roman" w:cs="Times New Roman" w:eastAsia="Times New Roman" w:hAnsi="Times New Roman"/>
          <w:sz w:val="20"/>
          <w:szCs w:val="20"/>
          <w:color w:val="auto"/>
        </w:rPr>
        <w:t>the Change in Control, and (ii) for which the Change in Control occurs prior to the measurement date and which are upon the Change in</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Control converted into, or substituted by, awards vesting solely based upon providing continued service to Skyworks or its successor, pursuant to Section 2.3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2.5. Subject to Section 12.4, any shares that are issued pursuant to Section 2.3(b) or Section 2.4 shall be issued to you on, or as soon as practicable (but not more than sixty (60) days) after, the Equity Acceleration Date (or such later date as may be required by Section 12.2).</w:t>
      </w:r>
    </w:p>
    <w:p>
      <w:pPr>
        <w:spacing w:after="0" w:line="144" w:lineRule="exact"/>
        <w:rPr>
          <w:sz w:val="20"/>
          <w:szCs w:val="20"/>
          <w:color w:val="auto"/>
        </w:rPr>
      </w:pPr>
    </w:p>
    <w:p>
      <w:pPr>
        <w:ind w:left="660" w:hanging="652"/>
        <w:spacing w:after="0"/>
        <w:tabs>
          <w:tab w:leader="none" w:pos="660"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Termination of Employment Unrelated to Change in Control</w:t>
      </w:r>
    </w:p>
    <w:p>
      <w:pPr>
        <w:spacing w:after="0" w:line="19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9"/>
          <w:szCs w:val="19"/>
          <w:color w:val="auto"/>
        </w:rPr>
        <w:t>3.1. If, during the Initial Term or the Additional Term (as defined in Section 9), your employment with Skyworks is terminated by Skyworks without Cause more than three (3) months prior to a Change in Control or more than two (2) years following a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200" w:lineRule="exact"/>
        <w:rPr>
          <w:sz w:val="20"/>
          <w:szCs w:val="20"/>
          <w:color w:val="auto"/>
        </w:rPr>
      </w:pPr>
    </w:p>
    <w:p>
      <w:pPr>
        <w:spacing w:after="0" w:line="24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then you will receive the benefits specified in Section 3.2 below. For the avoidance of doubt, if at any time your employment is terminated by Skyworks for Cause or by you for any reason, you will not be entitled to receive the benefits specified in Section 3.2 below (or, for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avoidance of doubt, in Sections 1.2 or 2 above).</w:t>
      </w:r>
    </w:p>
    <w:p>
      <w:pPr>
        <w:spacing w:after="0" w:line="153"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20"/>
          <w:szCs w:val="20"/>
          <w:color w:val="auto"/>
        </w:rPr>
        <w:t>3.2. Subject to the provisions of Sections 3.3, 8 and 12, (a) in the event of any termination of your employment described in Section 3.1, Skyworks shall provide to you biweekly compensation continuation payments commencing as soon as practicable (but not more than sixty</w:t>
      </w:r>
    </w:p>
    <w:p>
      <w:pPr>
        <w:spacing w:after="0" w:line="2" w:lineRule="exact"/>
        <w:rPr>
          <w:sz w:val="20"/>
          <w:szCs w:val="20"/>
          <w:color w:val="auto"/>
        </w:rPr>
      </w:pPr>
    </w:p>
    <w:p>
      <w:pPr>
        <w:jc w:val="both"/>
        <w:ind w:firstLine="8"/>
        <w:spacing w:after="0" w:line="208" w:lineRule="auto"/>
        <w:tabs>
          <w:tab w:leader="none" w:pos="379"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after the date of such termination (or such later date as may be required by Section 12.2) and continuing for a period of twelve (12) months following the termination of your employment, with each such compensation continuation payment being equal to the quotient of (i) divided by (ii), where (i) equals the sum of (A) your then-current annual base salary, and (B) any short-term cash incentive payment then due, and (ii) equals 26 (which, for the avoidance of doubt, shall be the number of biweekly compensation continuation payments); (b) all of your then-vested outstanding Skyworks stock options shall remain exercisable for a period of twelve (12) months after the date of your employment termination (or, if earlier, until the last day of the full option term), subject to their terms and conditions, and (c) Skyworks shall make contributions to the cost of COBRA (Consolidated Omnibus Budget Reconciliation Act) coverage on your behalf (and on behalf of any applicable dependents) for a period of twelve (12) months after your termination if you elect COBRA coverage, and only for so long as such coverage continues in force; provided, however, that if you commence new employment and are eligible for a new group health plan in connection with such employment, Skyworks’ contributions toward COBRA coverage shall end when the new employment begins. The contribution to the cost of COBRA coverage to be made by Skyworks shall be determined on the same basis as Skyworks’ contribution to Skyworks-provided medical, dental and vision insurance coverage in effect immediately before your termination of your employment for an active employee with the same coverage elections. Notwithstanding the foregoing, in the event that Skyworks’ provision of such COBRA payments will violate the nondiscrimination requirements of applicable law, Skyworks will not provide contributions to the cost of COBRA and this benefit shall not apply.</w:t>
      </w:r>
    </w:p>
    <w:p>
      <w:pPr>
        <w:spacing w:after="0" w:line="174"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3.3. For the avoidance of doubt and notwithstanding anything in this Agreement to the contrary, in the event that you experience a termination of employment without Cause as described in Section 1.1 and are therefore eligible to receive the benefits set forth in</w:t>
      </w:r>
    </w:p>
    <w:p>
      <w:pPr>
        <w:spacing w:after="0" w:line="212" w:lineRule="auto"/>
        <w:rPr>
          <w:sz w:val="20"/>
          <w:szCs w:val="20"/>
          <w:color w:val="auto"/>
        </w:rPr>
      </w:pPr>
      <w:r>
        <w:rPr>
          <w:rFonts w:ascii="Times New Roman" w:cs="Times New Roman" w:eastAsia="Times New Roman" w:hAnsi="Times New Roman"/>
          <w:sz w:val="20"/>
          <w:szCs w:val="20"/>
          <w:color w:val="auto"/>
        </w:rPr>
        <w:t>Sections 1.2 and 2 above, then you shall not be eligible to receive any benefits set forth in Section 3.2 following the later of (a) the date of</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your termination of employment, and (b) the effective date of the Change in Control. Any payments and benefits to which you become entitled under Section 1.2 upon the effective date of a Change in Control, as a result of a qualifying termination of employment within the</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three (3) months prior to such Change in Control, shall be reduced in amount or duration, as applicable, equal to the payments and benefits you have received pursuant to Section 3.2 prior to the effective date of such Change in Control,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200" w:lineRule="exact"/>
        <w:rPr>
          <w:sz w:val="20"/>
          <w:szCs w:val="20"/>
          <w:color w:val="auto"/>
        </w:rPr>
      </w:pPr>
    </w:p>
    <w:p>
      <w:pPr>
        <w:spacing w:after="0" w:line="242" w:lineRule="exact"/>
        <w:rPr>
          <w:sz w:val="20"/>
          <w:szCs w:val="20"/>
          <w:color w:val="auto"/>
        </w:rPr>
      </w:pPr>
    </w:p>
    <w:p>
      <w:pPr>
        <w:ind w:left="660" w:hanging="652"/>
        <w:spacing w:after="0"/>
        <w:tabs>
          <w:tab w:leader="none" w:pos="660"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Termination of Employment Due to Death or Disability</w:t>
      </w:r>
    </w:p>
    <w:p>
      <w:pPr>
        <w:spacing w:after="0" w:line="17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20"/>
          <w:szCs w:val="20"/>
          <w:color w:val="auto"/>
        </w:rPr>
        <w:t>In the event of your termination of employment due to death or permanent disability (within the meaning of Section 22(e)(3) of the</w:t>
      </w:r>
    </w:p>
    <w:p>
      <w:pPr>
        <w:spacing w:after="0" w:line="204" w:lineRule="auto"/>
        <w:rPr>
          <w:sz w:val="20"/>
          <w:szCs w:val="20"/>
          <w:color w:val="auto"/>
        </w:rPr>
      </w:pPr>
      <w:r>
        <w:rPr>
          <w:rFonts w:ascii="Times New Roman" w:cs="Times New Roman" w:eastAsia="Times New Roman" w:hAnsi="Times New Roman"/>
          <w:sz w:val="20"/>
          <w:szCs w:val="20"/>
          <w:color w:val="auto"/>
        </w:rPr>
        <w:t>Internal Revenue Code of 1986 (the “Code”)) during the Initial Term or the Additional Term, on the date of such termination each outstanding and unvested equity award held by you that, pursuant to its terms, vests solely based upon providing continued service to</w:t>
      </w:r>
    </w:p>
    <w:p>
      <w:pPr>
        <w:spacing w:after="0" w:line="211" w:lineRule="auto"/>
        <w:rPr>
          <w:sz w:val="20"/>
          <w:szCs w:val="20"/>
          <w:color w:val="auto"/>
        </w:rPr>
      </w:pPr>
      <w:r>
        <w:rPr>
          <w:rFonts w:ascii="Times New Roman" w:cs="Times New Roman" w:eastAsia="Times New Roman" w:hAnsi="Times New Roman"/>
          <w:sz w:val="20"/>
          <w:szCs w:val="20"/>
          <w:color w:val="auto"/>
        </w:rPr>
        <w:t>Skyworks, including, without limitation, stock options, restricted stock awards (including restricted stock unit awards), and performance-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based equity awards that are earned but unissued, shall automatically become vested, exercisable, and issuable, and any forfeiture restrictions thereon shall immediately lapse, as applicable, in each case, with respect to one-hundred percent (100%) of that number of then-unvested</w:t>
      </w:r>
    </w:p>
    <w:p>
      <w:pPr>
        <w:spacing w:after="0"/>
        <w:rPr>
          <w:sz w:val="20"/>
          <w:szCs w:val="20"/>
          <w:color w:val="auto"/>
        </w:rPr>
      </w:pPr>
      <w:r>
        <w:rPr>
          <w:rFonts w:ascii="Times New Roman" w:cs="Times New Roman" w:eastAsia="Times New Roman" w:hAnsi="Times New Roman"/>
          <w:sz w:val="20"/>
          <w:szCs w:val="20"/>
          <w:color w:val="auto"/>
        </w:rPr>
        <w:t>shares underlying such equity award.</w:t>
      </w:r>
    </w:p>
    <w:p>
      <w:pPr>
        <w:spacing w:after="0" w:line="167"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4.2. All outstanding stock options that are exercisable upon your termination of employment due to death or permanent disability (including any stock options that become vested and exercisable pursuant to Section 4.1) shall remain exercisable for a period of time</w:t>
      </w:r>
    </w:p>
    <w:p>
      <w:pPr>
        <w:spacing w:after="0" w:line="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9"/>
          <w:szCs w:val="19"/>
          <w:color w:val="auto"/>
        </w:rPr>
        <w:t>expiring on the earlier of (a) the one (1) year anniversary of your termination of employment due to death or permanent disability, and (b) the final expiration date of such stock options as set forth in the applicable stock option agreement, subject to their other terms and conditions.</w:t>
      </w:r>
    </w:p>
    <w:p>
      <w:pPr>
        <w:spacing w:after="0" w:line="145"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20"/>
          <w:szCs w:val="20"/>
          <w:color w:val="auto"/>
        </w:rPr>
        <w:t>4.3. In the event that you hold a performance-based equity award that vests based upon the achievement of performance metrics and upon providing continued service to Skyworks and your termination of employment due to death or permanent disability occurs prior to the</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“measurement date” (i.e. the last day of the applicable performance period) for such award, then such award shall, as of the measurement date, (a) be earned as to the greater of (i) the “Target” level of shares for such award, or (ii) the number of shares that would have been earned</w:t>
      </w:r>
    </w:p>
    <w:p>
      <w:pPr>
        <w:spacing w:after="0" w:line="211" w:lineRule="auto"/>
        <w:rPr>
          <w:sz w:val="20"/>
          <w:szCs w:val="20"/>
          <w:color w:val="auto"/>
        </w:rPr>
      </w:pPr>
      <w:r>
        <w:rPr>
          <w:rFonts w:ascii="Times New Roman" w:cs="Times New Roman" w:eastAsia="Times New Roman" w:hAnsi="Times New Roman"/>
          <w:sz w:val="20"/>
          <w:szCs w:val="20"/>
          <w:color w:val="auto"/>
        </w:rPr>
        <w:t>pursuant to the terms of such award had you remained employed through the measurement date, and (b) automatically become vested,</w:t>
      </w:r>
    </w:p>
    <w:p>
      <w:pPr>
        <w:spacing w:after="0" w:line="204" w:lineRule="auto"/>
        <w:rPr>
          <w:sz w:val="20"/>
          <w:szCs w:val="20"/>
          <w:color w:val="auto"/>
        </w:rPr>
      </w:pPr>
      <w:r>
        <w:rPr>
          <w:rFonts w:ascii="Times New Roman" w:cs="Times New Roman" w:eastAsia="Times New Roman" w:hAnsi="Times New Roman"/>
          <w:sz w:val="20"/>
          <w:szCs w:val="20"/>
          <w:color w:val="auto"/>
        </w:rPr>
        <w:t>exercisable, and issuable, and any forfeiture restrictions thereon shall immediately lapse, as applicable, in each case, as of the measurement date, with respect to one-hundred percent (100%) of that number of then-unvested shares underlying such equity award that are earned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pursuant to (a) above.</w:t>
      </w:r>
    </w:p>
    <w:p>
      <w:pPr>
        <w:spacing w:after="0" w:line="167"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20"/>
          <w:szCs w:val="20"/>
          <w:color w:val="auto"/>
        </w:rPr>
        <w:t>4.4. Subject to Section 12.4, any shares that are issued pursuant to Section 4.1 shall be issued to you (or to your estate, if applicable) as soon as practicable (but not more than sixty (60) days) after the date of your termination (or such later date as may be required by Section</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12.2). Subject to Section 12.4, any shares that are issued pursuant to Section 4.3 shall be issued to you (or to your estate, if applicable) as soon as practicable (but not more than sixty (60) days) after the measurement date.</w:t>
      </w:r>
    </w:p>
    <w:p>
      <w:pPr>
        <w:spacing w:after="0" w:line="145" w:lineRule="exact"/>
        <w:rPr>
          <w:sz w:val="20"/>
          <w:szCs w:val="20"/>
          <w:color w:val="auto"/>
        </w:rPr>
      </w:pPr>
    </w:p>
    <w:p>
      <w:pPr>
        <w:ind w:left="660" w:hanging="652"/>
        <w:spacing w:after="0"/>
        <w:tabs>
          <w:tab w:leader="none" w:pos="660"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Other Terminations of Employment</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the event of your termination of employment by Skyworks for Cause or by you for any or no reason other than as a termination of employment described in Sections 1.1, 3.1, or 4.1, you shall not be entitled to any benefits under this Agreement; provided, however, that Skyworks shall pay you any unpaid wages and vacation as may be required by applicable law and provide you with the ability to elect any continued health coverage as may be required under COBRA or similar state law.</w:t>
      </w:r>
    </w:p>
    <w:p>
      <w:pPr>
        <w:spacing w:after="0" w:line="155" w:lineRule="exact"/>
        <w:rPr>
          <w:sz w:val="20"/>
          <w:szCs w:val="20"/>
          <w:color w:val="auto"/>
        </w:rPr>
      </w:pPr>
    </w:p>
    <w:p>
      <w:pPr>
        <w:ind w:left="660" w:hanging="652"/>
        <w:spacing w:after="0"/>
        <w:tabs>
          <w:tab w:leader="none" w:pos="660"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Limitation on Benefits</w:t>
      </w:r>
    </w:p>
    <w:p>
      <w:pPr>
        <w:spacing w:after="0" w:line="18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6.1.</w:t>
      </w:r>
      <w:r>
        <w:rPr>
          <w:sz w:val="20"/>
          <w:szCs w:val="20"/>
          <w:color w:val="auto"/>
        </w:rPr>
        <w:tab/>
      </w:r>
      <w:r>
        <w:rPr>
          <w:rFonts w:ascii="Times New Roman" w:cs="Times New Roman" w:eastAsia="Times New Roman" w:hAnsi="Times New Roman"/>
          <w:sz w:val="20"/>
          <w:szCs w:val="20"/>
          <w:color w:val="auto"/>
        </w:rPr>
        <w:t>Notwithstanding anything contained in this Agreement to the contrary, to the extent that the payments and benefits provided under</w:t>
      </w:r>
    </w:p>
    <w:p>
      <w:pPr>
        <w:spacing w:after="0" w:line="221" w:lineRule="auto"/>
        <w:rPr>
          <w:sz w:val="20"/>
          <w:szCs w:val="20"/>
          <w:color w:val="auto"/>
        </w:rPr>
      </w:pPr>
      <w:r>
        <w:rPr>
          <w:rFonts w:ascii="Times New Roman" w:cs="Times New Roman" w:eastAsia="Times New Roman" w:hAnsi="Times New Roman"/>
          <w:sz w:val="20"/>
          <w:szCs w:val="20"/>
          <w:color w:val="auto"/>
        </w:rPr>
        <w:t>this Agreement, and payments and benefits provided to you, or for your benefit, under any other plan or agreement (such payments or benefits, the “Benefits”) would be subject to the excise tax imposed under Section 4999 of the Code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200" w:lineRule="exact"/>
        <w:rPr>
          <w:sz w:val="20"/>
          <w:szCs w:val="20"/>
          <w:color w:val="auto"/>
        </w:rPr>
      </w:pPr>
    </w:p>
    <w:p>
      <w:pPr>
        <w:spacing w:after="0" w:line="24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“Excise Tax”), the Benefits shall be reduced (but not below zero) if and to the extent that a reduction in the Benefits would result in your retaining a larger amount, on an after-tax basis (taking into account federal, state and local income taxes and the Excise Tax), than if you</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received all of the Benefits (such reduced amount, the “Limited Benefit Amount”).</w:t>
      </w:r>
    </w:p>
    <w:p>
      <w:pPr>
        <w:spacing w:after="0" w:line="153"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0"/>
          <w:szCs w:val="20"/>
          <w:color w:val="auto"/>
        </w:rPr>
        <w:t>6.2. A determination as to whether the Benefits shall be reduced to the Limited Benefit Amount pursuant to this Section 6 and the amount of such Limited Benefit Amount shall be made by Skyworks’ independent public accountants or another certified public accounting firm,</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executive compensation consulting firm or law firm of national reputation designated by Skyworks (the “Firm”) at Skyworks’ expense. The Firm shall provide its determination (the “Determination”), together with detailed supporting calculations and documentation to you and to</w:t>
      </w:r>
    </w:p>
    <w:p>
      <w:pPr>
        <w:spacing w:after="0" w:line="211" w:lineRule="auto"/>
        <w:rPr>
          <w:sz w:val="20"/>
          <w:szCs w:val="20"/>
          <w:color w:val="auto"/>
        </w:rPr>
      </w:pPr>
      <w:r>
        <w:rPr>
          <w:rFonts w:ascii="Times New Roman" w:cs="Times New Roman" w:eastAsia="Times New Roman" w:hAnsi="Times New Roman"/>
          <w:sz w:val="20"/>
          <w:szCs w:val="20"/>
          <w:color w:val="auto"/>
        </w:rPr>
        <w:t>Skyworks within ten (10) business days of the date on which your right to the Benefits is triggered (if requested at that time by you or by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Skyworks) or such other time as reasonably requested by you or by Skyworks. Unless you provide written notice to Skyworks within ten (10) business days of the delivery to you of the Determination that you dispute such Determination, the Determination shall be binding, final and</w:t>
      </w:r>
    </w:p>
    <w:p>
      <w:pPr>
        <w:spacing w:after="0" w:line="222" w:lineRule="auto"/>
        <w:rPr>
          <w:sz w:val="20"/>
          <w:szCs w:val="20"/>
          <w:color w:val="auto"/>
        </w:rPr>
      </w:pPr>
      <w:r>
        <w:rPr>
          <w:rFonts w:ascii="Times New Roman" w:cs="Times New Roman" w:eastAsia="Times New Roman" w:hAnsi="Times New Roman"/>
          <w:sz w:val="19"/>
          <w:szCs w:val="19"/>
          <w:color w:val="auto"/>
        </w:rPr>
        <w:t>conclusive upon you and Skyworks. If the Firm determines that no Excise Tax is payable by you with respect to any Benefits, it shall furnish</w:t>
      </w:r>
    </w:p>
    <w:p>
      <w:pPr>
        <w:spacing w:after="0" w:line="221" w:lineRule="auto"/>
        <w:rPr>
          <w:sz w:val="20"/>
          <w:szCs w:val="20"/>
          <w:color w:val="auto"/>
        </w:rPr>
      </w:pPr>
      <w:r>
        <w:rPr>
          <w:rFonts w:ascii="Times New Roman" w:cs="Times New Roman" w:eastAsia="Times New Roman" w:hAnsi="Times New Roman"/>
          <w:sz w:val="20"/>
          <w:szCs w:val="20"/>
          <w:color w:val="auto"/>
        </w:rPr>
        <w:t>to you and to Skyworks, in writing, a summary of the assumptions and calculations made by the Firm to support its conclusion that no Excise Tax will be imposed with respect to any such Benefits.</w:t>
      </w:r>
    </w:p>
    <w:p>
      <w:pPr>
        <w:spacing w:after="0" w:line="1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6.3.</w:t>
      </w:r>
      <w:r>
        <w:rPr>
          <w:sz w:val="20"/>
          <w:szCs w:val="20"/>
          <w:color w:val="auto"/>
        </w:rPr>
        <w:tab/>
      </w:r>
      <w:r>
        <w:rPr>
          <w:rFonts w:ascii="Times New Roman" w:cs="Times New Roman" w:eastAsia="Times New Roman" w:hAnsi="Times New Roman"/>
          <w:sz w:val="20"/>
          <w:szCs w:val="20"/>
          <w:color w:val="auto"/>
        </w:rPr>
        <w:t>Any reduction in payments and/or benefits pursuant to this Section 6 to effectuate the Limited Benefit Amount shall occur in the</w:t>
      </w:r>
    </w:p>
    <w:p>
      <w:pPr>
        <w:spacing w:after="0" w:line="221" w:lineRule="auto"/>
        <w:rPr>
          <w:sz w:val="20"/>
          <w:szCs w:val="20"/>
          <w:color w:val="auto"/>
        </w:rPr>
      </w:pPr>
      <w:r>
        <w:rPr>
          <w:rFonts w:ascii="Times New Roman" w:cs="Times New Roman" w:eastAsia="Times New Roman" w:hAnsi="Times New Roman"/>
          <w:sz w:val="20"/>
          <w:szCs w:val="20"/>
          <w:color w:val="auto"/>
        </w:rPr>
        <w:t>following order: (1) reduction of cash payments; (2) cancellation of accelerated vesting of equity awards other than stock options; (3) cancellation of accelerated vesting of stock options; and (4) reduction of other benefits payable to you.</w:t>
      </w:r>
    </w:p>
    <w:p>
      <w:pPr>
        <w:spacing w:after="0" w:line="158" w:lineRule="exact"/>
        <w:rPr>
          <w:sz w:val="20"/>
          <w:szCs w:val="20"/>
          <w:color w:val="auto"/>
        </w:rPr>
      </w:pPr>
    </w:p>
    <w:p>
      <w:pPr>
        <w:ind w:left="660" w:hanging="652"/>
        <w:spacing w:after="0"/>
        <w:tabs>
          <w:tab w:leader="none" w:pos="660"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Non-Solicitation</w:t>
      </w:r>
    </w:p>
    <w:p>
      <w:pPr>
        <w:spacing w:after="0" w:line="193"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7.1. You agree that while employed by Skyworks and for one (1) year thereafter, you will not, either directly or through others, raid, solicit, or attempt to solicit any employee of Skyworks or any subsidiary or affiliate of Skyworks (collectively, the “Company”) to terminate</w:t>
      </w:r>
    </w:p>
    <w:p>
      <w:pPr>
        <w:spacing w:after="0" w:line="212" w:lineRule="auto"/>
        <w:rPr>
          <w:sz w:val="20"/>
          <w:szCs w:val="20"/>
          <w:color w:val="auto"/>
        </w:rPr>
      </w:pPr>
      <w:r>
        <w:rPr>
          <w:rFonts w:ascii="Times New Roman" w:cs="Times New Roman" w:eastAsia="Times New Roman" w:hAnsi="Times New Roman"/>
          <w:sz w:val="20"/>
          <w:szCs w:val="20"/>
          <w:color w:val="auto"/>
        </w:rPr>
        <w:t>his or her relationship with the Company in order to become an employee or independent contractor (including a consultant or advisor) to or</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for any person or entity. You further agree that you will not disrupt or interfere or attempt to disrupt or interfere with the Company’s relationships with such employees.</w:t>
      </w:r>
    </w:p>
    <w:p>
      <w:pPr>
        <w:spacing w:after="0" w:line="1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7.2.</w:t>
      </w:r>
      <w:r>
        <w:rPr>
          <w:sz w:val="20"/>
          <w:szCs w:val="20"/>
          <w:color w:val="auto"/>
        </w:rPr>
        <w:tab/>
      </w:r>
      <w:r>
        <w:rPr>
          <w:rFonts w:ascii="Times New Roman" w:cs="Times New Roman" w:eastAsia="Times New Roman" w:hAnsi="Times New Roman"/>
          <w:sz w:val="19"/>
          <w:szCs w:val="19"/>
          <w:color w:val="auto"/>
        </w:rPr>
        <w:t>You understand and acknowledge that Skyworks’ remedies at law for breach of any of the restrictions in this Section 7 are inadequate</w:t>
      </w:r>
    </w:p>
    <w:p>
      <w:pPr>
        <w:spacing w:after="0" w:line="204" w:lineRule="auto"/>
        <w:rPr>
          <w:sz w:val="20"/>
          <w:szCs w:val="20"/>
          <w:color w:val="auto"/>
        </w:rPr>
      </w:pPr>
      <w:r>
        <w:rPr>
          <w:rFonts w:ascii="Times New Roman" w:cs="Times New Roman" w:eastAsia="Times New Roman" w:hAnsi="Times New Roman"/>
          <w:sz w:val="20"/>
          <w:szCs w:val="20"/>
          <w:color w:val="auto"/>
        </w:rPr>
        <w:t>and that any such breach will cause irreparable harm to Skyworks. You therefore agree that in addition and as a supplement to such other rights and remedies as may exist in Skyworks’ favor, Skyworks may apply to any court having jurisdiction to enforce the specific</w:t>
      </w:r>
    </w:p>
    <w:p>
      <w:pPr>
        <w:spacing w:after="0" w:line="211" w:lineRule="auto"/>
        <w:rPr>
          <w:sz w:val="20"/>
          <w:szCs w:val="20"/>
          <w:color w:val="auto"/>
        </w:rPr>
      </w:pPr>
      <w:r>
        <w:rPr>
          <w:rFonts w:ascii="Times New Roman" w:cs="Times New Roman" w:eastAsia="Times New Roman" w:hAnsi="Times New Roman"/>
          <w:sz w:val="20"/>
          <w:szCs w:val="20"/>
          <w:color w:val="auto"/>
        </w:rPr>
        <w:t>performance of the restrictions in this Section 7, and may apply for injunctive relief against any act which would violate those restrictions.</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You also agree that in addition to any damages that may be recovered, the prevailing party in any legal action to enforce this non-solicitation agreement shall be entitled to recover its costs and attorneys’ fees from the other party.</w:t>
      </w:r>
    </w:p>
    <w:p>
      <w:pPr>
        <w:spacing w:after="0" w:line="158" w:lineRule="exact"/>
        <w:rPr>
          <w:sz w:val="20"/>
          <w:szCs w:val="20"/>
          <w:color w:val="auto"/>
        </w:rPr>
      </w:pPr>
    </w:p>
    <w:p>
      <w:pPr>
        <w:ind w:left="660" w:hanging="652"/>
        <w:spacing w:after="0"/>
        <w:tabs>
          <w:tab w:leader="none" w:pos="660"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Release of Claims</w:t>
      </w:r>
    </w:p>
    <w:p>
      <w:pPr>
        <w:spacing w:after="0" w:line="2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Skyworks shall have no obligation to make any payments or provide any benefits pursuant to Sections 1, 2, or 3, as applicable, and you shall not be eligible to receive any such benefits, unless (a) you sign and deliver to the General Counsel of Skyworks a release of claims in substantially the form attached hereto as Exhibit A (the “Release”) and (b) the Release has become non-revocable by the sixtieth (60th) day following the date of termination of your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200" w:lineRule="exact"/>
        <w:rPr>
          <w:sz w:val="20"/>
          <w:szCs w:val="20"/>
          <w:color w:val="auto"/>
        </w:rPr>
      </w:pPr>
    </w:p>
    <w:p>
      <w:pPr>
        <w:spacing w:after="0" w:line="242" w:lineRule="exact"/>
        <w:rPr>
          <w:sz w:val="20"/>
          <w:szCs w:val="20"/>
          <w:color w:val="auto"/>
        </w:rPr>
      </w:pPr>
    </w:p>
    <w:p>
      <w:pPr>
        <w:ind w:left="660" w:hanging="652"/>
        <w:spacing w:after="0"/>
        <w:tabs>
          <w:tab w:leader="none" w:pos="660"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Term</w:t>
      </w:r>
    </w:p>
    <w:p>
      <w:pPr>
        <w:spacing w:after="0" w:line="19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This Agreement shall become effective on the date executed by the parties hereto (the “Effective Date”), and shall remain effective for an initial term of two (2) years from the Effective Date (the “Initial Term”). Following the Initial Term, this Agreement shall renew automatically on the anniversary of the Effective Date for up to five (5) additional one (1) year periods (each an “Additional Term”) unless, at least ninety (90) days prior to the end of the then-current term of the Agreement, either party provides written notice to the other party that the Agreement shall not be extended. For the avoidance of doubt, a non-renewal of an extension of this Agreement is separate from, and shall not itself result in, a termination of your employment with the Company, nor shall the non-renewal of an extension of this Agreement for any reason constitute or give rise to Good Reason. This Agreement shall terminate automatically upon your termination of employment; provided, however, for the avoidance of doubt, that following such termination (i) the Company’s obligations to provide payments or benefits to you in accordance with the terms hereof shall survive any such termination of this Agreement and (ii) your obligations pursuant to Section 7 shall survive any such termination of this Agreement and extend throughout the non-solicitation period.</w:t>
      </w:r>
    </w:p>
    <w:p>
      <w:pPr>
        <w:spacing w:after="0" w:line="160" w:lineRule="exact"/>
        <w:rPr>
          <w:sz w:val="20"/>
          <w:szCs w:val="20"/>
          <w:color w:val="auto"/>
        </w:rPr>
      </w:pPr>
    </w:p>
    <w:p>
      <w:pPr>
        <w:ind w:left="640" w:hanging="632"/>
        <w:spacing w:after="0"/>
        <w:tabs>
          <w:tab w:leader="none" w:pos="640"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Entire Agreement</w:t>
      </w:r>
    </w:p>
    <w:p>
      <w:pPr>
        <w:spacing w:after="0" w:line="193"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10.1. This Agreement contains the entire agreement and understanding of the parties with respect to the subject matter contained herein, and replaces and supersedes, as of the Effective Date, all prior agreements relating to such subject matter, including without limitation the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Change in Control/Severance Agreement between you and Skyworks dated November 9, 2016. For the avoidance of doubt, you shall not be eligible to receive severance or similar payments under any severance plan, program or policy maintained by Skyworks.</w:t>
      </w:r>
    </w:p>
    <w:p>
      <w:pPr>
        <w:spacing w:after="0" w:line="149"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0"/>
          <w:szCs w:val="20"/>
          <w:color w:val="auto"/>
        </w:rPr>
        <w:t>10.2. You acknowledge and agree that you will be subject to the provisions of the compensation clawback policy that Skyworks has in effect or may implement in future.</w:t>
      </w:r>
    </w:p>
    <w:p>
      <w:pPr>
        <w:spacing w:after="0" w:line="161"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0"/>
          <w:szCs w:val="20"/>
          <w:color w:val="auto"/>
        </w:rPr>
        <w:t>10.3. You acknowledge and agree that your employment with Skyworks will continue to be “at will” and that your employment can be terminated with or without Cause at any time, with or without advance notice.</w:t>
      </w:r>
    </w:p>
    <w:p>
      <w:pPr>
        <w:spacing w:after="0" w:line="157" w:lineRule="exact"/>
        <w:rPr>
          <w:sz w:val="20"/>
          <w:szCs w:val="20"/>
          <w:color w:val="auto"/>
        </w:rPr>
      </w:pPr>
    </w:p>
    <w:p>
      <w:pPr>
        <w:ind w:left="640" w:hanging="632"/>
        <w:spacing w:after="0"/>
        <w:tabs>
          <w:tab w:leader="none" w:pos="640"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Definitions</w:t>
      </w:r>
    </w:p>
    <w:p>
      <w:pPr>
        <w:spacing w:after="0" w:line="19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11.1.</w:t>
      </w:r>
      <w:r>
        <w:rPr>
          <w:sz w:val="20"/>
          <w:szCs w:val="20"/>
          <w:color w:val="auto"/>
        </w:rPr>
        <w:tab/>
      </w:r>
      <w:r>
        <w:rPr>
          <w:rFonts w:ascii="Times New Roman" w:cs="Times New Roman" w:eastAsia="Times New Roman" w:hAnsi="Times New Roman"/>
          <w:sz w:val="19"/>
          <w:szCs w:val="19"/>
          <w:color w:val="auto"/>
        </w:rPr>
        <w:t>“Cause” means:</w:t>
      </w:r>
    </w:p>
    <w:p>
      <w:pPr>
        <w:spacing w:after="0" w:line="175" w:lineRule="exact"/>
        <w:rPr>
          <w:sz w:val="20"/>
          <w:szCs w:val="20"/>
          <w:color w:val="auto"/>
        </w:rPr>
      </w:pPr>
    </w:p>
    <w:p>
      <w:pPr>
        <w:ind w:left="1300" w:hanging="644"/>
        <w:spacing w:after="0"/>
        <w:tabs>
          <w:tab w:leader="none" w:pos="1300"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deliberate dishonesty that is significantly detrimental to the best interests of Skyworks or any subsidiary or affiliate;</w:t>
      </w:r>
    </w:p>
    <w:p>
      <w:pPr>
        <w:spacing w:after="0" w:line="18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 on your part constituting an act of moral turpitude;</w:t>
      </w:r>
    </w:p>
    <w:p>
      <w:pPr>
        <w:spacing w:after="0" w:line="188" w:lineRule="exact"/>
        <w:rPr>
          <w:rFonts w:ascii="Times New Roman" w:cs="Times New Roman" w:eastAsia="Times New Roman" w:hAnsi="Times New Roman"/>
          <w:sz w:val="20"/>
          <w:szCs w:val="20"/>
          <w:color w:val="auto"/>
        </w:rPr>
      </w:pPr>
    </w:p>
    <w:p>
      <w:pPr>
        <w:ind w:left="660" w:hanging="4"/>
        <w:spacing w:after="0" w:line="233" w:lineRule="auto"/>
        <w:tabs>
          <w:tab w:leader="none" w:pos="1298"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willful disloyalty to Skyworks or refusal or failure to obey the directions of the Board of Directors of Skyworks (the “</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or</w:t>
      </w:r>
    </w:p>
    <w:p>
      <w:pPr>
        <w:spacing w:after="0" w:line="160"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incompetent performance or substantial or continuing inattention to or neglect of duties assigned to you.</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determination of Cause must be made by the full Board at a meeting duly called.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200" w:lineRule="exact"/>
        <w:rPr>
          <w:sz w:val="20"/>
          <w:szCs w:val="20"/>
          <w:color w:val="auto"/>
        </w:rPr>
      </w:pPr>
    </w:p>
    <w:p>
      <w:pPr>
        <w:spacing w:after="0" w:line="24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11.2. “Change in Control” means an event or occurrence set forth in any one or more of subsections (a) through (d) below (including an event or occurrence that constitutes a Change in Control under one of such subsections but is specifically exempted from another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subsection):</w:t>
      </w:r>
    </w:p>
    <w:p>
      <w:pPr>
        <w:spacing w:after="0" w:line="153" w:lineRule="exact"/>
        <w:rPr>
          <w:sz w:val="20"/>
          <w:szCs w:val="20"/>
          <w:color w:val="auto"/>
        </w:rPr>
      </w:pPr>
    </w:p>
    <w:p>
      <w:pPr>
        <w:jc w:val="both"/>
        <w:ind w:left="660" w:hanging="4"/>
        <w:spacing w:after="0" w:line="223" w:lineRule="auto"/>
        <w:tabs>
          <w:tab w:leader="none" w:pos="1298" w:val="left"/>
        </w:tabs>
        <w:numPr>
          <w:ilvl w:val="0"/>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acquisition by an individual, entity or group (within the meaning of Section 13(d)(3) or 14(d)(2) of the Securities Exchange Act of 1934, as amended (the “Exchange Act”)) (a “Person”) of beneficial ownership of any capital stock of Skyworks if, after such acquisition, such Person beneficially owns (within the meaning of Rule 13d-3 promulgated under the Exchange Act) 40% or more of either (x) the then-outstanding shares of common stock of Skyworks (the “Outstanding Company Common Stock”) or (y) the combined voting power of the then-outstanding securities of Skyworks entitled to vote generally in the election of directors (the “Outstanding Company Voting Securities”); provided, however, that for purposes of this subsection (a), the following acquisitions shall not constitute a Change in Control: (i) any acquisition directly from Skyworks (excluding an acquisition pursuant to the exercise, conversion or exchange of any security exercisable for, convertible into or exchangeable for common stock or voting securities of Skyworks, unless the Person exercising, converting or exchanging such security acquired such security directly from Skyworks or an underwriter or agent of Skyworks), (ii) any acquisition by Skyworks, (iii) any acquisition by any employee benefit plan (or related trust) sponsored or maintained by Skyworks or any corporation controlled by Skyworks, or (iv) any acquisition by any corporation pursuant to a transaction which complies with clauses (i) and (ii) of subsection (c) of this Section 11.2; or</w:t>
      </w:r>
    </w:p>
    <w:p>
      <w:pPr>
        <w:spacing w:after="0" w:line="155" w:lineRule="exact"/>
        <w:rPr>
          <w:rFonts w:ascii="Times New Roman" w:cs="Times New Roman" w:eastAsia="Times New Roman" w:hAnsi="Times New Roman"/>
          <w:sz w:val="19"/>
          <w:szCs w:val="19"/>
          <w:color w:val="auto"/>
        </w:rPr>
      </w:pPr>
    </w:p>
    <w:p>
      <w:pPr>
        <w:jc w:val="both"/>
        <w:ind w:left="660" w:hanging="4"/>
        <w:spacing w:after="0" w:line="214" w:lineRule="auto"/>
        <w:tabs>
          <w:tab w:leader="none" w:pos="1296"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time as the Continuing Directors (as defined below) do not constitute a majority of the Board (or, if applicable, the Board of Directors of a successor corporation to Skyworks), where the term “Continuing Director” means at any date a member of the Board (i) who was a member of the Board on the date of the execution of this Agreement or (ii) who was nominated or elected subsequent to such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provided, however, that there shall be excluded from this clause (ii)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or</w:t>
      </w:r>
    </w:p>
    <w:p>
      <w:pPr>
        <w:spacing w:after="0" w:line="152" w:lineRule="exact"/>
        <w:rPr>
          <w:rFonts w:ascii="Times New Roman" w:cs="Times New Roman" w:eastAsia="Times New Roman" w:hAnsi="Times New Roman"/>
          <w:sz w:val="20"/>
          <w:szCs w:val="20"/>
          <w:color w:val="auto"/>
        </w:rPr>
      </w:pPr>
    </w:p>
    <w:p>
      <w:pPr>
        <w:jc w:val="both"/>
        <w:ind w:left="660" w:hanging="4"/>
        <w:spacing w:after="0" w:line="211" w:lineRule="auto"/>
        <w:tabs>
          <w:tab w:leader="none" w:pos="1298"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consummation of a merger, consolidation, reorganization, recapitalization or statutory share exchange involving Skyworks or a sale or other disposition of all or substantially all of the assets of Skyworks in one or a series of transactions (a “Business Combination”), unless, immediately following such Business Combination, each of the following two conditions is satisfied: (i) all or substantially all of the individuals and entities who were the beneficial owners of the Outstanding Company Common Stock and Outstanding Company Voting Securities immediately prior to such Business Combination beneficially own, directly or indirectly, more than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limitation, a corporation which as a result of such transaction owns Skyworks or substantially all of Skyworks’ assets either directly or through one or more subsidiaries) (such resulting or acquiring corporation is referred to herein as the “Acquiring Corporation”) in substantially the same proportions as their ownership, immediately prior to such Business Combination, of the Outstanding Company Common Stock and Outstanding Company Voting Securities, respectively; and (ii) no Person (excluding any employee benefit plan (or related trust) maintained or sponsored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200" w:lineRule="exact"/>
        <w:rPr>
          <w:sz w:val="20"/>
          <w:szCs w:val="20"/>
          <w:color w:val="auto"/>
        </w:rPr>
      </w:pPr>
    </w:p>
    <w:p>
      <w:pPr>
        <w:spacing w:after="0" w:line="246" w:lineRule="exact"/>
        <w:rPr>
          <w:sz w:val="20"/>
          <w:szCs w:val="20"/>
          <w:color w:val="auto"/>
        </w:rPr>
      </w:pPr>
    </w:p>
    <w:p>
      <w:pPr>
        <w:ind w:left="660"/>
        <w:spacing w:after="0" w:line="227" w:lineRule="auto"/>
        <w:rPr>
          <w:sz w:val="20"/>
          <w:szCs w:val="20"/>
          <w:color w:val="auto"/>
        </w:rPr>
      </w:pPr>
      <w:r>
        <w:rPr>
          <w:rFonts w:ascii="Times New Roman" w:cs="Times New Roman" w:eastAsia="Times New Roman" w:hAnsi="Times New Roman"/>
          <w:sz w:val="19"/>
          <w:szCs w:val="19"/>
          <w:color w:val="auto"/>
        </w:rPr>
        <w:t>Skyworks or by the Acquiring Corporation) beneficially owns, directly or indirectly, 40% or more of the then-outstanding shares of common stock of the Acquiring Corporation, or of the combined voting power of the then-outstanding securities of such corporation</w:t>
      </w:r>
    </w:p>
    <w:p>
      <w:pPr>
        <w:ind w:left="660" w:right="20"/>
        <w:spacing w:after="0" w:line="221" w:lineRule="auto"/>
        <w:rPr>
          <w:sz w:val="20"/>
          <w:szCs w:val="20"/>
          <w:color w:val="auto"/>
        </w:rPr>
      </w:pPr>
      <w:r>
        <w:rPr>
          <w:rFonts w:ascii="Times New Roman" w:cs="Times New Roman" w:eastAsia="Times New Roman" w:hAnsi="Times New Roman"/>
          <w:sz w:val="20"/>
          <w:szCs w:val="20"/>
          <w:color w:val="auto"/>
        </w:rPr>
        <w:t>entitled to vote generally in the election of directors (except to the extent that such ownership existed prior to the Business Combination); or</w:t>
      </w:r>
    </w:p>
    <w:p>
      <w:pPr>
        <w:spacing w:after="0" w:line="162" w:lineRule="exact"/>
        <w:rPr>
          <w:sz w:val="20"/>
          <w:szCs w:val="20"/>
          <w:color w:val="auto"/>
        </w:rPr>
      </w:pPr>
    </w:p>
    <w:p>
      <w:pPr>
        <w:ind w:left="1300" w:hanging="644"/>
        <w:spacing w:after="0"/>
        <w:tabs>
          <w:tab w:leader="none" w:pos="1300"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approval by the stockholders of Skyworks of a complete liquidation or dissolution of Skyworks.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Notwithstanding anything herein to the contrary, to the extent that any payment or benefit hereunder constitutes nonqualified deferred compensation within the meaning of Section 409A (as defined below), then, with respect to such payment or benefit, any event constituting a Change in Control above must also constitute a “change in control event” within the meaning of Treasury Regulation Section 1.409A-3(i)(5) (i).</w:t>
      </w:r>
    </w:p>
    <w:p>
      <w:pPr>
        <w:spacing w:after="0" w:line="15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11.3.</w:t>
      </w:r>
      <w:r>
        <w:rPr>
          <w:sz w:val="20"/>
          <w:szCs w:val="20"/>
          <w:color w:val="auto"/>
        </w:rPr>
        <w:tab/>
      </w:r>
      <w:r>
        <w:rPr>
          <w:rFonts w:ascii="Times New Roman" w:cs="Times New Roman" w:eastAsia="Times New Roman" w:hAnsi="Times New Roman"/>
          <w:sz w:val="19"/>
          <w:szCs w:val="19"/>
          <w:color w:val="auto"/>
        </w:rPr>
        <w:t>“Good Reason” means the occurrence of any of the following events without your prior written consent:</w:t>
      </w:r>
    </w:p>
    <w:p>
      <w:pPr>
        <w:spacing w:after="0" w:line="189" w:lineRule="exact"/>
        <w:rPr>
          <w:sz w:val="20"/>
          <w:szCs w:val="20"/>
          <w:color w:val="auto"/>
        </w:rPr>
      </w:pPr>
    </w:p>
    <w:p>
      <w:pPr>
        <w:ind w:left="1300" w:hanging="644"/>
        <w:spacing w:after="0"/>
        <w:tabs>
          <w:tab w:leader="none" w:pos="1300"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diminution of your base compensation;</w:t>
      </w:r>
    </w:p>
    <w:p>
      <w:pPr>
        <w:spacing w:after="0" w:line="17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diminution in your authority, duties or responsibilities;</w:t>
      </w:r>
    </w:p>
    <w:p>
      <w:pPr>
        <w:spacing w:after="0" w:line="188" w:lineRule="exact"/>
        <w:rPr>
          <w:rFonts w:ascii="Times New Roman" w:cs="Times New Roman" w:eastAsia="Times New Roman" w:hAnsi="Times New Roman"/>
          <w:sz w:val="20"/>
          <w:szCs w:val="20"/>
          <w:color w:val="auto"/>
        </w:rPr>
      </w:pPr>
    </w:p>
    <w:p>
      <w:pPr>
        <w:jc w:val="both"/>
        <w:ind w:left="660" w:hanging="4"/>
        <w:spacing w:after="0" w:line="226" w:lineRule="auto"/>
        <w:tabs>
          <w:tab w:leader="none" w:pos="1298"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diminution in the authority, duties or responsibilities of the supervisor to whom you are required to report, such a material diminution to include the supervisor to whom you are required to report no longer reporting to the Board of Directors of Skyworks (or its successor or parent) or the analogous governing body of Skyworks (or its successor or parent);</w:t>
      </w:r>
    </w:p>
    <w:p>
      <w:pPr>
        <w:spacing w:after="0" w:line="160" w:lineRule="exact"/>
        <w:rPr>
          <w:rFonts w:ascii="Times New Roman" w:cs="Times New Roman" w:eastAsia="Times New Roman" w:hAnsi="Times New Roman"/>
          <w:sz w:val="20"/>
          <w:szCs w:val="20"/>
          <w:color w:val="auto"/>
        </w:rPr>
      </w:pPr>
    </w:p>
    <w:p>
      <w:pPr>
        <w:jc w:val="both"/>
        <w:ind w:left="660" w:hanging="4"/>
        <w:spacing w:after="0" w:line="222" w:lineRule="auto"/>
        <w:tabs>
          <w:tab w:leader="none" w:pos="1296"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change in the geographic location at which you are directed that you must perform your duties, which Skyworks has determined shall include a change in your principal place of employment at Skyworks’ or an affiliate’s direction from the location of your principal place of employment immediately prior to the Effective Date of this Agreement to a location more than fifty (50) miles from such principal place of employment; or</w:t>
      </w:r>
    </w:p>
    <w:p>
      <w:pPr>
        <w:spacing w:after="0" w:line="16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action or inaction constituting a material breach by Skyworks of the terms of this Agreement.</w:t>
      </w:r>
    </w:p>
    <w:p>
      <w:pPr>
        <w:spacing w:after="0" w:line="1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Your termination of employment shall not be deemed to be for Good Reason unless, within sixty (60) days of the occurrence of the event constituting Good Reason, you have provided Skyworks with (i) at least thirty (30) days’ advance written notice of your decision to terminate your employment for Good Reason, and (ii) a period of not less than thirty (30) days to cure the event or condition described in subsections (a), (b), (c), (d), or (e) above, and Skyworks has either failed to so cure the event or waived its right to cure the event, to the extent it is then subject to cure.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200" w:lineRule="exact"/>
        <w:rPr>
          <w:sz w:val="20"/>
          <w:szCs w:val="20"/>
          <w:color w:val="auto"/>
        </w:rPr>
      </w:pPr>
    </w:p>
    <w:p>
      <w:pPr>
        <w:spacing w:after="0" w:line="242" w:lineRule="exact"/>
        <w:rPr>
          <w:sz w:val="20"/>
          <w:szCs w:val="20"/>
          <w:color w:val="auto"/>
        </w:rPr>
      </w:pPr>
    </w:p>
    <w:p>
      <w:pPr>
        <w:ind w:left="640" w:hanging="632"/>
        <w:spacing w:after="0"/>
        <w:tabs>
          <w:tab w:leader="none" w:pos="640"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Miscellaneous</w:t>
      </w:r>
    </w:p>
    <w:p>
      <w:pPr>
        <w:spacing w:after="0" w:line="17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12.1.</w:t>
        <w:tab/>
        <w:t>All claims by you for benefits under this Agreement shall be directed to and determined by the Board and shall be in writing. Any</w:t>
      </w:r>
    </w:p>
    <w:p>
      <w:pPr>
        <w:spacing w:after="0" w:line="204" w:lineRule="auto"/>
        <w:rPr>
          <w:sz w:val="20"/>
          <w:szCs w:val="20"/>
          <w:color w:val="auto"/>
        </w:rPr>
      </w:pPr>
      <w:r>
        <w:rPr>
          <w:rFonts w:ascii="Times New Roman" w:cs="Times New Roman" w:eastAsia="Times New Roman" w:hAnsi="Times New Roman"/>
          <w:sz w:val="20"/>
          <w:szCs w:val="20"/>
          <w:color w:val="auto"/>
        </w:rPr>
        <w:t>denial by the Board of a claim for benefits under this Agreement shall be delivered to you in writing and shall set forth the specific reasons for the denial and the specific provisions of this Agreement relied upon. The Board shall afford a reasonable opportunity to you for a review</w:t>
      </w:r>
    </w:p>
    <w:p>
      <w:pPr>
        <w:spacing w:after="0" w:line="211" w:lineRule="auto"/>
        <w:rPr>
          <w:sz w:val="20"/>
          <w:szCs w:val="20"/>
          <w:color w:val="auto"/>
        </w:rPr>
      </w:pPr>
      <w:r>
        <w:rPr>
          <w:rFonts w:ascii="Times New Roman" w:cs="Times New Roman" w:eastAsia="Times New Roman" w:hAnsi="Times New Roman"/>
          <w:sz w:val="20"/>
          <w:szCs w:val="20"/>
          <w:color w:val="auto"/>
        </w:rPr>
        <w:t>of the decision denying a claim. Any further dispute or controversy arising under or in connection with this Agreement shall be settled</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exclusively by arbitration in accordance with the terms and conditions of the Company’s standard form of arbitration agreement, which if you have not already entered into shall be signed by you contemporaneously with this Agreement as a condition of the severance arrangements</w:t>
      </w:r>
    </w:p>
    <w:p>
      <w:pPr>
        <w:spacing w:after="0" w:line="211" w:lineRule="auto"/>
        <w:rPr>
          <w:sz w:val="20"/>
          <w:szCs w:val="20"/>
          <w:color w:val="auto"/>
        </w:rPr>
      </w:pPr>
      <w:r>
        <w:rPr>
          <w:rFonts w:ascii="Times New Roman" w:cs="Times New Roman" w:eastAsia="Times New Roman" w:hAnsi="Times New Roman"/>
          <w:sz w:val="20"/>
          <w:szCs w:val="20"/>
          <w:color w:val="auto"/>
        </w:rPr>
        <w:t>hereunder. Skyworks agrees to pay as incurred, to the full extent permitted by law, all legal, accounting and other fees and expenses which</w:t>
      </w:r>
    </w:p>
    <w:p>
      <w:pPr>
        <w:spacing w:after="0" w:line="215" w:lineRule="auto"/>
        <w:rPr>
          <w:sz w:val="20"/>
          <w:szCs w:val="20"/>
          <w:color w:val="auto"/>
        </w:rPr>
      </w:pPr>
      <w:r>
        <w:rPr>
          <w:rFonts w:ascii="Times New Roman" w:cs="Times New Roman" w:eastAsia="Times New Roman" w:hAnsi="Times New Roman"/>
          <w:sz w:val="19"/>
          <w:szCs w:val="19"/>
          <w:color w:val="auto"/>
        </w:rPr>
        <w:t>you may reasonably incur as a result of any claim or contest (regardless of the outcome thereof) by Skyworks, you or others regarding the validity or enforceability of, or liability under, any provision of this Agreement or any guarantee of performance thereof (including as a result</w:t>
      </w:r>
    </w:p>
    <w:p>
      <w:pPr>
        <w:spacing w:after="0" w:line="222" w:lineRule="auto"/>
        <w:rPr>
          <w:sz w:val="20"/>
          <w:szCs w:val="20"/>
          <w:color w:val="auto"/>
        </w:rPr>
      </w:pPr>
      <w:r>
        <w:rPr>
          <w:rFonts w:ascii="Times New Roman" w:cs="Times New Roman" w:eastAsia="Times New Roman" w:hAnsi="Times New Roman"/>
          <w:sz w:val="19"/>
          <w:szCs w:val="19"/>
          <w:color w:val="auto"/>
        </w:rPr>
        <w:t>of any contest by you regarding the amount of any payment or benefits pursuant to this Agreement), plus in each case interest on any delayed</w:t>
      </w:r>
    </w:p>
    <w:p>
      <w:pPr>
        <w:spacing w:after="0" w:line="204" w:lineRule="auto"/>
        <w:rPr>
          <w:sz w:val="20"/>
          <w:szCs w:val="20"/>
          <w:color w:val="auto"/>
        </w:rPr>
      </w:pPr>
      <w:r>
        <w:rPr>
          <w:rFonts w:ascii="Times New Roman" w:cs="Times New Roman" w:eastAsia="Times New Roman" w:hAnsi="Times New Roman"/>
          <w:sz w:val="20"/>
          <w:szCs w:val="20"/>
          <w:color w:val="auto"/>
        </w:rPr>
        <w:t>payment at the applicable federal rate provided for in Section 7872(f)(2)(A) of the Code. Notwithstanding anything in this Agreement to the contrary, (a) no provision of this Agreement shall operate to extend the life of any option beyond the term originally stated in the applicable</w:t>
      </w:r>
    </w:p>
    <w:p>
      <w:pPr>
        <w:spacing w:after="0" w:line="211" w:lineRule="auto"/>
        <w:rPr>
          <w:sz w:val="20"/>
          <w:szCs w:val="20"/>
          <w:color w:val="auto"/>
        </w:rPr>
      </w:pPr>
      <w:r>
        <w:rPr>
          <w:rFonts w:ascii="Times New Roman" w:cs="Times New Roman" w:eastAsia="Times New Roman" w:hAnsi="Times New Roman"/>
          <w:sz w:val="20"/>
          <w:szCs w:val="20"/>
          <w:color w:val="auto"/>
        </w:rPr>
        <w:t>option grant or option agreement; (b) the reimbursement of a fee or expense pursuant to this Section 12 shall be provided not later than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calendar year following the calendar year in which the fee or expense was incurred, (c) the amount of fees and expenses eligible for reimbursement during any calendar year may not affect the amount of fees and expenses eligible for reimbursement in any other calendar</w:t>
      </w:r>
    </w:p>
    <w:p>
      <w:pPr>
        <w:spacing w:after="0" w:line="211" w:lineRule="auto"/>
        <w:rPr>
          <w:sz w:val="20"/>
          <w:szCs w:val="20"/>
          <w:color w:val="auto"/>
        </w:rPr>
      </w:pPr>
      <w:r>
        <w:rPr>
          <w:rFonts w:ascii="Times New Roman" w:cs="Times New Roman" w:eastAsia="Times New Roman" w:hAnsi="Times New Roman"/>
          <w:sz w:val="20"/>
          <w:szCs w:val="20"/>
          <w:color w:val="auto"/>
        </w:rPr>
        <w:t>year, (d) the right to reimbursement under this Section 12 is not subject to liquidation or exchange for another benefit and (e) the obligation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of Skyworks under this Section 12 shall survive the termination for any reason of this Agreement and shall remain in effect until the applicable statute of limitation has expired with respect to any claim or contest (regardless of the outcome thereof) by Skyworks, you or</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others regarding the validity or enforceability of, or liability under, any provision of this Agreement or any guarantee of performance thereof (including as a result of any contest by you regarding the amount of any payment or benefits pursuant to this Agreement).</w:t>
      </w:r>
    </w:p>
    <w:p>
      <w:pPr>
        <w:spacing w:after="0" w:line="149"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20"/>
          <w:szCs w:val="20"/>
          <w:color w:val="auto"/>
        </w:rPr>
        <w:t>12.2. This Agreement is intended to comply with or be exempt from Section 409A of the Code and any related regulations or other applicable guidance promulgated thereunder (collectively, “Section 409A”), to the extent applicable. It is the intent of the parties hereto that</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all severance payments and benefits provided pursuant to this Agreement qualify as short-term deferrals, as defined in Treasury Regulation §1.409A-1(a)(4), separation pay due to an involuntary separation from service under Treasury Regulation §1.409A-1(b)(9)(iii),</w:t>
      </w:r>
    </w:p>
    <w:p>
      <w:pPr>
        <w:spacing w:after="0" w:line="211" w:lineRule="auto"/>
        <w:rPr>
          <w:sz w:val="20"/>
          <w:szCs w:val="20"/>
          <w:color w:val="auto"/>
        </w:rPr>
      </w:pPr>
      <w:r>
        <w:rPr>
          <w:rFonts w:ascii="Times New Roman" w:cs="Times New Roman" w:eastAsia="Times New Roman" w:hAnsi="Times New Roman"/>
          <w:sz w:val="20"/>
          <w:szCs w:val="20"/>
          <w:color w:val="auto"/>
        </w:rPr>
        <w:t>reimbursement of medical benefits under Treasury Regulation §1.409A-1(b)(9)(v)(B), and/or limited payments, as defined in Treasury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Regulation §1.409A-1(b)(9)(v)(D), to the extent applicable. If (a) it is determined that any payments or benefits provided pursuant to this Agreement that are paid upon “separation from service” (as that term is used in Section 409A) constitute deferred compensation for purposes</w:t>
      </w:r>
    </w:p>
    <w:p>
      <w:pPr>
        <w:spacing w:after="0" w:line="222" w:lineRule="auto"/>
        <w:rPr>
          <w:sz w:val="20"/>
          <w:szCs w:val="20"/>
          <w:color w:val="auto"/>
        </w:rPr>
      </w:pPr>
      <w:r>
        <w:rPr>
          <w:rFonts w:ascii="Times New Roman" w:cs="Times New Roman" w:eastAsia="Times New Roman" w:hAnsi="Times New Roman"/>
          <w:sz w:val="19"/>
          <w:szCs w:val="19"/>
          <w:color w:val="auto"/>
        </w:rPr>
        <w:t>of Section 409A (after taking into account the exceptions listed in the prior sentence and/or any other applicable exceptions) and (b) you are a</w:t>
      </w:r>
    </w:p>
    <w:p>
      <w:pPr>
        <w:ind w:right="20"/>
        <w:spacing w:after="0" w:line="215" w:lineRule="auto"/>
        <w:rPr>
          <w:sz w:val="20"/>
          <w:szCs w:val="20"/>
          <w:color w:val="auto"/>
        </w:rPr>
      </w:pPr>
      <w:r>
        <w:rPr>
          <w:rFonts w:ascii="Times New Roman" w:cs="Times New Roman" w:eastAsia="Times New Roman" w:hAnsi="Times New Roman"/>
          <w:sz w:val="19"/>
          <w:szCs w:val="19"/>
          <w:color w:val="auto"/>
        </w:rPr>
        <w:t>“specified employee” (as that term is used in Section 409A) when your employment terminates, such payments or benefits (or portions thereof) that constitute deferred compensation payable upon a separation from service that are to be paid or provided during the six (6) month</w:t>
      </w:r>
    </w:p>
    <w:p>
      <w:pPr>
        <w:spacing w:after="0" w:line="222" w:lineRule="auto"/>
        <w:rPr>
          <w:sz w:val="20"/>
          <w:szCs w:val="20"/>
          <w:color w:val="auto"/>
        </w:rPr>
      </w:pPr>
      <w:r>
        <w:rPr>
          <w:rFonts w:ascii="Times New Roman" w:cs="Times New Roman" w:eastAsia="Times New Roman" w:hAnsi="Times New Roman"/>
          <w:sz w:val="19"/>
          <w:szCs w:val="19"/>
          <w:color w:val="auto"/>
        </w:rPr>
        <w:t>period following termination of your employment shall not be paid or provided until the first business day after the date that is six (6) months</w:t>
      </w:r>
    </w:p>
    <w:p>
      <w:pPr>
        <w:jc w:val="both"/>
        <w:ind w:right="20"/>
        <w:spacing w:after="0" w:line="204" w:lineRule="auto"/>
        <w:rPr>
          <w:sz w:val="20"/>
          <w:szCs w:val="20"/>
          <w:color w:val="auto"/>
        </w:rPr>
      </w:pPr>
      <w:r>
        <w:rPr>
          <w:rFonts w:ascii="Times New Roman" w:cs="Times New Roman" w:eastAsia="Times New Roman" w:hAnsi="Times New Roman"/>
          <w:sz w:val="20"/>
          <w:szCs w:val="20"/>
          <w:color w:val="auto"/>
        </w:rPr>
        <w:t>following termination of your employment or, if earlier, the first business day following the date of your death. The payment that is made pursuant to the prior sentence shall include the cumulative amount of any amounts that could not be paid during the six (6) month period.</w:t>
      </w:r>
    </w:p>
    <w:p>
      <w:pPr>
        <w:spacing w:after="0" w:line="197" w:lineRule="auto"/>
        <w:rPr>
          <w:sz w:val="20"/>
          <w:szCs w:val="20"/>
          <w:color w:val="auto"/>
        </w:rPr>
      </w:pPr>
      <w:r>
        <w:rPr>
          <w:rFonts w:ascii="Times New Roman" w:cs="Times New Roman" w:eastAsia="Times New Roman" w:hAnsi="Times New Roman"/>
          <w:sz w:val="20"/>
          <w:szCs w:val="20"/>
          <w:color w:val="auto"/>
        </w:rPr>
        <w:t>Each installment payment under this Agreement shall be treated as a separate payment as defined under Treasury Regulation §1.409A-2(b)</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200" w:lineRule="exact"/>
        <w:rPr>
          <w:sz w:val="20"/>
          <w:szCs w:val="20"/>
          <w:color w:val="auto"/>
        </w:rPr>
      </w:pPr>
    </w:p>
    <w:p>
      <w:pPr>
        <w:spacing w:after="0" w:line="246"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12.3. Except as expressly provided in this Section 12, neither you nor Skyworks shall have the right to accelerate or to defer the delivery of the payments or benefits to be made or provided under this Agreement and in no event shall you have the right to designate in which tax year</w:t>
      </w:r>
    </w:p>
    <w:p>
      <w:pPr>
        <w:spacing w:after="0" w:line="207" w:lineRule="auto"/>
        <w:rPr>
          <w:sz w:val="20"/>
          <w:szCs w:val="20"/>
          <w:color w:val="auto"/>
        </w:rPr>
      </w:pPr>
      <w:r>
        <w:rPr>
          <w:rFonts w:ascii="Times New Roman" w:cs="Times New Roman" w:eastAsia="Times New Roman" w:hAnsi="Times New Roman"/>
          <w:sz w:val="19"/>
          <w:szCs w:val="19"/>
          <w:color w:val="auto"/>
        </w:rPr>
        <w:t>a payment will be made or benefit will be provided. Accordingly, if the sixty (60) day period during which the Release (described in Section</w:t>
      </w:r>
    </w:p>
    <w:p>
      <w:pPr>
        <w:spacing w:after="0" w:line="1" w:lineRule="exact"/>
        <w:rPr>
          <w:sz w:val="20"/>
          <w:szCs w:val="20"/>
          <w:color w:val="auto"/>
        </w:rPr>
      </w:pPr>
    </w:p>
    <w:p>
      <w:pPr>
        <w:jc w:val="both"/>
        <w:ind w:firstLine="8"/>
        <w:spacing w:after="0" w:line="215" w:lineRule="auto"/>
        <w:tabs>
          <w:tab w:leader="none" w:pos="231"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must be executed, delivered, and become irrevocable straddles two tax years, no payments or benefits will be made or provided to you before the first business day of the second tax year. Notwithstanding anything in this Agreement to the contrary, references to employment termination in Sections 1, 2, or 4, as applicable, shall be interpreted to mean “separation from service,” as that term is used in Section 409A of the Code and related regulations. Accordingly, payments to be made under Sections 1, 2, or 4, as applicable, shall not be made unless a separation from service (within the meaning of Section 409A of the Code and related regulations) shall have occurred.</w:t>
      </w:r>
    </w:p>
    <w:p>
      <w:pPr>
        <w:spacing w:after="0" w:line="163"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0"/>
          <w:szCs w:val="20"/>
          <w:color w:val="auto"/>
        </w:rPr>
        <w:t>12.4. Skyworks may withhold (or cause to be withheld) from any payments made under this Agreement, all federal, state, city or other taxes as shall be required to be withheld pursuant to any law or governmental regulation or ruling.</w:t>
      </w:r>
    </w:p>
    <w:p>
      <w:pPr>
        <w:spacing w:after="0" w:line="15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12.5.</w:t>
      </w:r>
      <w:r>
        <w:rPr>
          <w:sz w:val="20"/>
          <w:szCs w:val="20"/>
          <w:color w:val="auto"/>
        </w:rPr>
        <w:tab/>
      </w:r>
      <w:r>
        <w:rPr>
          <w:rFonts w:ascii="Times New Roman" w:cs="Times New Roman" w:eastAsia="Times New Roman" w:hAnsi="Times New Roman"/>
          <w:sz w:val="19"/>
          <w:szCs w:val="19"/>
          <w:color w:val="auto"/>
        </w:rPr>
        <w:t>Skyworks shall require any successor (whether direct or indirect, by purchase, merger, consolidation, reorganization or otherwise) to</w:t>
      </w:r>
    </w:p>
    <w:p>
      <w:pPr>
        <w:spacing w:after="0" w:line="204" w:lineRule="auto"/>
        <w:rPr>
          <w:sz w:val="20"/>
          <w:szCs w:val="20"/>
          <w:color w:val="auto"/>
        </w:rPr>
      </w:pPr>
      <w:r>
        <w:rPr>
          <w:rFonts w:ascii="Times New Roman" w:cs="Times New Roman" w:eastAsia="Times New Roman" w:hAnsi="Times New Roman"/>
          <w:sz w:val="20"/>
          <w:szCs w:val="20"/>
          <w:color w:val="auto"/>
        </w:rPr>
        <w:t>all or substantially all of the business or assets of Skyworks (the “Acquisition”), as a condition precedent to the Acquisition, to expressly assume and agree in writing, with a copy to you, to perform this Agreement in the same manner and to the same extent as Skyworks would</w:t>
      </w:r>
    </w:p>
    <w:p>
      <w:pPr>
        <w:spacing w:after="0" w:line="211" w:lineRule="auto"/>
        <w:rPr>
          <w:sz w:val="20"/>
          <w:szCs w:val="20"/>
          <w:color w:val="auto"/>
        </w:rPr>
      </w:pPr>
      <w:r>
        <w:rPr>
          <w:rFonts w:ascii="Times New Roman" w:cs="Times New Roman" w:eastAsia="Times New Roman" w:hAnsi="Times New Roman"/>
          <w:sz w:val="20"/>
          <w:szCs w:val="20"/>
          <w:color w:val="auto"/>
        </w:rPr>
        <w:t>be required to perform this Agreement as if no such succession had taken place. You acknowledge and agree, and Skyworks acknowledges</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and agrees, that, without limitation to any other provision of this Agreement which is also “material,” this provision is a material term of this Agreement and an important clause benefiting you, to assure you that the obligation of Skyworks to provide you with the existing benefits</w:t>
      </w:r>
    </w:p>
    <w:p>
      <w:pPr>
        <w:spacing w:after="0" w:line="228" w:lineRule="auto"/>
        <w:rPr>
          <w:sz w:val="20"/>
          <w:szCs w:val="20"/>
          <w:color w:val="auto"/>
        </w:rPr>
      </w:pPr>
      <w:r>
        <w:rPr>
          <w:rFonts w:ascii="Times New Roman" w:cs="Times New Roman" w:eastAsia="Times New Roman" w:hAnsi="Times New Roman"/>
          <w:sz w:val="20"/>
          <w:szCs w:val="20"/>
          <w:color w:val="auto"/>
        </w:rPr>
        <w:t>made available under this Agreement, are adhered to by any successor to Skyworks, and the provision also benefits Skyworks in that the assurance to you afforded by this provision is an important retention incentive to have you remain in the employment of Skyworks.</w:t>
      </w:r>
    </w:p>
    <w:p>
      <w:pPr>
        <w:spacing w:after="0" w:line="14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12.6.</w:t>
      </w:r>
      <w:r>
        <w:rPr>
          <w:sz w:val="20"/>
          <w:szCs w:val="20"/>
          <w:color w:val="auto"/>
        </w:rPr>
        <w:tab/>
      </w:r>
      <w:r>
        <w:rPr>
          <w:rFonts w:ascii="Times New Roman" w:cs="Times New Roman" w:eastAsia="Times New Roman" w:hAnsi="Times New Roman"/>
          <w:sz w:val="19"/>
          <w:szCs w:val="19"/>
          <w:color w:val="auto"/>
        </w:rPr>
        <w:t>This Agreement may be modified only by a written instrument executed by both parties.</w:t>
      </w:r>
    </w:p>
    <w:p>
      <w:pPr>
        <w:spacing w:after="0" w:line="18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12.7.</w:t>
        <w:tab/>
        <w:t>This Agreement and any disputes hereunder shall be governed by and construed in accordance with the internal laws of the State of</w:t>
      </w:r>
    </w:p>
    <w:p>
      <w:pPr>
        <w:spacing w:after="0" w:line="221" w:lineRule="auto"/>
        <w:rPr>
          <w:sz w:val="20"/>
          <w:szCs w:val="20"/>
          <w:color w:val="auto"/>
        </w:rPr>
      </w:pPr>
      <w:r>
        <w:rPr>
          <w:rFonts w:ascii="Times New Roman" w:cs="Times New Roman" w:eastAsia="Times New Roman" w:hAnsi="Times New Roman"/>
          <w:sz w:val="20"/>
          <w:szCs w:val="20"/>
          <w:color w:val="auto"/>
        </w:rPr>
        <w:t>California without giving effect to any choice or conflict of law provision or rule (whether of California or any other jurisdiction) that would cause the application of laws of any jurisdiction other than those of California.</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Please sign both copies of this Agreement and return one to Skyworks.</w:t>
      </w:r>
    </w:p>
    <w:p>
      <w:pPr>
        <w:spacing w:after="0" w:line="25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Sincerely,</w:t>
      </w:r>
    </w:p>
    <w:p>
      <w:pPr>
        <w:spacing w:after="0" w:line="297" w:lineRule="exact"/>
        <w:rPr>
          <w:sz w:val="20"/>
          <w:szCs w:val="20"/>
          <w:color w:val="auto"/>
        </w:rPr>
      </w:pPr>
    </w:p>
    <w:p>
      <w:pPr>
        <w:ind w:left="80"/>
        <w:spacing w:after="0"/>
        <w:tabs>
          <w:tab w:leader="none" w:pos="5680" w:val="left"/>
        </w:tabs>
        <w:rPr>
          <w:sz w:val="20"/>
          <w:szCs w:val="20"/>
          <w:color w:val="auto"/>
        </w:rPr>
      </w:pPr>
      <w:r>
        <w:rPr>
          <w:rFonts w:ascii="Times New Roman" w:cs="Times New Roman" w:eastAsia="Times New Roman" w:hAnsi="Times New Roman"/>
          <w:sz w:val="20"/>
          <w:szCs w:val="20"/>
          <w:color w:val="auto"/>
        </w:rPr>
        <w:t>SKYWORKS SOLUTIONS, INC.</w:t>
      </w:r>
      <w:r>
        <w:rPr>
          <w:sz w:val="20"/>
          <w:szCs w:val="20"/>
          <w:color w:val="auto"/>
        </w:rPr>
        <w:tab/>
      </w:r>
      <w:r>
        <w:rPr>
          <w:rFonts w:ascii="Times New Roman" w:cs="Times New Roman" w:eastAsia="Times New Roman" w:hAnsi="Times New Roman"/>
          <w:sz w:val="19"/>
          <w:szCs w:val="19"/>
          <w:color w:val="auto"/>
        </w:rPr>
        <w:t>AGREED TO:</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 Liam K. Griffin</w:t>
            </w:r>
          </w:p>
        </w:tc>
        <w:tc>
          <w:tcPr>
            <w:tcW w:w="280" w:type="dxa"/>
            <w:vAlign w:val="bottom"/>
          </w:tcPr>
          <w:p>
            <w:pPr>
              <w:spacing w:after="0"/>
              <w:rPr>
                <w:sz w:val="22"/>
                <w:szCs w:val="22"/>
                <w:color w:val="auto"/>
              </w:rPr>
            </w:pPr>
          </w:p>
        </w:tc>
        <w:tc>
          <w:tcPr>
            <w:tcW w:w="56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 Reza Kasnavi</w:t>
            </w:r>
          </w:p>
        </w:tc>
        <w:tc>
          <w:tcPr>
            <w:tcW w:w="0" w:type="dxa"/>
            <w:vAlign w:val="bottom"/>
          </w:tcPr>
          <w:p>
            <w:pPr>
              <w:spacing w:after="0"/>
              <w:rPr>
                <w:sz w:val="1"/>
                <w:szCs w:val="1"/>
                <w:color w:val="auto"/>
              </w:rPr>
            </w:pPr>
          </w:p>
        </w:tc>
      </w:tr>
      <w:tr>
        <w:trPr>
          <w:trHeight w:val="244"/>
        </w:trPr>
        <w:tc>
          <w:tcPr>
            <w:tcW w:w="56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Liam K. Griffin</w:t>
            </w:r>
          </w:p>
        </w:tc>
        <w:tc>
          <w:tcPr>
            <w:tcW w:w="56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Reza Kasnavi</w:t>
            </w:r>
          </w:p>
        </w:tc>
        <w:tc>
          <w:tcPr>
            <w:tcW w:w="0" w:type="dxa"/>
            <w:vAlign w:val="bottom"/>
          </w:tcPr>
          <w:p>
            <w:pPr>
              <w:spacing w:after="0"/>
              <w:rPr>
                <w:sz w:val="1"/>
                <w:szCs w:val="1"/>
                <w:color w:val="auto"/>
              </w:rPr>
            </w:pPr>
          </w:p>
        </w:tc>
      </w:tr>
      <w:tr>
        <w:trPr>
          <w:trHeight w:val="258"/>
        </w:trPr>
        <w:tc>
          <w:tcPr>
            <w:tcW w:w="56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Chairman, Chief Executive Officer and President</w:t>
            </w:r>
          </w:p>
        </w:tc>
        <w:tc>
          <w:tcPr>
            <w:tcW w:w="560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Date:</w:t>
            </w:r>
          </w:p>
        </w:tc>
        <w:tc>
          <w:tcPr>
            <w:tcW w:w="0" w:type="dxa"/>
            <w:vAlign w:val="bottom"/>
          </w:tcPr>
          <w:p>
            <w:pPr>
              <w:spacing w:after="0"/>
              <w:rPr>
                <w:sz w:val="1"/>
                <w:szCs w:val="1"/>
                <w:color w:val="auto"/>
              </w:rPr>
            </w:pPr>
          </w:p>
        </w:tc>
      </w:tr>
      <w:tr>
        <w:trPr>
          <w:trHeight w:val="214"/>
        </w:trPr>
        <w:tc>
          <w:tcPr>
            <w:tcW w:w="5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5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May 10, 2023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40"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Release of Claims</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 xml:space="preserve">In consideration for receiving benefits pursuant to Sections 1, 2, or 3, as applicable, of the Amended and Restated Change in Control/Severance Agreement dated May 10, 2023, between you and Skyworks Solutions, Inc. (the “Company”) (the “Agreement”), you, on behalf of yourself and your representatives, agents, estate, heirs, successors and assigns, agree to and do hereby fully, forever, irrevocably and unconditionally waive, release and discharge the Company, and each of its affiliated or related entities, parents, subsidiaries, predecessors, successors, assigns, divisions, owners, stockholders, partners, directors, officers, attorneys, insurers, benefit plans, employees and agents, whether previously or hereinafter affiliated in any manner, as well as all persons or entities acting by, through, or in concert with any of them (collectively, the “Released Parties”), from any and all claims, debts, contracts, obligations, promises, controversies, agreements, liabilities, charges, demands, actions, suits, disputes, agreements, damages, attorneys’ fees, and complaints of every kind and nature whatsoever, whether or not now known, suspected, claimed, matured or unmatured, existing or contingent, from the beginning of time until the moment you have signed this Agreement, against the Released Parties (whether directly or indirectly), or any of them, by reason of any act, event or omission concerning any matter, cause or thing, including, but not limited to, any and all claims arising out of or relating to your employment with and/or separation from the Company, including without limiting the generality of the foregoing, all claims under Title VII of the Civil Rights Act of 1964, 42 U.S.C. § 2000e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the Age Discrimination in Employment Act of 1967, 29 U.S.C. § 621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(including the Older Workers Benefit Protection Act), the Genetic Information Nondiscrimination Act of 2008, 42 U.S.C. § 2000ff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the Rehabilitation Act of 1973, 29 U.S.C. § 701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the Fair Credit Reporting Act, 15 U.S.C. § 1681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the Equal Pay Act of 1963, 29 U.S.C. § 206(d), the Americans With Disabilities Act of 1990, 42 U.S.C. § 12101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the Family and Medical Leave Act of 1993, 29 U.S.C. § 2601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the Worker Adjustment Retraining and Notification Act, 29 U.S.C. § 2101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the Employee Retirement Income Security Act of 1974, 29 U.S.C. § 1001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and any applicable Executive Orders, all as amended; all claims arising out of the California Fair Employment and Housing Act, Cal. Gov’t. Code § 12900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the California Equal Pay Act, Cal. Lab. Code § 1197.5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the California Family Rights Act, Cal. Gov’t. Code § 12945.1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and § 19702.3, the Cal-WARN Act, Cal. Lab. Code §§ 1400-1408, Cal. Lab. Code § 233 (California’s kin care law), Cal. Code Regs. tit. 2, §§ 7291.2– 7291.16 (California’s pregnancy leave law), California Unruh Civil Rights Act, Cal. Civ. Code § 51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and Cal. Lab. Code §§ 98.6 and 1102.5 (California whistleblower protection laws), all as amended; all common law claims including, but not limited to, actions for wrongful discharge, breach of contract, infliction of emotional distress, defamation, misrepresentation, and fraud; all claims to any non-vested ownership interest in the Company or any of its affiliates, contractual or otherwise; all state and federal whistleblower claims to the maximum extent permitted by law; and any claim or damage arising out of your employment with and/or separation from the Company (including a claim for retaliation) under any common law theory</w:t>
      </w:r>
    </w:p>
    <w:p>
      <w:pPr>
        <w:spacing w:after="0" w:line="23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or any federal, state or local statute or ordinance not expressly referenced above; </w:t>
      </w:r>
      <w:r>
        <w:rPr>
          <w:rFonts w:ascii="Times New Roman" w:cs="Times New Roman" w:eastAsia="Times New Roman" w:hAnsi="Times New Roman"/>
          <w:sz w:val="20"/>
          <w:szCs w:val="20"/>
          <w:i w:val="1"/>
          <w:iCs w:val="1"/>
          <w:color w:val="auto"/>
        </w:rPr>
        <w:t>provided, however, that this release of claims does not waive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any claims that cannot be waived as a matter of law, and it also does not prevent you from filing a charge with, cooperating with, or participating in any investigation or proceeding before, the Equal Employment Opportunity Commission or a state fair employment practices agency (except that you acknowledge that you may not recover any monetary benefits in connection with any such charge, investigation, or proceeding, and you further waive any rights or claims to any payment, benefit, attorneys’ fees or other remedial relief in connection with any such charge, investigation or proceeding</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ectPr>
          <w:pgSz w:w="11900" w:h="16838" w:orient="portrait"/>
          <w:cols w:equalWidth="0" w:num="1">
            <w:col w:w="11240"/>
          </w:cols>
          <w:pgMar w:left="320" w:top="1328" w:right="339" w:bottom="1440" w:gutter="0" w:footer="0" w:header="0"/>
        </w:sectPr>
      </w:pPr>
    </w:p>
    <w:bookmarkStart w:id="115" w:name="page116"/>
    <w:bookmarkEnd w:id="115"/>
    <w:p>
      <w:pPr>
        <w:spacing w:after="0" w:line="283" w:lineRule="auto"/>
        <w:rPr>
          <w:sz w:val="20"/>
          <w:szCs w:val="20"/>
          <w:color w:val="auto"/>
        </w:rPr>
      </w:pPr>
      <w:r>
        <w:rPr>
          <w:rFonts w:ascii="Times New Roman" w:cs="Times New Roman" w:eastAsia="Times New Roman" w:hAnsi="Times New Roman"/>
          <w:sz w:val="20"/>
          <w:szCs w:val="20"/>
          <w:color w:val="auto"/>
        </w:rPr>
        <w:t>You knowingly and voluntarily waive any and all rights you may have under Section 1542 of the California Civil Code, or any other similar state statutes or laws, regarding the waiver of unknown claims.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1542 states:</w:t>
      </w:r>
    </w:p>
    <w:p>
      <w:pPr>
        <w:spacing w:after="0" w:line="229" w:lineRule="exact"/>
        <w:rPr>
          <w:sz w:val="20"/>
          <w:szCs w:val="20"/>
          <w:color w:val="auto"/>
        </w:rPr>
      </w:pPr>
    </w:p>
    <w:p>
      <w:pPr>
        <w:jc w:val="both"/>
        <w:ind w:left="660" w:right="700"/>
        <w:spacing w:after="0" w:line="258" w:lineRule="auto"/>
        <w:rPr>
          <w:sz w:val="20"/>
          <w:szCs w:val="20"/>
          <w:color w:val="auto"/>
        </w:rPr>
      </w:pPr>
      <w:r>
        <w:rPr>
          <w:rFonts w:ascii="Times New Roman" w:cs="Times New Roman" w:eastAsia="Times New Roman" w:hAnsi="Times New Roman"/>
          <w:sz w:val="20"/>
          <w:szCs w:val="20"/>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Notwithstanding the provisions of Section 1542, or any similar state statutes or laws, and for the purpose of implementing a full and complete release and discharge of the Released Parties, you expressly acknowledge that this Agreement is intended to include and does include in its effect, without limitation, all claims which you do not know or suspect to exist in your favor against the Released Parties, or any of them, at the moment of execution hereof, and that this Agreement expressly contemplates the extinguishment of all such claims.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SIGNING THIS AGREEMENT, YOU REPRESENT AND AGREE THAT:</w:t>
      </w:r>
    </w:p>
    <w:p>
      <w:pPr>
        <w:spacing w:after="0" w:line="202" w:lineRule="exact"/>
        <w:rPr>
          <w:sz w:val="20"/>
          <w:szCs w:val="20"/>
          <w:color w:val="auto"/>
        </w:rPr>
      </w:pPr>
    </w:p>
    <w:p>
      <w:pPr>
        <w:jc w:val="both"/>
        <w:ind w:left="660" w:hanging="652"/>
        <w:spacing w:after="0" w:line="220" w:lineRule="auto"/>
        <w:tabs>
          <w:tab w:leader="none" w:pos="660"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UNDERSTAND ALL OF ITS TERMS AND KNOW THAT YOU ARE GIVING UP IMPORTANT RIGHTS, INCLUDING BUT NOT LIMITED TO, RIGHTS UNDER THE AGE DISCRIMINATION IN EMPLOYMENT ACT OF 1967, AS AMENDED BY THE OLDER WORKERS BENEFIT PROTECTION ACT; TITLE VII OF THE CIVIL RIGHTS ACT OF 1964, AS AMENDED; THE EQUAL PAY ACT OF 1963; THE AMERICANS WITH DISABILITIES ACT OF 1990; AND THE EMPLOYEE RETIREMENT INCOME SECURITY ACT OF 1974, AS AMENDED;</w:t>
      </w:r>
    </w:p>
    <w:p>
      <w:pPr>
        <w:spacing w:after="0" w:line="147" w:lineRule="exact"/>
        <w:rPr>
          <w:rFonts w:ascii="Times New Roman" w:cs="Times New Roman" w:eastAsia="Times New Roman" w:hAnsi="Times New Roman"/>
          <w:sz w:val="20"/>
          <w:szCs w:val="20"/>
          <w:color w:val="auto"/>
        </w:rPr>
      </w:pPr>
    </w:p>
    <w:p>
      <w:pPr>
        <w:jc w:val="both"/>
        <w:ind w:left="660" w:hanging="652"/>
        <w:spacing w:after="0" w:line="230" w:lineRule="auto"/>
        <w:tabs>
          <w:tab w:leader="none" w:pos="660"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ARE ADVISED TO CONSULT WITH AN ATTORNEY BEFORE EXECUTING IT AND YOU HAVE EITHER DONE SO OR, AFTER CAREFUL READING AND CONSIDERATION, YOU HAVE CHOSEN NOT TO DO SO OF YOUR OWN VOLITION;</w:t>
      </w:r>
    </w:p>
    <w:p>
      <w:pPr>
        <w:spacing w:after="0" w:line="148"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HAVE HAD AT LEAST 21 DAYS FROM THE DATE OF YOUR RECEIPT OF THIS AGREEMENT SUBSTANTIALLY IN ITS FINAL FORM ON _______________ __, _____ TO CONSIDER IT; AND</w:t>
      </w:r>
    </w:p>
    <w:p>
      <w:pPr>
        <w:spacing w:after="0" w:line="161" w:lineRule="exact"/>
        <w:rPr>
          <w:rFonts w:ascii="Times New Roman" w:cs="Times New Roman" w:eastAsia="Times New Roman" w:hAnsi="Times New Roman"/>
          <w:sz w:val="20"/>
          <w:szCs w:val="20"/>
          <w:color w:val="auto"/>
        </w:rPr>
      </w:pPr>
    </w:p>
    <w:p>
      <w:pPr>
        <w:jc w:val="both"/>
        <w:ind w:left="660" w:hanging="652"/>
        <w:spacing w:after="0" w:line="226" w:lineRule="auto"/>
        <w:tabs>
          <w:tab w:leader="none" w:pos="660"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UNDERSTAND THAT YOU HAVE SEVEN DAYS AFTER THE EXECUTION OF THIS AGREEMENT TO REVOKE IT AND THAT THIS AGREEMENT SHALL NOT BECOME EFFECTIVE OR ENFORCEABLE UNTIL THE REVOCATION PERIOD HAS EXPIRED.</w:t>
      </w: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Agreed: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40005</wp:posOffset>
            </wp:positionV>
            <wp:extent cx="244284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0">
                      <a:extLst>
                        <a:ext uri="{28A0092B-C50C-407E-A947-70E740481C1C}"/>
                      </a:extLst>
                    </a:blip>
                    <a:srcRect/>
                    <a:stretch>
                      <a:fillRect/>
                    </a:stretch>
                  </pic:blipFill>
                  <pic:spPr bwMode="auto">
                    <a:xfrm>
                      <a:off x="0" y="0"/>
                      <a:ext cx="2442845"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40005</wp:posOffset>
            </wp:positionV>
            <wp:extent cx="20916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1">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61"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20"/>
          <w:szCs w:val="20"/>
          <w:color w:val="auto"/>
        </w:rPr>
        <w:t>Date</w:t>
      </w:r>
    </w:p>
    <w:p>
      <w:pPr>
        <w:spacing w:after="0" w:line="3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Acknowledged: SKYWORKS SOLUTIONS, INC.</w:t>
      </w: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40005</wp:posOffset>
            </wp:positionV>
            <wp:extent cx="244284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2">
                      <a:extLst>
                        <a:ext uri="{28A0092B-C50C-407E-A947-70E740481C1C}"/>
                      </a:extLst>
                    </a:blip>
                    <a:srcRect/>
                    <a:stretch>
                      <a:fillRect/>
                    </a:stretch>
                  </pic:blipFill>
                  <pic:spPr bwMode="auto">
                    <a:xfrm>
                      <a:off x="0" y="0"/>
                      <a:ext cx="244284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40005</wp:posOffset>
            </wp:positionV>
            <wp:extent cx="20916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3">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61"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20"/>
          <w:szCs w:val="20"/>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w:t>
      </w:r>
    </w:p>
    <w:p>
      <w:pPr>
        <w:sectPr>
          <w:pgSz w:w="11900" w:h="16838" w:orient="portrait"/>
          <w:cols w:equalWidth="0" w:num="1">
            <w:col w:w="11240"/>
          </w:cols>
          <w:pgMar w:left="320" w:top="1332"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19</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SKYWORKS SOLUTIONS, INC.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COMPANY POLICY REGARDING INSIDER TRADING AND DISCLOSURE OF MATERIAL NON-PUBLIC INFORMATION</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Introduction and Background</w:t>
      </w:r>
    </w:p>
    <w:p>
      <w:pPr>
        <w:spacing w:after="0" w:line="247" w:lineRule="exact"/>
        <w:rPr>
          <w:sz w:val="20"/>
          <w:szCs w:val="20"/>
          <w:color w:val="auto"/>
        </w:rPr>
      </w:pPr>
    </w:p>
    <w:p>
      <w:pPr>
        <w:jc w:val="both"/>
        <w:ind w:firstLine="324"/>
        <w:spacing w:after="0" w:line="272" w:lineRule="auto"/>
        <w:rPr>
          <w:sz w:val="20"/>
          <w:szCs w:val="20"/>
          <w:color w:val="auto"/>
        </w:rPr>
      </w:pPr>
      <w:r>
        <w:rPr>
          <w:rFonts w:ascii="Times New Roman" w:cs="Times New Roman" w:eastAsia="Times New Roman" w:hAnsi="Times New Roman"/>
          <w:sz w:val="20"/>
          <w:szCs w:val="20"/>
          <w:color w:val="auto"/>
        </w:rPr>
        <w:t>Federal securities laws prohibit insiders of Skyworks Solutions, Inc. (together with its subsidiaries, the “Company”), such as its employees, officers, and directors, from trading in the securities of the Company on the basis of material non-public information. In addition to the direct liability of insiders for insider trading violations, potential liability on the part of the Company and its directors and officers exists for failures to prevent such violations by Company personnel.</w:t>
      </w:r>
    </w:p>
    <w:p>
      <w:pPr>
        <w:spacing w:after="0" w:line="172"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20"/>
          <w:szCs w:val="20"/>
          <w:color w:val="auto"/>
        </w:rPr>
        <w:t>The federal securities laws impose severe sanctions on those who engage in insider trading. Individuals who either trade on material non-public information or provide a “tip” of such information to others may be subject to, among other things:</w:t>
      </w:r>
    </w:p>
    <w:p>
      <w:pPr>
        <w:spacing w:after="0" w:line="129" w:lineRule="exact"/>
        <w:rPr>
          <w:sz w:val="20"/>
          <w:szCs w:val="20"/>
          <w:color w:val="auto"/>
        </w:rPr>
      </w:pPr>
    </w:p>
    <w:p>
      <w:pPr>
        <w:ind w:left="1180" w:hanging="524"/>
        <w:spacing w:after="0"/>
        <w:tabs>
          <w:tab w:leader="none" w:pos="1180"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Criminal fines up to </w:t>
      </w:r>
      <w:r>
        <w:rPr>
          <w:rFonts w:ascii="Times New Roman" w:cs="Times New Roman" w:eastAsia="Times New Roman" w:hAnsi="Times New Roman"/>
          <w:sz w:val="20"/>
          <w:szCs w:val="20"/>
          <w:b w:val="1"/>
          <w:bCs w:val="1"/>
          <w:color w:val="auto"/>
        </w:rPr>
        <w:t>$5,000,000</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1180" w:hanging="524"/>
        <w:spacing w:after="0"/>
        <w:tabs>
          <w:tab w:leader="none" w:pos="1180"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Prison sentence of up to </w:t>
      </w:r>
      <w:r>
        <w:rPr>
          <w:rFonts w:ascii="Times New Roman" w:cs="Times New Roman" w:eastAsia="Times New Roman" w:hAnsi="Times New Roman"/>
          <w:sz w:val="20"/>
          <w:szCs w:val="20"/>
          <w:b w:val="1"/>
          <w:bCs w:val="1"/>
          <w:color w:val="auto"/>
        </w:rPr>
        <w:t>twenty-five (25) years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1180" w:hanging="524"/>
        <w:spacing w:after="0"/>
        <w:tabs>
          <w:tab w:leader="none" w:pos="1180"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Civil penalties including up to </w:t>
      </w:r>
      <w:r>
        <w:rPr>
          <w:rFonts w:ascii="Times New Roman" w:cs="Times New Roman" w:eastAsia="Times New Roman" w:hAnsi="Times New Roman"/>
          <w:sz w:val="20"/>
          <w:szCs w:val="20"/>
          <w:b w:val="1"/>
          <w:bCs w:val="1"/>
          <w:color w:val="auto"/>
        </w:rPr>
        <w:t>three times the profit gained or loss avoided</w:t>
      </w:r>
      <w:r>
        <w:rPr>
          <w:rFonts w:ascii="Times New Roman" w:cs="Times New Roman" w:eastAsia="Times New Roman" w:hAnsi="Times New Roman"/>
          <w:sz w:val="20"/>
          <w:szCs w:val="20"/>
          <w:color w:val="auto"/>
        </w:rPr>
        <w:t xml:space="preserve"> as a result of such sale, purchase, or tip; and</w:t>
      </w:r>
    </w:p>
    <w:p>
      <w:pPr>
        <w:spacing w:after="0" w:line="215" w:lineRule="exact"/>
        <w:rPr>
          <w:rFonts w:ascii="Times New Roman" w:cs="Times New Roman" w:eastAsia="Times New Roman" w:hAnsi="Times New Roman"/>
          <w:sz w:val="20"/>
          <w:szCs w:val="20"/>
          <w:color w:val="auto"/>
        </w:rPr>
      </w:pPr>
    </w:p>
    <w:p>
      <w:pPr>
        <w:ind w:left="1180" w:hanging="524"/>
        <w:spacing w:after="0"/>
        <w:tabs>
          <w:tab w:leader="none" w:pos="1180"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b w:val="1"/>
          <w:bCs w:val="1"/>
          <w:color w:val="auto"/>
        </w:rPr>
        <w:t>bar from serving as an officer or director</w:t>
      </w:r>
      <w:r>
        <w:rPr>
          <w:rFonts w:ascii="Times New Roman" w:cs="Times New Roman" w:eastAsia="Times New Roman" w:hAnsi="Times New Roman"/>
          <w:sz w:val="20"/>
          <w:szCs w:val="20"/>
          <w:color w:val="auto"/>
        </w:rPr>
        <w:t xml:space="preserve"> of any public company.</w:t>
      </w:r>
    </w:p>
    <w:p>
      <w:pPr>
        <w:spacing w:after="0" w:line="247"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20"/>
          <w:szCs w:val="20"/>
          <w:color w:val="auto"/>
        </w:rPr>
        <w:t>In addition to sanctions against those who directly violate the prohibition on insider trading, in certain circumstances the federal securities laws impose large fines on companies and their directors and officers for failure to take measures to prevent such violations (what is referred to as “controlling person” liability).</w:t>
      </w:r>
    </w:p>
    <w:p>
      <w:pPr>
        <w:spacing w:after="0" w:line="181"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20"/>
          <w:szCs w:val="20"/>
          <w:color w:val="auto"/>
        </w:rPr>
        <w:t>Rules 10b5-1 and 10b5-2 of the Securities Exchange Act of 1934 (“Rule 10b5-1” and “Rule 10b5-2”, respectively) address certain aspects of the prohibition against insider trading. Rule 10b5-1 imposes liability where an insider is “aware” of material non-public information regarding a company when trading in such company’s securities. However, Rule 10b5-1 provides that a person will not be liable for insider trading, even if the trade occurs while that person is aware of material non-public information, if the trade was executed pursuant to a pre-existing plan, contract, or instruction that was adopted while the person was not aware of material non-public information and otherwise complies with Rule 10b5-1. This exception to insider trading liability is discussed in more detail below.</w:t>
      </w:r>
    </w:p>
    <w:p>
      <w:pPr>
        <w:spacing w:after="0" w:line="1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20"/>
          <w:szCs w:val="20"/>
          <w:color w:val="auto"/>
        </w:rPr>
        <w:t>Rule 10b5-2 addresses situations in which a person has a duty of trust or confidence that prohibits him or her from trading on the basis of material non-public information. The rule provides that a duty of trust or confidence that prohibits a person from trading on the basis of material non-public information arises:</w:t>
      </w:r>
    </w:p>
    <w:p>
      <w:pPr>
        <w:spacing w:after="0" w:line="148" w:lineRule="exact"/>
        <w:rPr>
          <w:sz w:val="20"/>
          <w:szCs w:val="20"/>
          <w:color w:val="auto"/>
        </w:rPr>
      </w:pPr>
    </w:p>
    <w:p>
      <w:pPr>
        <w:ind w:left="960" w:hanging="304"/>
        <w:spacing w:after="0"/>
        <w:tabs>
          <w:tab w:leader="none" w:pos="960"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the person receiving such information agrees to maintain the information in confidence;</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309" w:lineRule="exact"/>
        <w:rPr>
          <w:rFonts w:ascii="Times New Roman" w:cs="Times New Roman" w:eastAsia="Times New Roman" w:hAnsi="Times New Roman"/>
          <w:sz w:val="20"/>
          <w:szCs w:val="20"/>
          <w:color w:val="auto"/>
        </w:rPr>
      </w:pPr>
    </w:p>
    <w:p>
      <w:pPr>
        <w:ind w:left="55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413" w:right="339" w:bottom="1440" w:gutter="0" w:footer="0" w:header="0"/>
        </w:sectPr>
      </w:pPr>
    </w:p>
    <w:bookmarkStart w:id="117" w:name="page118"/>
    <w:bookmarkEnd w:id="117"/>
    <w:p>
      <w:pPr>
        <w:ind w:left="980" w:hanging="324"/>
        <w:spacing w:after="0" w:line="310" w:lineRule="auto"/>
        <w:tabs>
          <w:tab w:leader="none" w:pos="968" w:val="left"/>
        </w:tabs>
        <w:numPr>
          <w:ilvl w:val="0"/>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where the person receiving and the person disclosing such information have a history, pattern, or practice of sharing confidences such that the person receiving information knows or reasonably should know that there is an expectation of confidentiality; </w:t>
      </w:r>
      <w:r>
        <w:rPr>
          <w:rFonts w:ascii="Times New Roman" w:cs="Times New Roman" w:eastAsia="Times New Roman" w:hAnsi="Times New Roman"/>
          <w:sz w:val="19"/>
          <w:szCs w:val="19"/>
          <w:u w:val="single" w:color="auto"/>
          <w:color w:val="auto"/>
        </w:rPr>
        <w:t>or</w:t>
      </w:r>
    </w:p>
    <w:p>
      <w:pPr>
        <w:spacing w:after="0" w:line="124" w:lineRule="exact"/>
        <w:rPr>
          <w:rFonts w:ascii="Times New Roman" w:cs="Times New Roman" w:eastAsia="Times New Roman" w:hAnsi="Times New Roman"/>
          <w:sz w:val="19"/>
          <w:szCs w:val="19"/>
          <w:color w:val="auto"/>
        </w:rPr>
      </w:pPr>
    </w:p>
    <w:p>
      <w:pPr>
        <w:ind w:left="980" w:hanging="324"/>
        <w:spacing w:after="0" w:line="283" w:lineRule="auto"/>
        <w:tabs>
          <w:tab w:leader="none" w:pos="968"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the person receives information from a spouse, parent, child, or sibling unless he or she can show that, under the facts and circumstances of the relationship, no duty of trust or confidence existed.</w:t>
      </w:r>
    </w:p>
    <w:p>
      <w:pPr>
        <w:spacing w:after="0" w:line="16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20"/>
          <w:szCs w:val="20"/>
          <w:color w:val="auto"/>
        </w:rPr>
        <w:t>In addition, SEC Regulation FD (“Reg. FD”) prohibits selective disclosure of material non-public information. More specifically, Reg. FD requires that whenever a “senior official” of the Company intentionally discloses material non-public information about the Company to securities market participants or holders of the Company’s securities, the Company must simultaneously disclose that same information to the public. Senior officials include any director, executive officer, investor relations or public relations officer, or other person with similar functions. Securities market participants include broker-dealers (including their associated persons, for example, analysts and investment bankers), investment advisers, institutional investment managers, and investment companies (such as hedge funds and certain venture capital funds).</w:t>
      </w:r>
    </w:p>
    <w:p>
      <w:pPr>
        <w:spacing w:after="0" w:line="194"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20"/>
          <w:szCs w:val="20"/>
          <w:color w:val="auto"/>
        </w:rPr>
        <w:t>Reg. FD also requires that where material non-public information has been inadvertently disclosed on a selective basis, the Company must promptly disclose that same information to the general public. Monetary penalties and other sanctions may be imposed on both the Company and its senior officials if material non-public information is either intentionally disclosed on a selective basis, or is inadvertently disclosed on a selective basis and then not subsequently disclosed publicly, where (a) at the time of disclosure the senior official either knew or was reckless in not knowing that the information was both material and non-public, or (b) after the inadvertent disclosure the senior official learns of the disclosure and knows or was reckless in not knowing that the information was both material and non-public.</w:t>
      </w:r>
    </w:p>
    <w:p>
      <w:pPr>
        <w:spacing w:after="0" w:line="193"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20"/>
          <w:szCs w:val="20"/>
          <w:color w:val="auto"/>
        </w:rPr>
        <w:t>In light of the severity of possible sanctions to employees and the Company for insider trading and the Company’s obligation to ensure that all material non-public information disclosed to securities market participants is disclosed publicly, we have adopted the following policies and procedures.</w:t>
      </w:r>
    </w:p>
    <w:p>
      <w:pPr>
        <w:spacing w:after="0" w:line="27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0"/>
          <w:szCs w:val="20"/>
          <w:b w:val="1"/>
          <w:bCs w:val="1"/>
          <w:color w:val="auto"/>
        </w:rPr>
        <w:t>Statement of Company Policy Re: Insider Trading</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Policy Against Trading While Aware of Material Non-Public Information</w:t>
      </w:r>
    </w:p>
    <w:p>
      <w:pPr>
        <w:spacing w:after="0" w:line="2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 xml:space="preserve">Any director, officer, or employee of the Company who is aware of material non-public information relating to the Company may </w:t>
      </w:r>
      <w:r>
        <w:rPr>
          <w:rFonts w:ascii="Times New Roman" w:cs="Times New Roman" w:eastAsia="Times New Roman" w:hAnsi="Times New Roman"/>
          <w:sz w:val="20"/>
          <w:szCs w:val="20"/>
          <w:u w:val="single" w:color="auto"/>
          <w:color w:val="auto"/>
        </w:rPr>
        <w:t>not</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left="660" w:hanging="4"/>
        <w:spacing w:after="0" w:line="230" w:lineRule="auto"/>
        <w:tabs>
          <w:tab w:leader="none" w:pos="1323"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buy or sell securities of the Company, including its common stock, the Skyworks Stock Fund in the Company’s 401(k) plan or any other securities of the Company, such as debt securities, convertible debentures or warrants (collectively, “Company Securities”);</w:t>
      </w:r>
    </w:p>
    <w:p>
      <w:pPr>
        <w:spacing w:after="0" w:line="148" w:lineRule="exact"/>
        <w:rPr>
          <w:rFonts w:ascii="Times New Roman" w:cs="Times New Roman" w:eastAsia="Times New Roman" w:hAnsi="Times New Roman"/>
          <w:sz w:val="20"/>
          <w:szCs w:val="20"/>
          <w:color w:val="auto"/>
        </w:rPr>
      </w:pPr>
    </w:p>
    <w:p>
      <w:pPr>
        <w:ind w:left="1320" w:hanging="664"/>
        <w:spacing w:after="0"/>
        <w:tabs>
          <w:tab w:leader="none" w:pos="1320"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recommend that others buy or sell Company Securities; or</w:t>
      </w:r>
    </w:p>
    <w:p>
      <w:pPr>
        <w:spacing w:after="0" w:line="188" w:lineRule="exact"/>
        <w:rPr>
          <w:rFonts w:ascii="Times New Roman" w:cs="Times New Roman" w:eastAsia="Times New Roman" w:hAnsi="Times New Roman"/>
          <w:sz w:val="20"/>
          <w:szCs w:val="20"/>
          <w:color w:val="auto"/>
        </w:rPr>
      </w:pPr>
    </w:p>
    <w:p>
      <w:pPr>
        <w:ind w:left="1320" w:hanging="664"/>
        <w:spacing w:after="0"/>
        <w:tabs>
          <w:tab w:leader="none" w:pos="1320"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pass such information on to others;</w:t>
      </w:r>
    </w:p>
    <w:p>
      <w:pPr>
        <w:spacing w:after="0" w:line="188" w:lineRule="exact"/>
        <w:rPr>
          <w:rFonts w:ascii="Times New Roman" w:cs="Times New Roman" w:eastAsia="Times New Roman" w:hAnsi="Times New Roman"/>
          <w:sz w:val="20"/>
          <w:szCs w:val="20"/>
          <w:color w:val="auto"/>
        </w:rPr>
      </w:pPr>
    </w:p>
    <w:p>
      <w:pPr>
        <w:ind w:left="1320" w:hanging="664"/>
        <w:spacing w:after="0"/>
        <w:tabs>
          <w:tab w:leader="none" w:pos="1320"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engage in any other action to take advantage of such information;</w:t>
      </w:r>
    </w:p>
    <w:p>
      <w:pPr>
        <w:spacing w:after="0" w:line="175" w:lineRule="exact"/>
        <w:rPr>
          <w:rFonts w:ascii="Times New Roman" w:cs="Times New Roman" w:eastAsia="Times New Roman" w:hAnsi="Times New Roman"/>
          <w:sz w:val="20"/>
          <w:szCs w:val="20"/>
          <w:color w:val="auto"/>
        </w:rPr>
      </w:pPr>
    </w:p>
    <w:p>
      <w:pPr>
        <w:ind w:left="1320" w:hanging="664"/>
        <w:spacing w:after="0"/>
        <w:tabs>
          <w:tab w:leader="none" w:pos="1320"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 Company Securities purchased from the Company pursuant to the employee stock purchase plan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13" w:right="339" w:bottom="1440" w:gutter="0" w:footer="0" w:header="0"/>
        </w:sectPr>
      </w:pPr>
    </w:p>
    <w:bookmarkStart w:id="118" w:name="page119"/>
    <w:bookmarkEnd w:id="118"/>
    <w:p>
      <w:pPr>
        <w:ind w:left="660" w:hanging="4"/>
        <w:spacing w:after="0"/>
        <w:tabs>
          <w:tab w:leader="none" w:pos="1323"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 Company Securities received from the Company upon the exercise of a stock option, including sales pursuant to a so-called “cashless exercise” of a stock option through a broker;</w:t>
      </w:r>
    </w:p>
    <w:p>
      <w:pPr>
        <w:spacing w:after="0" w:line="147" w:lineRule="exact"/>
        <w:rPr>
          <w:rFonts w:ascii="Times New Roman" w:cs="Times New Roman" w:eastAsia="Times New Roman" w:hAnsi="Times New Roman"/>
          <w:sz w:val="20"/>
          <w:szCs w:val="20"/>
          <w:color w:val="auto"/>
        </w:rPr>
      </w:pPr>
    </w:p>
    <w:p>
      <w:pPr>
        <w:jc w:val="both"/>
        <w:ind w:left="660" w:hanging="4"/>
        <w:spacing w:after="0" w:line="230" w:lineRule="auto"/>
        <w:tabs>
          <w:tab w:leader="none" w:pos="1323"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the Company’s 401(k) plan, (a) make an election to allocate employer matching contributions to the Skyworks Stock Fund, (b) make an election to increase the percentage of the employer matching contributions that will be allocated to the Skyworks Stock Fund or (c) make an intra-plan investment exchange into or out of the Skyworks Stock Fund; or</w:t>
      </w:r>
    </w:p>
    <w:p>
      <w:pPr>
        <w:spacing w:after="0" w:line="143" w:lineRule="exact"/>
        <w:rPr>
          <w:rFonts w:ascii="Times New Roman" w:cs="Times New Roman" w:eastAsia="Times New Roman" w:hAnsi="Times New Roman"/>
          <w:sz w:val="20"/>
          <w:szCs w:val="20"/>
          <w:color w:val="auto"/>
        </w:rPr>
      </w:pPr>
    </w:p>
    <w:p>
      <w:pPr>
        <w:ind w:left="1320" w:hanging="664"/>
        <w:spacing w:after="0"/>
        <w:tabs>
          <w:tab w:leader="none" w:pos="1320"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 dividend reinvestment plan covering Company Securities (a “DRIP”), (a) make an election to enroll in or</w:t>
      </w: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 make an election to increase the amount (or percentage) of the dividend to be reinvested.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Policy Against Trading During Blackout Periods</w:t>
      </w:r>
    </w:p>
    <w:p>
      <w:pPr>
        <w:spacing w:after="0" w:line="233" w:lineRule="exact"/>
        <w:rPr>
          <w:sz w:val="20"/>
          <w:szCs w:val="20"/>
          <w:color w:val="auto"/>
        </w:rPr>
      </w:pPr>
    </w:p>
    <w:p>
      <w:pPr>
        <w:jc w:val="both"/>
        <w:ind w:firstLine="324"/>
        <w:spacing w:after="0" w:line="272" w:lineRule="auto"/>
        <w:rPr>
          <w:sz w:val="20"/>
          <w:szCs w:val="20"/>
          <w:color w:val="auto"/>
        </w:rPr>
      </w:pPr>
      <w:r>
        <w:rPr>
          <w:rFonts w:ascii="Times New Roman" w:cs="Times New Roman" w:eastAsia="Times New Roman" w:hAnsi="Times New Roman"/>
          <w:sz w:val="20"/>
          <w:szCs w:val="20"/>
          <w:color w:val="auto"/>
        </w:rPr>
        <w:t xml:space="preserve">In addition to the above restrictions, the Company implements regular, scheduled blackout periods and may from time to time institute special blackout periods, during which times certain transactions involving Company Securities are prohibited. </w:t>
      </w:r>
      <w:r>
        <w:rPr>
          <w:rFonts w:ascii="Times New Roman" w:cs="Times New Roman" w:eastAsia="Times New Roman" w:hAnsi="Times New Roman"/>
          <w:sz w:val="20"/>
          <w:szCs w:val="20"/>
          <w:i w:val="1"/>
          <w:iCs w:val="1"/>
          <w:color w:val="auto"/>
        </w:rPr>
        <w:t xml:space="preserve">The existence or non-existence of a blackout period does </w:t>
      </w:r>
      <w:r>
        <w:rPr>
          <w:rFonts w:ascii="Times New Roman" w:cs="Times New Roman" w:eastAsia="Times New Roman" w:hAnsi="Times New Roman"/>
          <w:sz w:val="20"/>
          <w:szCs w:val="20"/>
          <w:i w:val="1"/>
          <w:iCs w:val="1"/>
          <w:u w:val="single" w:color="auto"/>
          <w:color w:val="auto"/>
        </w:rPr>
        <w:t>not</w:t>
      </w:r>
      <w:r>
        <w:rPr>
          <w:rFonts w:ascii="Times New Roman" w:cs="Times New Roman" w:eastAsia="Times New Roman" w:hAnsi="Times New Roman"/>
          <w:sz w:val="20"/>
          <w:szCs w:val="20"/>
          <w:i w:val="1"/>
          <w:iCs w:val="1"/>
          <w:color w:val="auto"/>
        </w:rPr>
        <w:t xml:space="preserve"> alter the general prohibitions against trading based on material non-public information, which are applicable at all times.</w:t>
      </w:r>
    </w:p>
    <w:p>
      <w:pPr>
        <w:spacing w:after="0" w:line="186" w:lineRule="exact"/>
        <w:rPr>
          <w:sz w:val="20"/>
          <w:szCs w:val="20"/>
          <w:color w:val="auto"/>
        </w:rPr>
      </w:pPr>
    </w:p>
    <w:p>
      <w:pPr>
        <w:jc w:val="both"/>
        <w:ind w:firstLine="324"/>
        <w:spacing w:after="0" w:line="243" w:lineRule="auto"/>
        <w:rPr>
          <w:sz w:val="20"/>
          <w:szCs w:val="20"/>
          <w:color w:val="auto"/>
        </w:rPr>
      </w:pPr>
      <w:r>
        <w:rPr>
          <w:rFonts w:ascii="Times New Roman" w:cs="Times New Roman" w:eastAsia="Times New Roman" w:hAnsi="Times New Roman"/>
          <w:sz w:val="20"/>
          <w:szCs w:val="20"/>
          <w:u w:val="single" w:color="auto"/>
          <w:color w:val="auto"/>
        </w:rPr>
        <w:t>Quarterly Blackout Period</w:t>
      </w:r>
      <w:r>
        <w:rPr>
          <w:rFonts w:ascii="Times New Roman" w:cs="Times New Roman" w:eastAsia="Times New Roman" w:hAnsi="Times New Roman"/>
          <w:sz w:val="20"/>
          <w:szCs w:val="20"/>
          <w:color w:val="auto"/>
        </w:rPr>
        <w:t>: No director, officer, or management-level employee (defined below) may (a) buy or sell Company Securities (as prohibited by clause (1) above) or (b) engage in the activities set forth in clauses (2) through (8) above during the “Quarterly Blackout Period,” which begins at 5:00 pm Pacific Time on the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the third calendar month of each of the Company’s fiscal quarters (i.e., March 15, June 15, September 15, and December 15) and ends at 6:30 am Pacific Time on the second trading day after the day the Company’s quarterly results become publicly available.</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For the purposes of the Quarterly Blackout Period, a “management-level employee” is any employee who is at a grade level in the Company of 113 or above.</w:t>
      </w:r>
    </w:p>
    <w:p>
      <w:pPr>
        <w:spacing w:after="0" w:line="20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20"/>
          <w:szCs w:val="20"/>
          <w:color w:val="auto"/>
        </w:rPr>
        <w:t>Although the Quarterly Blackout Period only applies to directors, officers, and management-level employees, all other employees in the company are strongly urged to exercise caution if trading during a Quarterly Blackout Period and are again reminded of the general prohibition against trading based on material non-public information.</w:t>
      </w:r>
    </w:p>
    <w:p>
      <w:pPr>
        <w:spacing w:after="0" w:line="161"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20"/>
          <w:szCs w:val="20"/>
          <w:u w:val="single" w:color="auto"/>
          <w:color w:val="auto"/>
        </w:rPr>
        <w:t>Special Blackout Period</w:t>
      </w:r>
      <w:r>
        <w:rPr>
          <w:rFonts w:ascii="Times New Roman" w:cs="Times New Roman" w:eastAsia="Times New Roman" w:hAnsi="Times New Roman"/>
          <w:sz w:val="20"/>
          <w:szCs w:val="20"/>
          <w:color w:val="auto"/>
        </w:rPr>
        <w:t>: The Company may from time to time institute a “Special Blackout Period.” No director, officer, or employee subject to a Special Blackout Period as specified by the Company may (a) buy or sell Company Securities (as prohibited by clause (1) above), (b) engage in the activities set forth in clauses (2) through (8) above during a Special Blackout Period or (c) inform others that a Special Blackout Period is in effect. A notice describing any Special Blackout Period will be provided to each affected person promptly after the decision has been made to subject such person to a Special Blackout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389890</wp:posOffset>
            </wp:positionV>
            <wp:extent cx="16459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4">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firstLine="8"/>
        <w:spacing w:after="0" w:line="229" w:lineRule="auto"/>
        <w:tabs>
          <w:tab w:leader="none" w:pos="109" w:val="left"/>
        </w:tabs>
        <w:numPr>
          <w:ilvl w:val="0"/>
          <w:numId w:val="17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example, if results become publicly available at any time on Monday, and if Tuesday is a trading day, you can engage in transactions starting at 6:30 a.m. Pacific Time on Wednesday if you are not otherwise in possession of material non-public information regarding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399"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20"/>
          <w:szCs w:val="20"/>
          <w:b w:val="1"/>
          <w:bCs w:val="1"/>
          <w:color w:val="auto"/>
        </w:rPr>
        <w:t>Exceptions to the General Policy and Blackout Periods</w:t>
      </w:r>
    </w:p>
    <w:p>
      <w:pPr>
        <w:spacing w:after="0" w:line="247" w:lineRule="exact"/>
        <w:rPr>
          <w:sz w:val="20"/>
          <w:szCs w:val="20"/>
          <w:color w:val="auto"/>
        </w:rPr>
      </w:pPr>
    </w:p>
    <w:p>
      <w:pPr>
        <w:ind w:firstLine="324"/>
        <w:spacing w:after="0" w:line="283" w:lineRule="auto"/>
        <w:rPr>
          <w:sz w:val="20"/>
          <w:szCs w:val="20"/>
          <w:color w:val="auto"/>
        </w:rPr>
      </w:pPr>
      <w:r>
        <w:rPr>
          <w:rFonts w:ascii="Times New Roman" w:cs="Times New Roman" w:eastAsia="Times New Roman" w:hAnsi="Times New Roman"/>
          <w:sz w:val="20"/>
          <w:szCs w:val="20"/>
          <w:color w:val="auto"/>
        </w:rPr>
        <w:t xml:space="preserve">The foregoing restrictions under “Policy Against Trading While Aware of Material Non-Public Information” and “Policy Against Trading During Blackout Periods” are subject to certain exceptions and do </w:t>
      </w:r>
      <w:r>
        <w:rPr>
          <w:rFonts w:ascii="Times New Roman" w:cs="Times New Roman" w:eastAsia="Times New Roman" w:hAnsi="Times New Roman"/>
          <w:sz w:val="20"/>
          <w:szCs w:val="20"/>
          <w:u w:val="single" w:color="auto"/>
          <w:color w:val="auto"/>
        </w:rPr>
        <w:t>not</w:t>
      </w:r>
      <w:r>
        <w:rPr>
          <w:rFonts w:ascii="Times New Roman" w:cs="Times New Roman" w:eastAsia="Times New Roman" w:hAnsi="Times New Roman"/>
          <w:sz w:val="20"/>
          <w:szCs w:val="20"/>
          <w:color w:val="auto"/>
        </w:rPr>
        <w:t xml:space="preserve"> prohibit the following transactions:</w:t>
      </w:r>
    </w:p>
    <w:p>
      <w:pPr>
        <w:spacing w:after="0" w:line="146" w:lineRule="exact"/>
        <w:rPr>
          <w:sz w:val="20"/>
          <w:szCs w:val="20"/>
          <w:color w:val="auto"/>
        </w:rPr>
      </w:pPr>
    </w:p>
    <w:p>
      <w:pPr>
        <w:ind w:left="1320" w:hanging="664"/>
        <w:spacing w:after="0"/>
        <w:tabs>
          <w:tab w:leader="none" w:pos="1320"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ESPP</w:t>
      </w:r>
      <w:r>
        <w:rPr>
          <w:rFonts w:ascii="Times New Roman" w:cs="Times New Roman" w:eastAsia="Times New Roman" w:hAnsi="Times New Roman"/>
          <w:sz w:val="20"/>
          <w:szCs w:val="20"/>
          <w:color w:val="auto"/>
        </w:rPr>
        <w:t>: Purchases of Company Securities from the Company made pursuant to the ESPP;</w:t>
      </w:r>
    </w:p>
    <w:p>
      <w:pPr>
        <w:spacing w:after="0" w:line="188" w:lineRule="exact"/>
        <w:rPr>
          <w:rFonts w:ascii="Times New Roman" w:cs="Times New Roman" w:eastAsia="Times New Roman" w:hAnsi="Times New Roman"/>
          <w:sz w:val="20"/>
          <w:szCs w:val="20"/>
          <w:color w:val="auto"/>
        </w:rPr>
      </w:pPr>
    </w:p>
    <w:p>
      <w:pPr>
        <w:ind w:left="660" w:right="20" w:hanging="4"/>
        <w:spacing w:after="0" w:line="233" w:lineRule="auto"/>
        <w:tabs>
          <w:tab w:leader="none" w:pos="1323"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Exercise of Employee Stock Options</w:t>
      </w:r>
      <w:r>
        <w:rPr>
          <w:rFonts w:ascii="Times New Roman" w:cs="Times New Roman" w:eastAsia="Times New Roman" w:hAnsi="Times New Roman"/>
          <w:sz w:val="20"/>
          <w:szCs w:val="20"/>
          <w:color w:val="auto"/>
        </w:rPr>
        <w:t>: Purchases of Company Securities from the Company pursuant to the exercise of stock options granted under the Company’s stock plans;</w:t>
      </w:r>
    </w:p>
    <w:p>
      <w:pPr>
        <w:spacing w:after="0" w:line="160" w:lineRule="exact"/>
        <w:rPr>
          <w:rFonts w:ascii="Times New Roman" w:cs="Times New Roman" w:eastAsia="Times New Roman" w:hAnsi="Times New Roman"/>
          <w:sz w:val="20"/>
          <w:szCs w:val="20"/>
          <w:color w:val="auto"/>
        </w:rPr>
      </w:pPr>
    </w:p>
    <w:p>
      <w:pPr>
        <w:jc w:val="both"/>
        <w:ind w:left="660" w:hanging="4"/>
        <w:spacing w:after="0" w:line="226" w:lineRule="auto"/>
        <w:tabs>
          <w:tab w:leader="none" w:pos="1323"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Company 401(k) Plan</w:t>
      </w:r>
      <w:r>
        <w:rPr>
          <w:rFonts w:ascii="Times New Roman" w:cs="Times New Roman" w:eastAsia="Times New Roman" w:hAnsi="Times New Roman"/>
          <w:sz w:val="20"/>
          <w:szCs w:val="20"/>
          <w:color w:val="auto"/>
        </w:rPr>
        <w:t>: Purchases of the Skyworks Stock Fund within the Company’s 401(k) plan resulting from employer matching contributions (provided your election(s) to allocate employer matching contributions to the Skyworks Stock Fund complied with this Policy);</w:t>
      </w:r>
    </w:p>
    <w:p>
      <w:pPr>
        <w:spacing w:after="0" w:line="160" w:lineRule="exact"/>
        <w:rPr>
          <w:rFonts w:ascii="Times New Roman" w:cs="Times New Roman" w:eastAsia="Times New Roman" w:hAnsi="Times New Roman"/>
          <w:sz w:val="20"/>
          <w:szCs w:val="20"/>
          <w:color w:val="auto"/>
        </w:rPr>
      </w:pPr>
    </w:p>
    <w:p>
      <w:pPr>
        <w:ind w:left="660" w:hanging="4"/>
        <w:spacing w:after="0" w:line="233" w:lineRule="auto"/>
        <w:tabs>
          <w:tab w:leader="none" w:pos="1323"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DRIP</w:t>
      </w:r>
      <w:r>
        <w:rPr>
          <w:rFonts w:ascii="Times New Roman" w:cs="Times New Roman" w:eastAsia="Times New Roman" w:hAnsi="Times New Roman"/>
          <w:sz w:val="20"/>
          <w:szCs w:val="20"/>
          <w:color w:val="auto"/>
        </w:rPr>
        <w:t>: The purchase of Company Securities made pursuant to a DRIP (provided your election(s) to participate in the DRIP complied with this Policy);</w:t>
      </w:r>
    </w:p>
    <w:p>
      <w:pPr>
        <w:spacing w:after="0" w:line="160" w:lineRule="exact"/>
        <w:rPr>
          <w:rFonts w:ascii="Times New Roman" w:cs="Times New Roman" w:eastAsia="Times New Roman" w:hAnsi="Times New Roman"/>
          <w:sz w:val="20"/>
          <w:szCs w:val="20"/>
          <w:color w:val="auto"/>
        </w:rPr>
      </w:pPr>
    </w:p>
    <w:p>
      <w:pPr>
        <w:jc w:val="both"/>
        <w:ind w:left="660" w:hanging="4"/>
        <w:spacing w:after="0" w:line="222" w:lineRule="auto"/>
        <w:tabs>
          <w:tab w:leader="none" w:pos="1323"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Qualified and Alternative Trading Programs</w:t>
      </w:r>
      <w:r>
        <w:rPr>
          <w:rFonts w:ascii="Times New Roman" w:cs="Times New Roman" w:eastAsia="Times New Roman" w:hAnsi="Times New Roman"/>
          <w:sz w:val="20"/>
          <w:szCs w:val="20"/>
          <w:color w:val="auto"/>
        </w:rPr>
        <w:t xml:space="preserve">: The purchase or sale of Company Securities made under a Qualified Trading Program or Alternative Trading Program (as each such term is defined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to this policy statement); provided, the purchase or sale of Company Securities made under an Alternative Trading Program must adhere to any restrictions applicable during Quarterly or Special Blackout Period; or</w:t>
      </w:r>
    </w:p>
    <w:p>
      <w:pPr>
        <w:spacing w:after="0" w:line="161" w:lineRule="exact"/>
        <w:rPr>
          <w:rFonts w:ascii="Times New Roman" w:cs="Times New Roman" w:eastAsia="Times New Roman" w:hAnsi="Times New Roman"/>
          <w:sz w:val="20"/>
          <w:szCs w:val="20"/>
          <w:color w:val="auto"/>
        </w:rPr>
      </w:pPr>
    </w:p>
    <w:p>
      <w:pPr>
        <w:ind w:left="660" w:hanging="4"/>
        <w:spacing w:after="0" w:line="233" w:lineRule="auto"/>
        <w:tabs>
          <w:tab w:leader="none" w:pos="1323"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 of Shares for Withholding Tax</w:t>
      </w:r>
      <w:r>
        <w:rPr>
          <w:rFonts w:ascii="Times New Roman" w:cs="Times New Roman" w:eastAsia="Times New Roman" w:hAnsi="Times New Roman"/>
          <w:sz w:val="20"/>
          <w:szCs w:val="20"/>
          <w:color w:val="auto"/>
        </w:rPr>
        <w:t>: Dispositions of Company Securities to the Company, including the surrender of shares to the Company in payment of tax withholding obligations with respect to the vesting of equity awards.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Restrictions And Procedures</w:t>
      </w:r>
    </w:p>
    <w:p>
      <w:pPr>
        <w:spacing w:after="0" w:line="220" w:lineRule="exact"/>
        <w:rPr>
          <w:sz w:val="20"/>
          <w:szCs w:val="20"/>
          <w:color w:val="auto"/>
        </w:rPr>
      </w:pPr>
    </w:p>
    <w:p>
      <w:pPr>
        <w:ind w:firstLine="324"/>
        <w:spacing w:after="0" w:line="297" w:lineRule="auto"/>
        <w:rPr>
          <w:sz w:val="20"/>
          <w:szCs w:val="20"/>
          <w:color w:val="auto"/>
        </w:rPr>
      </w:pPr>
      <w:r>
        <w:rPr>
          <w:rFonts w:ascii="Times New Roman" w:cs="Times New Roman" w:eastAsia="Times New Roman" w:hAnsi="Times New Roman"/>
          <w:sz w:val="20"/>
          <w:szCs w:val="20"/>
          <w:u w:val="single" w:color="auto"/>
          <w:color w:val="auto"/>
        </w:rPr>
        <w:t>Prohibition on Selling Short, Puts, and Calls</w:t>
      </w:r>
      <w:r>
        <w:rPr>
          <w:rFonts w:ascii="Times New Roman" w:cs="Times New Roman" w:eastAsia="Times New Roman" w:hAnsi="Times New Roman"/>
          <w:sz w:val="20"/>
          <w:szCs w:val="20"/>
          <w:color w:val="auto"/>
        </w:rPr>
        <w:t>: No director, officer, or employee (or any of their designees) may directly or indirectly engage in the following transactions with respect to Company Securities:</w:t>
      </w:r>
    </w:p>
    <w:p>
      <w:pPr>
        <w:spacing w:after="0" w:line="119" w:lineRule="exact"/>
        <w:rPr>
          <w:sz w:val="20"/>
          <w:szCs w:val="20"/>
          <w:color w:val="auto"/>
        </w:rPr>
      </w:pPr>
    </w:p>
    <w:p>
      <w:pPr>
        <w:ind w:left="1320" w:hanging="664"/>
        <w:spacing w:after="0"/>
        <w:tabs>
          <w:tab w:leader="none" w:pos="1320"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selling short, including short sales “against the box”;</w:t>
      </w:r>
    </w:p>
    <w:p>
      <w:pPr>
        <w:spacing w:after="0" w:line="188" w:lineRule="exact"/>
        <w:rPr>
          <w:rFonts w:ascii="Times New Roman" w:cs="Times New Roman" w:eastAsia="Times New Roman" w:hAnsi="Times New Roman"/>
          <w:sz w:val="20"/>
          <w:szCs w:val="20"/>
          <w:color w:val="auto"/>
        </w:rPr>
      </w:pPr>
    </w:p>
    <w:p>
      <w:pPr>
        <w:ind w:left="1320" w:hanging="664"/>
        <w:spacing w:after="0"/>
        <w:tabs>
          <w:tab w:leader="none" w:pos="1320"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buying or selling put or call options (or any other exchange-traded option); or</w:t>
      </w:r>
    </w:p>
    <w:p>
      <w:pPr>
        <w:spacing w:after="0" w:line="188" w:lineRule="exact"/>
        <w:rPr>
          <w:rFonts w:ascii="Times New Roman" w:cs="Times New Roman" w:eastAsia="Times New Roman" w:hAnsi="Times New Roman"/>
          <w:sz w:val="20"/>
          <w:szCs w:val="20"/>
          <w:color w:val="auto"/>
        </w:rPr>
      </w:pPr>
    </w:p>
    <w:p>
      <w:pPr>
        <w:jc w:val="both"/>
        <w:ind w:left="660" w:hanging="4"/>
        <w:spacing w:after="0" w:line="222" w:lineRule="auto"/>
        <w:tabs>
          <w:tab w:leader="none" w:pos="1323"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purchasing financial instruments (including prepaid variable forward contracts, equity swaps, collars, and exchange funds), or otherwise engaging in transactions, that hedge or offset, or are designed to hedge or offset, any decrease in the market value of Company Securities, whether through the use of traded securities, privately negotiated derivative securities, or synthetic financial instruments.</w:t>
      </w:r>
    </w:p>
    <w:p>
      <w:pPr>
        <w:spacing w:after="0" w:line="17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20"/>
          <w:szCs w:val="20"/>
          <w:u w:val="single" w:color="auto"/>
          <w:color w:val="auto"/>
        </w:rPr>
        <w:t>Pre-Clearance for Trades by Directors, and Section 16 Officers</w:t>
      </w:r>
      <w:r>
        <w:rPr>
          <w:rFonts w:ascii="Times New Roman" w:cs="Times New Roman" w:eastAsia="Times New Roman" w:hAnsi="Times New Roman"/>
          <w:sz w:val="20"/>
          <w:szCs w:val="20"/>
          <w:color w:val="auto"/>
        </w:rPr>
        <w:t>: No director or Section 16 officer may buy, sell, donate (including by gift or to fund a trust), transfer or otherwise acquire or dispose of any Company Securities without the prior written approval of the General Counsel. A request for pre-clearance shall be made in accordance with the procedures established by the General Counsel. A request for pre-clearance shall be sent by e-mail, should be made at least two full trading days in advance of the proposed transaction and should include the type of proposed transaction (for example, an open market sale or purchase, an exchange into or out of the Skyworks Stock Fund within your 401(k), a donation of shares, etc.), the proposed date of the transaction, the number of securities to be involved, and a statement regarding the requestor’s awareness of material nonpublic information about the Company. All transactions that are pre-cleared hereunder must be effected within five trading days of receipt of the pre-clearance. A pre-cleared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22" w:right="339" w:bottom="1440" w:gutter="0" w:footer="0" w:header="0"/>
        </w:sectPr>
      </w:pPr>
    </w:p>
    <w:bookmarkStart w:id="120" w:name="page121"/>
    <w:bookmarkEnd w:id="120"/>
    <w:p>
      <w:pPr>
        <w:jc w:val="both"/>
        <w:spacing w:after="0" w:line="272" w:lineRule="auto"/>
        <w:rPr>
          <w:sz w:val="20"/>
          <w:szCs w:val="20"/>
          <w:color w:val="auto"/>
        </w:rPr>
      </w:pPr>
      <w:r>
        <w:rPr>
          <w:rFonts w:ascii="Times New Roman" w:cs="Times New Roman" w:eastAsia="Times New Roman" w:hAnsi="Times New Roman"/>
          <w:sz w:val="20"/>
          <w:szCs w:val="20"/>
          <w:color w:val="auto"/>
        </w:rPr>
        <w:t>transaction (or any portion of a pre-cleared transaction) that has not been effected during the five trading day period must be pre-cleared again prior to execution. Notwithstanding receipt of pre-clearance, if the requestor becomes aware of new information that constitutes material non-public information (or becomes subject to a Quarterly or Special Blackout Period) before the transaction is effected, the requestor must obtain prior written approval of the General Counsel before the transaction is completed.</w:t>
      </w:r>
    </w:p>
    <w:p>
      <w:pPr>
        <w:spacing w:after="0" w:line="186"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20"/>
          <w:szCs w:val="20"/>
          <w:u w:val="single" w:color="auto"/>
          <w:color w:val="auto"/>
        </w:rPr>
        <w:t>Post-Transaction Notice</w:t>
      </w:r>
      <w:r>
        <w:rPr>
          <w:rFonts w:ascii="Times New Roman" w:cs="Times New Roman" w:eastAsia="Times New Roman" w:hAnsi="Times New Roman"/>
          <w:sz w:val="20"/>
          <w:szCs w:val="20"/>
          <w:color w:val="auto"/>
        </w:rPr>
        <w:t>. Each director or Section 16 officer shall also notify the General Counsel of the occurrence of any purchase, sale, donation, transfer, or other acquisition or disposition of Company Securities as soon as possible following the transaction, but in any event within one business day after the transaction. Such notification shall be in writing (including by e-mail) and should include the type of transaction, the date of the transaction, the number of shares involved, the purchase or sale price, and whether the transaction was effected pursuant to a contract, instruction or written plan that is intended either to satisfy the affirmative defense conditions of Rule 10b5-1(c) as a Qualified Trading Program or to constitute an Alternative Trading Program.</w:t>
      </w:r>
    </w:p>
    <w:p>
      <w:pPr>
        <w:spacing w:after="0" w:line="179"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20"/>
          <w:szCs w:val="20"/>
          <w:u w:val="single" w:color="auto"/>
          <w:color w:val="auto"/>
        </w:rPr>
        <w:t>Prohibition on Pledging</w:t>
      </w:r>
      <w:r>
        <w:rPr>
          <w:rFonts w:ascii="Times New Roman" w:cs="Times New Roman" w:eastAsia="Times New Roman" w:hAnsi="Times New Roman"/>
          <w:sz w:val="20"/>
          <w:szCs w:val="20"/>
          <w:color w:val="auto"/>
        </w:rPr>
        <w:t>: No director, officer, or employee may purchase Company Securities on margin, borrow against Company Securities held in a margin account, or pledge Company Securities as collateral for a loan.</w:t>
      </w:r>
    </w:p>
    <w:p>
      <w:pPr>
        <w:spacing w:after="0" w:line="160"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20"/>
          <w:szCs w:val="20"/>
          <w:u w:val="single" w:color="auto"/>
          <w:color w:val="auto"/>
        </w:rPr>
        <w:t>Transaction in Securities of Other Companies</w:t>
      </w:r>
      <w:r>
        <w:rPr>
          <w:rFonts w:ascii="Times New Roman" w:cs="Times New Roman" w:eastAsia="Times New Roman" w:hAnsi="Times New Roman"/>
          <w:sz w:val="20"/>
          <w:szCs w:val="20"/>
          <w:color w:val="auto"/>
        </w:rPr>
        <w:t>: No director, officer, or employee who, while acting for the Company, obtains or becomes aware of material non-public information about another publicly traded company, including customers, suppliers, competitors, joint-venture partners, or potential acquisition targets, may buy or sell securities (or enter into any transaction involving derivative securities or a synthetic financial instrument) of that company, engage in any other action to take advantage of such information, or recommend that others buy or sell securities of that company or pass such information on to others.</w:t>
      </w:r>
    </w:p>
    <w:p>
      <w:pPr>
        <w:spacing w:after="0" w:line="187"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20"/>
          <w:szCs w:val="20"/>
          <w:u w:val="single" w:color="auto"/>
          <w:color w:val="auto"/>
        </w:rPr>
        <w:t>Applicability to Family Members and Others</w:t>
      </w:r>
      <w:r>
        <w:rPr>
          <w:rFonts w:ascii="Times New Roman" w:cs="Times New Roman" w:eastAsia="Times New Roman" w:hAnsi="Times New Roman"/>
          <w:sz w:val="20"/>
          <w:szCs w:val="20"/>
          <w:color w:val="auto"/>
        </w:rPr>
        <w:t>: The restrictions and other requirements set forth above apply not only to you but also to (a) family members, such as your spouse, domestic partner, children, parents, and siblings, (b) other persons where the relationship is such that there is a reasonable expectation of confidentiality, and (c) any corporation, trust, partnership, or other entity that you control, including venture capital partnerships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Insiders are responsible for the compliance of such persons and should, if necessary, review with them this Company policy and the general prohibitions on insider trading.</w:t>
      </w:r>
    </w:p>
    <w:p>
      <w:pPr>
        <w:spacing w:after="0" w:line="187"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20"/>
          <w:szCs w:val="20"/>
          <w:u w:val="single" w:color="auto"/>
          <w:color w:val="auto"/>
        </w:rPr>
        <w:t>Applicability to the Company</w:t>
      </w:r>
      <w:r>
        <w:rPr>
          <w:rFonts w:ascii="Times New Roman" w:cs="Times New Roman" w:eastAsia="Times New Roman" w:hAnsi="Times New Roman"/>
          <w:sz w:val="20"/>
          <w:szCs w:val="20"/>
          <w:color w:val="auto"/>
        </w:rPr>
        <w:t>: Although the trading restrictions above are not applicable to transactions by the Company itself, transactions by the Company will only be made in accordance with applicable U.S. federal securities laws, including those relating to transacting while the Company is aware of material non-public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26" w:right="339" w:bottom="1440" w:gutter="0" w:footer="0" w:header="0"/>
        </w:sectPr>
      </w:pPr>
    </w:p>
    <w:bookmarkStart w:id="121" w:name="page122"/>
    <w:bookmarkEnd w:id="121"/>
    <w:p>
      <w:pPr>
        <w:ind w:left="2200"/>
        <w:spacing w:after="0"/>
        <w:rPr>
          <w:sz w:val="20"/>
          <w:szCs w:val="20"/>
          <w:color w:val="auto"/>
        </w:rPr>
      </w:pPr>
      <w:r>
        <w:rPr>
          <w:rFonts w:ascii="Times New Roman" w:cs="Times New Roman" w:eastAsia="Times New Roman" w:hAnsi="Times New Roman"/>
          <w:sz w:val="20"/>
          <w:szCs w:val="20"/>
          <w:b w:val="1"/>
          <w:bCs w:val="1"/>
          <w:color w:val="auto"/>
        </w:rPr>
        <w:t>Statement of Company Policy Re: Disclosure of Material Non-public Information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Restrictions on Disclosure of Information</w:t>
      </w:r>
    </w:p>
    <w:p>
      <w:pPr>
        <w:spacing w:after="0" w:line="233"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20"/>
          <w:szCs w:val="20"/>
          <w:u w:val="single" w:color="auto"/>
          <w:color w:val="auto"/>
        </w:rPr>
        <w:t>General Policy:</w:t>
      </w:r>
      <w:r>
        <w:rPr>
          <w:rFonts w:ascii="Times New Roman" w:cs="Times New Roman" w:eastAsia="Times New Roman" w:hAnsi="Times New Roman"/>
          <w:sz w:val="20"/>
          <w:szCs w:val="20"/>
          <w:color w:val="auto"/>
        </w:rPr>
        <w:t xml:space="preserve"> Due to the risk of inadvertent disclosure of material non-public information, no director, officer, or employee may communicate about or on behalf of the Company to any broker-dealer (including their associated persons, for example, an analyst or investment banker), investment adviser, institutional investment manager or investment company (including hedge funds and venture capital funds), media outlet, or shareholder, except when and if he or she has been designated a Company Spokesperson. Requests for information about the Company should </w:t>
      </w:r>
      <w:r>
        <w:rPr>
          <w:rFonts w:ascii="Times New Roman" w:cs="Times New Roman" w:eastAsia="Times New Roman" w:hAnsi="Times New Roman"/>
          <w:sz w:val="20"/>
          <w:szCs w:val="20"/>
          <w:u w:val="single" w:color="auto"/>
          <w:color w:val="auto"/>
        </w:rPr>
        <w:t>in all cases</w:t>
      </w:r>
      <w:r>
        <w:rPr>
          <w:rFonts w:ascii="Times New Roman" w:cs="Times New Roman" w:eastAsia="Times New Roman" w:hAnsi="Times New Roman"/>
          <w:sz w:val="20"/>
          <w:szCs w:val="20"/>
          <w:color w:val="auto"/>
        </w:rPr>
        <w:t xml:space="preserve"> be promptly directed to a Company Spokesperson.</w:t>
      </w:r>
    </w:p>
    <w:p>
      <w:pPr>
        <w:spacing w:after="0" w:line="173"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20"/>
          <w:szCs w:val="20"/>
          <w:color w:val="auto"/>
        </w:rPr>
        <w:t>The Company has authorized the Chief Executive Officer, the Chief Financial Officer, the Vice President of Investor Relations, and those persons whom they designate in writing from time to time to be the Company Spokespersons.</w:t>
      </w:r>
    </w:p>
    <w:p>
      <w:pPr>
        <w:spacing w:after="0" w:line="160"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20"/>
          <w:szCs w:val="20"/>
          <w:u w:val="single" w:color="auto"/>
          <w:color w:val="auto"/>
        </w:rPr>
        <w:t>No-Comment Policy for Rumors and Litigation</w:t>
      </w:r>
      <w:r>
        <w:rPr>
          <w:rFonts w:ascii="Times New Roman" w:cs="Times New Roman" w:eastAsia="Times New Roman" w:hAnsi="Times New Roman"/>
          <w:sz w:val="20"/>
          <w:szCs w:val="20"/>
          <w:color w:val="auto"/>
        </w:rPr>
        <w:t>: The Company has a general policy that it will not comment on rumors concerning Company developments, including rumors concerning public offerings of its securities, or acquisitions or dispositions, restructurings, or similar matters except as approved by a Company Spokesperson (or a designee of such Company Spokesperson). Additionally, the Company has a general policy that it will not comment on any pending or threatened litigation. Any requests for comment on the foregoing matters should be directed to an authorized Company Spokesperson.</w:t>
      </w:r>
    </w:p>
    <w:p>
      <w:pPr>
        <w:spacing w:after="0" w:line="187" w:lineRule="exact"/>
        <w:rPr>
          <w:sz w:val="20"/>
          <w:szCs w:val="20"/>
          <w:color w:val="auto"/>
        </w:rPr>
      </w:pPr>
    </w:p>
    <w:p>
      <w:pPr>
        <w:jc w:val="both"/>
        <w:ind w:firstLine="324"/>
        <w:spacing w:after="0" w:line="272" w:lineRule="auto"/>
        <w:rPr>
          <w:sz w:val="20"/>
          <w:szCs w:val="20"/>
          <w:color w:val="auto"/>
        </w:rPr>
      </w:pPr>
      <w:r>
        <w:rPr>
          <w:rFonts w:ascii="Times New Roman" w:cs="Times New Roman" w:eastAsia="Times New Roman" w:hAnsi="Times New Roman"/>
          <w:sz w:val="20"/>
          <w:szCs w:val="20"/>
          <w:u w:val="single" w:color="auto"/>
          <w:color w:val="auto"/>
        </w:rPr>
        <w:t>Confidential Information</w:t>
      </w:r>
      <w:r>
        <w:rPr>
          <w:rFonts w:ascii="Times New Roman" w:cs="Times New Roman" w:eastAsia="Times New Roman" w:hAnsi="Times New Roman"/>
          <w:sz w:val="20"/>
          <w:szCs w:val="20"/>
          <w:color w:val="auto"/>
        </w:rPr>
        <w:t xml:space="preserve">: Your employment agreement with the Company prohibits you from disclosing any proprietary or confidential information of the Company (or of any other company that you obtain information about or become aware of while acting for the Company) to any third party, </w:t>
      </w:r>
      <w:r>
        <w:rPr>
          <w:rFonts w:ascii="Times New Roman" w:cs="Times New Roman" w:eastAsia="Times New Roman" w:hAnsi="Times New Roman"/>
          <w:sz w:val="20"/>
          <w:szCs w:val="20"/>
          <w:b w:val="1"/>
          <w:bCs w:val="1"/>
          <w:u w:val="single" w:color="auto"/>
          <w:color w:val="auto"/>
        </w:rPr>
        <w:t>regardless of whether such information is material</w:t>
      </w:r>
      <w:r>
        <w:rPr>
          <w:rFonts w:ascii="Times New Roman" w:cs="Times New Roman" w:eastAsia="Times New Roman" w:hAnsi="Times New Roman"/>
          <w:sz w:val="20"/>
          <w:szCs w:val="20"/>
          <w:color w:val="auto"/>
        </w:rPr>
        <w:t>, except when necessary for, and clearly authorized in connection with, the conduct of the Company’s business or when required or protected by either applicable law or judicial process.</w:t>
      </w:r>
    </w:p>
    <w:p>
      <w:pPr>
        <w:spacing w:after="0" w:line="172"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20"/>
          <w:szCs w:val="20"/>
          <w:u w:val="single" w:color="auto"/>
          <w:color w:val="auto"/>
        </w:rPr>
        <w:t>Means For Public Disclosure</w:t>
      </w:r>
      <w:r>
        <w:rPr>
          <w:rFonts w:ascii="Times New Roman" w:cs="Times New Roman" w:eastAsia="Times New Roman" w:hAnsi="Times New Roman"/>
          <w:sz w:val="20"/>
          <w:szCs w:val="20"/>
          <w:color w:val="auto"/>
        </w:rPr>
        <w:t>: The Company will disclose material information by means of dissemination designed to provide broad, non-exclusionary distribution of the information to the public.</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Material Non-Public Information</w:t>
      </w:r>
    </w:p>
    <w:p>
      <w:pPr>
        <w:spacing w:after="0" w:line="233"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20"/>
          <w:szCs w:val="20"/>
          <w:u w:val="single" w:color="auto"/>
          <w:color w:val="auto"/>
        </w:rPr>
        <w:t>Material Information</w:t>
      </w:r>
      <w:r>
        <w:rPr>
          <w:rFonts w:ascii="Times New Roman" w:cs="Times New Roman" w:eastAsia="Times New Roman" w:hAnsi="Times New Roman"/>
          <w:sz w:val="20"/>
          <w:szCs w:val="20"/>
          <w:color w:val="auto"/>
        </w:rPr>
        <w:t>: Information is “material” when it is substantially likely that a reasonable investor would consider the information important in making a decision to buy, hold, or sell stock and would therefore affect the price of the stock. Examples of material information include:</w:t>
      </w:r>
    </w:p>
    <w:p>
      <w:pPr>
        <w:spacing w:after="0" w:line="168" w:lineRule="exact"/>
        <w:rPr>
          <w:sz w:val="20"/>
          <w:szCs w:val="20"/>
          <w:color w:val="auto"/>
        </w:rPr>
      </w:pPr>
    </w:p>
    <w:p>
      <w:pPr>
        <w:ind w:left="960" w:hanging="304"/>
        <w:spacing w:after="0"/>
        <w:tabs>
          <w:tab w:leader="none" w:pos="960"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projections of future earnings or losses, including changes in earnings estimates;</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knowledge regarding a pending or proposed merger, acquisition, or tender offer, or regarding a significant sale of assets;</w:t>
      </w:r>
    </w:p>
    <w:p>
      <w:pPr>
        <w:spacing w:after="0" w:line="21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dividend policies or the announcement of a stock repurchase program;</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declaration of a stock split, or the offering of additional securities;</w:t>
      </w:r>
    </w:p>
    <w:p>
      <w:pPr>
        <w:spacing w:after="0" w:line="21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22" w:right="339" w:bottom="1440" w:gutter="0" w:footer="0" w:header="0"/>
        </w:sectPr>
      </w:pPr>
    </w:p>
    <w:bookmarkStart w:id="122" w:name="page123"/>
    <w:bookmarkEnd w:id="122"/>
    <w:p>
      <w:pPr>
        <w:ind w:left="960" w:hanging="304"/>
        <w:spacing w:after="0"/>
        <w:tabs>
          <w:tab w:leader="none" w:pos="960"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breakthroughs in technology;</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introduction or status of significant new products, or design wins and losses;</w:t>
      </w:r>
    </w:p>
    <w:p>
      <w:pPr>
        <w:spacing w:after="0" w:line="21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litigation developments;</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breaches of the company’s information technology systems or other cybersecurity incidents;</w:t>
      </w:r>
    </w:p>
    <w:p>
      <w:pPr>
        <w:spacing w:after="0" w:line="21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award or loss of a substantial contract or gain or loss of a substantial customer or supplier; and</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the company’s auditor or an auditor notification that the issuer may no longer rely on an auditor’s audit report.</w:t>
      </w:r>
    </w:p>
    <w:p>
      <w:pPr>
        <w:spacing w:after="0" w:line="243"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20"/>
          <w:szCs w:val="20"/>
          <w:color w:val="auto"/>
        </w:rPr>
        <w:t>Either positive or negative information may be material. If you are unsure at any time as to whether you are aware of material information about the Company, you should contact a Compliance Administrator for clarification. As previously stated, the prohibition on selective disclosure of material non-public information during conversations with securities market participants applies to all directors, officers, investor relations or public relations officers, or other persons with similar functions.</w:t>
      </w:r>
    </w:p>
    <w:p>
      <w:pPr>
        <w:spacing w:after="0" w:line="188"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9"/>
          <w:szCs w:val="19"/>
          <w:u w:val="single" w:color="auto"/>
          <w:color w:val="auto"/>
        </w:rPr>
        <w:t>Transition from “Non-Public” to “Public” Information</w:t>
      </w:r>
      <w:r>
        <w:rPr>
          <w:rFonts w:ascii="Times New Roman" w:cs="Times New Roman" w:eastAsia="Times New Roman" w:hAnsi="Times New Roman"/>
          <w:sz w:val="19"/>
          <w:szCs w:val="19"/>
          <w:color w:val="auto"/>
        </w:rPr>
        <w:t>: The restrictions on purchases or sales of Company Securities based on material information apply not only to non-public information but also for a limited time after such information has been released to the public. The Company’s shareholders and the investing public must be afforded time to receive and digest material information before it can be considered in the public domain. As a general rule, you should consider material information to be non-public from the time you become aware of material information until 6:30 am Pacific Time on the second trading day after the day the information becomes publicly available. Accordingly, you should not engage in any transactions involving Company Securities until after that time. If the information is complex or is not widely disseminated, the Company may advise you in certain circumstances that you must wait an even longer period of time.</w:t>
      </w:r>
    </w:p>
    <w:p>
      <w:pPr>
        <w:spacing w:after="0" w:line="161" w:lineRule="exact"/>
        <w:rPr>
          <w:sz w:val="20"/>
          <w:szCs w:val="20"/>
          <w:color w:val="auto"/>
        </w:rPr>
      </w:pPr>
    </w:p>
    <w:p>
      <w:pPr>
        <w:jc w:val="both"/>
        <w:ind w:firstLine="324"/>
        <w:spacing w:after="0" w:line="272" w:lineRule="auto"/>
        <w:rPr>
          <w:sz w:val="20"/>
          <w:szCs w:val="20"/>
          <w:color w:val="auto"/>
        </w:rPr>
      </w:pPr>
      <w:r>
        <w:rPr>
          <w:rFonts w:ascii="Times New Roman" w:cs="Times New Roman" w:eastAsia="Times New Roman" w:hAnsi="Times New Roman"/>
          <w:sz w:val="20"/>
          <w:szCs w:val="20"/>
          <w:u w:val="single" w:color="auto"/>
          <w:color w:val="auto"/>
        </w:rPr>
        <w:t>Tipping Information to Others</w:t>
      </w:r>
      <w:r>
        <w:rPr>
          <w:rFonts w:ascii="Times New Roman" w:cs="Times New Roman" w:eastAsia="Times New Roman" w:hAnsi="Times New Roman"/>
          <w:sz w:val="20"/>
          <w:szCs w:val="20"/>
          <w:color w:val="auto"/>
        </w:rPr>
        <w:t>: The above policy includes a prohibition against passing material non-public information about the Company (or any other company that you obtain information about or become aware of while acting for the Company) to others. This includes a prohibition against disclosure of any material non-public information to your family, friends, social acquaintances, or anyone else. This prohibition applies whether or not you receive any benefit from the other person’s use of that information.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Important Information</w:t>
      </w:r>
    </w:p>
    <w:p>
      <w:pPr>
        <w:spacing w:after="0" w:line="24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20"/>
          <w:szCs w:val="20"/>
          <w:u w:val="single" w:color="auto"/>
          <w:color w:val="auto"/>
        </w:rPr>
        <w:t>Post-Employment Obligations</w:t>
      </w:r>
      <w:r>
        <w:rPr>
          <w:rFonts w:ascii="Times New Roman" w:cs="Times New Roman" w:eastAsia="Times New Roman" w:hAnsi="Times New Roman"/>
          <w:sz w:val="20"/>
          <w:szCs w:val="20"/>
          <w:color w:val="auto"/>
        </w:rPr>
        <w:t>: Following the cessation of your business relationship with the Company, the insider trading laws continue to prohibit any trading by you while you are aware of material non-public information. Accordingly, if your employment ceases at a time when you are aware of material non-public information about the Company, then the prohibitions on trading described above shall continue to apply to you until the time that such information becomes public or is no longer considered to be material. In any event, you should consult with your counsel prior to any sale of Company Securities after your business relationship with the Company terminates, particularly during any “Blackout Period” immediately following the cessation of your business relationship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13" w:right="339" w:bottom="1440" w:gutter="0" w:footer="0" w:header="0"/>
        </w:sectPr>
      </w:pPr>
    </w:p>
    <w:bookmarkStart w:id="123" w:name="page124"/>
    <w:bookmarkEnd w:id="123"/>
    <w:p>
      <w:pPr>
        <w:jc w:val="both"/>
        <w:ind w:firstLine="324"/>
        <w:spacing w:after="0" w:line="284" w:lineRule="auto"/>
        <w:rPr>
          <w:sz w:val="20"/>
          <w:szCs w:val="20"/>
          <w:color w:val="auto"/>
        </w:rPr>
      </w:pPr>
      <w:r>
        <w:rPr>
          <w:rFonts w:ascii="Times New Roman" w:cs="Times New Roman" w:eastAsia="Times New Roman" w:hAnsi="Times New Roman"/>
          <w:sz w:val="19"/>
          <w:szCs w:val="19"/>
          <w:u w:val="single" w:color="auto"/>
          <w:color w:val="auto"/>
        </w:rPr>
        <w:t>Internet Forums</w:t>
      </w:r>
      <w:r>
        <w:rPr>
          <w:rFonts w:ascii="Times New Roman" w:cs="Times New Roman" w:eastAsia="Times New Roman" w:hAnsi="Times New Roman"/>
          <w:sz w:val="19"/>
          <w:szCs w:val="19"/>
          <w:color w:val="auto"/>
        </w:rPr>
        <w:t xml:space="preserve">: The above policy includes a prohibition against disclosing or discussing confidential or proprietary information of the Company via an Internet website (whether or not such site is specifically related to the Company) or any medium of communication that is conducted, expressed, or implemented through or by means of the Internet (e.g., an Internet chat room, message board, smartphone/tablet application or social media site, such as Twitter, Facebook, or LinkedIn). When participating in such forums or mediums, directors and employees must be vigilant to ensure that no confidential or proprietary information (especially </w:t>
      </w:r>
      <w:r>
        <w:rPr>
          <w:rFonts w:ascii="Times New Roman" w:cs="Times New Roman" w:eastAsia="Times New Roman" w:hAnsi="Times New Roman"/>
          <w:sz w:val="19"/>
          <w:szCs w:val="19"/>
          <w:u w:val="single" w:color="auto"/>
          <w:color w:val="auto"/>
        </w:rPr>
        <w:t>material</w:t>
      </w:r>
      <w:r>
        <w:rPr>
          <w:rFonts w:ascii="Times New Roman" w:cs="Times New Roman" w:eastAsia="Times New Roman" w:hAnsi="Times New Roman"/>
          <w:sz w:val="19"/>
          <w:szCs w:val="19"/>
          <w:color w:val="auto"/>
        </w:rPr>
        <w:t xml:space="preserve"> information such as earnings-related information, key technology developments, or significant customer wins) “leaks” to the public before the Company officially releases it.</w:t>
      </w:r>
    </w:p>
    <w:p>
      <w:pPr>
        <w:spacing w:after="0" w:line="177"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20"/>
          <w:szCs w:val="20"/>
          <w:color w:val="auto"/>
        </w:rPr>
        <w:t xml:space="preserve">Lastly, it is a common misperception that one can participate anonymously on Internet discussion forums or through smartphone/tablet applications. You should be aware that government agencies, companies, </w:t>
      </w:r>
      <w:r>
        <w:rPr>
          <w:rFonts w:ascii="Times New Roman" w:cs="Times New Roman" w:eastAsia="Times New Roman" w:hAnsi="Times New Roman"/>
          <w:sz w:val="20"/>
          <w:szCs w:val="20"/>
          <w:i w:val="1"/>
          <w:iCs w:val="1"/>
          <w:color w:val="auto"/>
        </w:rPr>
        <w:t>and</w:t>
      </w:r>
      <w:r>
        <w:rPr>
          <w:rFonts w:ascii="Times New Roman" w:cs="Times New Roman" w:eastAsia="Times New Roman" w:hAnsi="Times New Roman"/>
          <w:sz w:val="20"/>
          <w:szCs w:val="20"/>
          <w:color w:val="auto"/>
        </w:rPr>
        <w:t xml:space="preserve"> individuals may obtain this information under certain circumstances, and thus there is no real anonymity on the Internet.</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Summary</w:t>
      </w:r>
    </w:p>
    <w:p>
      <w:pPr>
        <w:spacing w:after="0" w:line="23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20"/>
          <w:szCs w:val="20"/>
          <w:color w:val="auto"/>
        </w:rPr>
        <w:t>This statement presents the Company’s policies and procedures with respect to transactions by directors, officers, and employees in Company Securities and the disclosure of material non-public information to securities market participants. The procedures and policies set forth in this policy statement present only a general framework within which you may purchase, sell or otherwise transact in Company Securities without violating the insider trading laws. You have the ultimate responsibility for complying with all securities laws (including the insider trading laws), which obligations may extend beyond those set forth herein, and you should obtain additional guidance whenever you are in doubt. Please note, however, that your failure to comply with the policies and procedures set forth above may result in the Company taking disciplinary action against you up to and including termination, whether or not your failure to comply results in a violation of law.</w:t>
      </w:r>
    </w:p>
    <w:p>
      <w:pPr>
        <w:spacing w:after="0" w:line="181"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20"/>
          <w:szCs w:val="20"/>
          <w:color w:val="auto"/>
        </w:rPr>
        <w:t>If you have any questions about the Company’s policies and procedures, please feel free to call either Robert Terry or Ashran Jen, the Compliance Administrators, at (949) 231-3140 or (949) 231-4037,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26" w:right="339" w:bottom="1440" w:gutter="0" w:footer="0" w:header="0"/>
        </w:sectPr>
      </w:pPr>
    </w:p>
    <w:bookmarkStart w:id="124" w:name="page125"/>
    <w:bookmarkEnd w:id="124"/>
    <w:p>
      <w:pPr>
        <w:ind w:left="10420"/>
        <w:spacing w:after="0"/>
        <w:rPr>
          <w:sz w:val="20"/>
          <w:szCs w:val="20"/>
          <w:color w:val="auto"/>
        </w:rPr>
      </w:pPr>
      <w:r>
        <w:rPr>
          <w:rFonts w:ascii="Times New Roman" w:cs="Times New Roman" w:eastAsia="Times New Roman" w:hAnsi="Times New Roman"/>
          <w:sz w:val="19"/>
          <w:szCs w:val="19"/>
          <w:b w:val="1"/>
          <w:bCs w:val="1"/>
          <w:color w:val="auto"/>
        </w:rPr>
        <w:t>Exhibit A</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10b5-1 Trading Programs</w:t>
      </w:r>
    </w:p>
    <w:p>
      <w:pPr>
        <w:spacing w:after="0" w:line="2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20"/>
          <w:szCs w:val="20"/>
          <w:color w:val="auto"/>
        </w:rPr>
        <w:t>Rule 10b5-1 allows a director, officer, or employee to pre-establish a plan for future trades with respect to Company Securities, or to provide instructions to a third party to execute trades on behalf of the seller. Directors, officers, and other persons designated by the General Counsel (“Eligible Insiders”) may want to consider implementing a trading program under Rule 10b5-1 at a time when they are not aware of material non-public information. An Eligible Insider who sets up a trading program under Rule 10b5-1 that meets all of the conditions of Rule 10b5-1(c) and the additional, Company-imposed requirements set forth below (a “Qualified Trading Program”), will be allowed to have his or her broker or agent execute sales and purchases under such trading program even if at the time the trades take place the Eligible Insider may be aware of material non-public information or may be subject to a Quarterly or Special Blackout Period. Eligible Insiders who set up an Alternative Trading Program (as defined below) will remain subject to Quarterly and Special Blackout Periods for all trades, including sales and purchases under their trading programs. For more information about establishing a Qualified or Alternative Trading Program, please contact the General Counsel. The parameters for participation in a Qualified Trading Program or Alternative Trading Program will be established by the Company and may change at any time.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Specifically, in order to qualify as a Qualified Trading Program (and therefore be allowed to proceed with sales and purchases during</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Quarterly and Special Blackout Periods), a trading program set up by an Eligible Insider must meet the following requirements:</w:t>
      </w:r>
    </w:p>
    <w:p>
      <w:pPr>
        <w:spacing w:after="0" w:line="200" w:lineRule="exact"/>
        <w:rPr>
          <w:sz w:val="20"/>
          <w:szCs w:val="20"/>
          <w:color w:val="auto"/>
        </w:rPr>
      </w:pPr>
    </w:p>
    <w:p>
      <w:pPr>
        <w:ind w:left="660" w:hanging="4"/>
        <w:spacing w:after="0"/>
        <w:tabs>
          <w:tab w:leader="none" w:pos="1323"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program must be pre-approved by the General Counsel, established in writing and be signed and dated by the person entering into the Trading Program;</w:t>
      </w:r>
    </w:p>
    <w:p>
      <w:pPr>
        <w:spacing w:after="0" w:line="161" w:lineRule="exact"/>
        <w:rPr>
          <w:rFonts w:ascii="Times New Roman" w:cs="Times New Roman" w:eastAsia="Times New Roman" w:hAnsi="Times New Roman"/>
          <w:sz w:val="20"/>
          <w:szCs w:val="20"/>
          <w:color w:val="auto"/>
        </w:rPr>
      </w:pPr>
    </w:p>
    <w:p>
      <w:pPr>
        <w:jc w:val="both"/>
        <w:ind w:left="660" w:hanging="4"/>
        <w:spacing w:after="0" w:line="216" w:lineRule="auto"/>
        <w:tabs>
          <w:tab w:leader="none" w:pos="1323"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program must include a certification from the person entering into the trading program that (a) he or she was not aware of any material non-public information about the Company or Company Securities when he or she established the trading program, (b) he or she is entering into the trading program in good faith and not as a plan or scheme to evade the prohibitions of Rule 10b5, (c) he or she will act in good faith with respect to the trading program for the duration of the trading program, and (d) he or she represents that he or she has not (and will not) enter into any transaction designed (or having the effect of) hedging against a decrease in the market value of the shares covered by the trading program;</w:t>
      </w:r>
    </w:p>
    <w:p>
      <w:pPr>
        <w:spacing w:after="0" w:line="162" w:lineRule="exact"/>
        <w:rPr>
          <w:rFonts w:ascii="Times New Roman" w:cs="Times New Roman" w:eastAsia="Times New Roman" w:hAnsi="Times New Roman"/>
          <w:sz w:val="20"/>
          <w:szCs w:val="20"/>
          <w:color w:val="auto"/>
        </w:rPr>
      </w:pPr>
    </w:p>
    <w:p>
      <w:pPr>
        <w:jc w:val="both"/>
        <w:ind w:left="660" w:hanging="4"/>
        <w:spacing w:after="0" w:line="216" w:lineRule="auto"/>
        <w:tabs>
          <w:tab w:leader="none" w:pos="1323"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program (a) specifies the amount of securities to be purchased or sold and the price at which and the date on which the securities are to be purchased or sold; (b) includes a written formula or algorithm, or computer program, for determining the amount of securities to be purchased or sold and the price at which and the date on which the securities are to be purchased or sold; or (c) does not permit the Eligible Insider to exercise any subsequent influence over how, when, or whether to effect purchases or sales; provided, in addition, that any other person who, pursuant to the trading arrangement, does exercise such influence must not have been aware of material nonpublic information when doing so;</w:t>
      </w:r>
    </w:p>
    <w:p>
      <w:pPr>
        <w:spacing w:after="0" w:line="162" w:lineRule="exact"/>
        <w:rPr>
          <w:rFonts w:ascii="Times New Roman" w:cs="Times New Roman" w:eastAsia="Times New Roman" w:hAnsi="Times New Roman"/>
          <w:sz w:val="20"/>
          <w:szCs w:val="20"/>
          <w:color w:val="auto"/>
        </w:rPr>
      </w:pPr>
    </w:p>
    <w:p>
      <w:pPr>
        <w:ind w:left="660" w:right="20" w:hanging="4"/>
        <w:spacing w:after="0" w:line="233" w:lineRule="auto"/>
        <w:tabs>
          <w:tab w:leader="none" w:pos="1323"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program may not be entered into during any Quarterly Blackout Period or any Special Blackout Period to which the person who proposes to establish a trading program is subject;</w:t>
      </w:r>
    </w:p>
    <w:p>
      <w:pPr>
        <w:spacing w:after="0" w:line="160" w:lineRule="exact"/>
        <w:rPr>
          <w:rFonts w:ascii="Times New Roman" w:cs="Times New Roman" w:eastAsia="Times New Roman" w:hAnsi="Times New Roman"/>
          <w:sz w:val="20"/>
          <w:szCs w:val="20"/>
          <w:color w:val="auto"/>
        </w:rPr>
      </w:pPr>
    </w:p>
    <w:p>
      <w:pPr>
        <w:jc w:val="both"/>
        <w:ind w:left="660" w:hanging="4"/>
        <w:spacing w:after="0" w:line="222" w:lineRule="auto"/>
        <w:tabs>
          <w:tab w:leader="none" w:pos="1323"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 Eligible Insider who is a director or officer, the trading program must specify that the first trade authorized to be made under such trading program shall not occur until the later of (a) ninety-one (91) days after the date on which the Trading Program is entered, and (b) 6:30 a.m. Pacific Time on the third trading day after the day the Company’s Form 10-Q (or Form 10-K) for the quarter during which the trading program is entered becomes publicly available; provided, however,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22" w:right="339" w:bottom="1440" w:gutter="0" w:footer="0" w:header="0"/>
        </w:sectPr>
      </w:pPr>
    </w:p>
    <w:bookmarkStart w:id="125" w:name="page126"/>
    <w:bookmarkEnd w:id="125"/>
    <w:p>
      <w:pPr>
        <w:ind w:left="660"/>
        <w:spacing w:after="0"/>
        <w:rPr>
          <w:sz w:val="20"/>
          <w:szCs w:val="20"/>
          <w:color w:val="auto"/>
        </w:rPr>
      </w:pPr>
      <w:r>
        <w:rPr>
          <w:rFonts w:ascii="Times New Roman" w:cs="Times New Roman" w:eastAsia="Times New Roman" w:hAnsi="Times New Roman"/>
          <w:sz w:val="20"/>
          <w:szCs w:val="20"/>
          <w:color w:val="auto"/>
        </w:rPr>
        <w:t>in no case shall the limit of this subsection (b) exceed one hundred twenty (120) days (i.e., transactions are always allowed beginning no later than one hundred and twenty one (121) days after the trading program is established);</w:t>
      </w:r>
    </w:p>
    <w:p>
      <w:pPr>
        <w:spacing w:after="0" w:line="148" w:lineRule="exact"/>
        <w:rPr>
          <w:sz w:val="20"/>
          <w:szCs w:val="20"/>
          <w:color w:val="auto"/>
        </w:rPr>
      </w:pPr>
    </w:p>
    <w:p>
      <w:pPr>
        <w:jc w:val="both"/>
        <w:ind w:left="660" w:hanging="4"/>
        <w:spacing w:after="0" w:line="218" w:lineRule="auto"/>
        <w:tabs>
          <w:tab w:leader="none" w:pos="1323"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program must by its terms be subject to the right of the Company to require suspension of transactions under the trading program (or termination of the trading program) to the extent the Company deems such trade suspension (or termination) to be in the best interests of the Company, as for example, where such suspension (or termination) is necessary to comply with any applicable legal or contractual obligations or limitations (for example, an obligation to underwriters for “lock-up” agreements in connection with an underwritten public offering of the Company’s Securities or any restrictions related to a merger, acquisition or tender offer); and</w:t>
      </w:r>
    </w:p>
    <w:p>
      <w:pPr>
        <w:spacing w:after="0" w:line="150" w:lineRule="exact"/>
        <w:rPr>
          <w:rFonts w:ascii="Times New Roman" w:cs="Times New Roman" w:eastAsia="Times New Roman" w:hAnsi="Times New Roman"/>
          <w:sz w:val="20"/>
          <w:szCs w:val="20"/>
          <w:color w:val="auto"/>
        </w:rPr>
      </w:pPr>
    </w:p>
    <w:p>
      <w:pPr>
        <w:ind w:left="660" w:hanging="4"/>
        <w:spacing w:after="0" w:line="266" w:lineRule="auto"/>
        <w:tabs>
          <w:tab w:leader="none" w:pos="1323" w:val="left"/>
        </w:tabs>
        <w:numPr>
          <w:ilvl w:val="0"/>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an Eligible Insider who is not a director or officer, the trading program must specify that the first trade authorized to be made under such trading program shall be no earlier than thirty-one (31) days after the date on which the trading program is entered.</w:t>
      </w:r>
    </w:p>
    <w:p>
      <w:pPr>
        <w:spacing w:after="0" w:line="1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Any Eligible Person who enters into a Qualified Trading Program is also subject to the following conditions:</w:t>
      </w:r>
    </w:p>
    <w:p>
      <w:pPr>
        <w:spacing w:after="0" w:line="202" w:lineRule="exact"/>
        <w:rPr>
          <w:sz w:val="20"/>
          <w:szCs w:val="20"/>
          <w:color w:val="auto"/>
        </w:rPr>
      </w:pPr>
    </w:p>
    <w:p>
      <w:pPr>
        <w:ind w:left="660" w:right="20" w:hanging="4"/>
        <w:spacing w:after="0"/>
        <w:tabs>
          <w:tab w:leader="none" w:pos="1323"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Eligible Insider shall act in good faith with respect to the Qualified Trading Program, including for the duration of the Qualified Trading Program;</w:t>
      </w:r>
    </w:p>
    <w:p>
      <w:pPr>
        <w:spacing w:after="0" w:line="161" w:lineRule="exact"/>
        <w:rPr>
          <w:rFonts w:ascii="Times New Roman" w:cs="Times New Roman" w:eastAsia="Times New Roman" w:hAnsi="Times New Roman"/>
          <w:sz w:val="20"/>
          <w:szCs w:val="20"/>
          <w:color w:val="auto"/>
        </w:rPr>
      </w:pPr>
    </w:p>
    <w:p>
      <w:pPr>
        <w:jc w:val="both"/>
        <w:ind w:left="660" w:hanging="4"/>
        <w:spacing w:after="0" w:line="217" w:lineRule="auto"/>
        <w:tabs>
          <w:tab w:leader="none" w:pos="1323"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Eligible Insider must obtain the written approval of the General Counsel prior to modifying or cancelling a Qualified Trading Program. To be approved, a modified Qualified Trading Program must comply with all of the requirements set forth above for establishing a new Qualified Trading Program. A modification of a Qualified Trading Program that does not change the amount, price or timing of proposed transactions shall not be subject to complying with all the requirements listed above. Further, a Qualified Trading Program cannot be modified more than once during the duration the term of such Qualified Trading Program;</w:t>
      </w:r>
    </w:p>
    <w:p>
      <w:pPr>
        <w:spacing w:after="0" w:line="161" w:lineRule="exact"/>
        <w:rPr>
          <w:rFonts w:ascii="Times New Roman" w:cs="Times New Roman" w:eastAsia="Times New Roman" w:hAnsi="Times New Roman"/>
          <w:sz w:val="20"/>
          <w:szCs w:val="20"/>
          <w:color w:val="auto"/>
        </w:rPr>
      </w:pPr>
    </w:p>
    <w:p>
      <w:pPr>
        <w:jc w:val="both"/>
        <w:ind w:left="660" w:hanging="4"/>
        <w:spacing w:after="0" w:line="213" w:lineRule="auto"/>
        <w:tabs>
          <w:tab w:leader="none" w:pos="1323"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Eligible Insider may only have one Qualified Trading Program in effect at a time, except an Eligible Insider may have more than one Qualified Trading Program in the following limited circumstances: (a) an Eligible Insider may simultaneously maintain a successor Qualified Trading Program under which trades are not scheduled to begin until completion or expiration of the predecessor Qualified Trading Program, provided, that if the predecessor Qualified Trading Program is cancelled, trading under the successor Qualified Trading Program cannot commence until the applicable cooling-off period set forth in clause (5) or (7) above has run from the date of cancellation of the predecessor Qualified Trading Program, and (b) a Qualified Trading Program that utilizes separate contracts with different brokers designed to effect the purchase or sale of securities as a single transaction may be treated as a single plan so long as the contracts taken together meet the conditions under Rule 10b5-1;</w:t>
      </w:r>
    </w:p>
    <w:p>
      <w:pPr>
        <w:spacing w:after="0" w:line="162" w:lineRule="exact"/>
        <w:rPr>
          <w:rFonts w:ascii="Times New Roman" w:cs="Times New Roman" w:eastAsia="Times New Roman" w:hAnsi="Times New Roman"/>
          <w:sz w:val="20"/>
          <w:szCs w:val="20"/>
          <w:color w:val="auto"/>
        </w:rPr>
      </w:pPr>
    </w:p>
    <w:p>
      <w:pPr>
        <w:ind w:left="660" w:hanging="4"/>
        <w:spacing w:after="0"/>
        <w:tabs>
          <w:tab w:leader="none" w:pos="1323"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Eligible Insider may only enter into one Qualified Trading Program that is designed to effect trading of Company Securities as a single transaction during any twelve (12) month period; and</w:t>
      </w:r>
    </w:p>
    <w:p>
      <w:pPr>
        <w:spacing w:after="0" w:line="147" w:lineRule="exact"/>
        <w:rPr>
          <w:rFonts w:ascii="Times New Roman" w:cs="Times New Roman" w:eastAsia="Times New Roman" w:hAnsi="Times New Roman"/>
          <w:sz w:val="20"/>
          <w:szCs w:val="20"/>
          <w:color w:val="auto"/>
        </w:rPr>
      </w:pPr>
    </w:p>
    <w:p>
      <w:pPr>
        <w:jc w:val="both"/>
        <w:ind w:left="660" w:hanging="4"/>
        <w:spacing w:after="0" w:line="222" w:lineRule="auto"/>
        <w:tabs>
          <w:tab w:leader="none" w:pos="1323"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Eligible Person who has entered into a Qualified Trading Program and who is subject to Section 16 reporting must indicate by footnote (and on or after April 1, 2023, must check the box on any Form 4 or Form 5 filed by such person to report transactions effected under the Qualified Trading Program), as well as note on any Form 144, that such transaction was effected under a contract, instruction, or plan in accordance with Rule 10b5-1.</w:t>
      </w:r>
    </w:p>
    <w:p>
      <w:pPr>
        <w:spacing w:after="0" w:line="189" w:lineRule="exact"/>
        <w:rPr>
          <w:sz w:val="20"/>
          <w:szCs w:val="20"/>
          <w:color w:val="auto"/>
        </w:rPr>
      </w:pPr>
    </w:p>
    <w:p>
      <w:pPr>
        <w:jc w:val="both"/>
        <w:ind w:firstLine="324"/>
        <w:spacing w:after="0" w:line="272" w:lineRule="auto"/>
        <w:rPr>
          <w:sz w:val="20"/>
          <w:szCs w:val="20"/>
          <w:color w:val="auto"/>
        </w:rPr>
      </w:pPr>
      <w:r>
        <w:rPr>
          <w:rFonts w:ascii="Times New Roman" w:cs="Times New Roman" w:eastAsia="Times New Roman" w:hAnsi="Times New Roman"/>
          <w:sz w:val="20"/>
          <w:szCs w:val="20"/>
          <w:color w:val="auto"/>
        </w:rPr>
        <w:t>Eligible Persons who enter into an Alternative Trading Program will not be able to rely on the affirmative defense of Rule 10b5-1 for trades made under such trading program but may be able to rely on other alternative defenses to liability for insider trading under applicable securities laws. In order to qualify as an “Alternative Trading Program” (wherein sales and purchases during Quarterly and Special Blackout Periods will be prohibited), a trading program set up by an Eligible Insider must meet the following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399" w:right="339" w:bottom="1440" w:gutter="0" w:footer="0" w:header="0"/>
        </w:sectPr>
      </w:pPr>
    </w:p>
    <w:bookmarkStart w:id="126" w:name="page127"/>
    <w:bookmarkEnd w:id="126"/>
    <w:p>
      <w:pPr>
        <w:ind w:left="660" w:hanging="4"/>
        <w:spacing w:after="0"/>
        <w:tabs>
          <w:tab w:leader="none" w:pos="1323"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program must be pre-approved by the General Counsel, established in writing and be signed and dated by the person entering into the trading program;</w:t>
      </w:r>
    </w:p>
    <w:p>
      <w:pPr>
        <w:spacing w:after="0" w:line="147" w:lineRule="exact"/>
        <w:rPr>
          <w:rFonts w:ascii="Times New Roman" w:cs="Times New Roman" w:eastAsia="Times New Roman" w:hAnsi="Times New Roman"/>
          <w:sz w:val="20"/>
          <w:szCs w:val="20"/>
          <w:color w:val="auto"/>
        </w:rPr>
      </w:pPr>
    </w:p>
    <w:p>
      <w:pPr>
        <w:ind w:left="660" w:hanging="4"/>
        <w:spacing w:after="0"/>
        <w:tabs>
          <w:tab w:leader="none" w:pos="1323"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Eligible Insider must state that he or she was not aware of any material non-public information about the Company or Company Securities when he or she established the trading program; and</w:t>
      </w:r>
    </w:p>
    <w:p>
      <w:pPr>
        <w:spacing w:after="0" w:line="161" w:lineRule="exact"/>
        <w:rPr>
          <w:rFonts w:ascii="Times New Roman" w:cs="Times New Roman" w:eastAsia="Times New Roman" w:hAnsi="Times New Roman"/>
          <w:sz w:val="20"/>
          <w:szCs w:val="20"/>
          <w:color w:val="auto"/>
        </w:rPr>
      </w:pPr>
    </w:p>
    <w:p>
      <w:pPr>
        <w:jc w:val="both"/>
        <w:ind w:left="660" w:hanging="4"/>
        <w:spacing w:after="0" w:line="216" w:lineRule="auto"/>
        <w:tabs>
          <w:tab w:leader="none" w:pos="1323"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program (a) specifies the amount of securities to be purchased or sold and the price at which and the date on which the securities are to be purchased or sold; (b) includes a written formula or algorithm, or computer program, for determining the amount of securities to be purchased or sold and the price at which and the date on which the securities are to be purchased or sold; or (c) does not permit the Eligible Insider to exercise any subsequent influence over how, when, or whether to effect purchases or sales; provided, in addition, that any other person who, pursuant to the trading arrangement, does exercise such influence must not have been aware of material nonpublic information when doing so.</w:t>
      </w:r>
    </w:p>
    <w:p>
      <w:pPr>
        <w:spacing w:after="0" w:line="176"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20"/>
          <w:szCs w:val="20"/>
          <w:color w:val="auto"/>
        </w:rPr>
        <w:t>Eligible Persons who enter into either a Qualified Trading Program or Alternative Trading Program should note that the Company is required by law to disclose in its periodic filings under the Securities Exchange Act of 1934 (i) whether any director of officer has adopted, modified or cancelled a Qualified Trading Program or Alternative Trading Program, (ii) a description of the material terms of such Qualified Trading Program or Alternative Trading Program (other than pricing terms), including the name and title of the director or officer, the date the Qualified Trading Program or Alternative Trading Program was adopted, modified, or cancelled, the duration of such Qualified Trading Program or Alternative Trading Program, and the total amount of securities to be purchased or sold under the Qualified Trading Program or Alternative Trading Program, and (iii) whether or not such Qualified Trading Program or Alternative Trading Program meets the requirements of Rule 10b5-1.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399"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CEO PURSUANT TO SECURITIES EXCHANGE ACT RULES 13a-14(a)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15d-14(a) 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Liam K. Griffin, certify that:</w:t>
      </w:r>
    </w:p>
    <w:p>
      <w:pPr>
        <w:spacing w:after="0" w:line="252" w:lineRule="exact"/>
        <w:rPr>
          <w:sz w:val="20"/>
          <w:szCs w:val="20"/>
          <w:color w:val="auto"/>
        </w:rPr>
      </w:pPr>
    </w:p>
    <w:p>
      <w:pPr>
        <w:ind w:left="680" w:hanging="308"/>
        <w:spacing w:after="0"/>
        <w:tabs>
          <w:tab w:leader="none" w:pos="6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10-K/A of Skyworks Solutions, Inc.;</w:t>
      </w:r>
    </w:p>
    <w:p>
      <w:pPr>
        <w:spacing w:after="0" w:line="252" w:lineRule="exact"/>
        <w:rPr>
          <w:rFonts w:ascii="Times New Roman" w:cs="Times New Roman" w:eastAsia="Times New Roman" w:hAnsi="Times New Roman"/>
          <w:sz w:val="18"/>
          <w:szCs w:val="18"/>
          <w:color w:val="auto"/>
        </w:rPr>
      </w:pPr>
    </w:p>
    <w:p>
      <w:pPr>
        <w:jc w:val="both"/>
        <w:ind w:left="660" w:right="80" w:hanging="288"/>
        <w:spacing w:after="0" w:line="266" w:lineRule="auto"/>
        <w:tabs>
          <w:tab w:leader="none" w:pos="691"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right="40" w:hanging="288"/>
        <w:spacing w:after="0" w:line="282" w:lineRule="auto"/>
        <w:tabs>
          <w:tab w:leader="none" w:pos="691"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660" w:right="120" w:hanging="288"/>
        <w:spacing w:after="0" w:line="266" w:lineRule="auto"/>
        <w:tabs>
          <w:tab w:leader="none" w:pos="688"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980" w:right="60" w:hanging="284"/>
        <w:spacing w:after="0" w:line="266" w:lineRule="auto"/>
        <w:tabs>
          <w:tab w:leader="none" w:pos="1016"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980" w:right="360" w:hanging="284"/>
        <w:spacing w:after="0" w:line="266" w:lineRule="auto"/>
        <w:tabs>
          <w:tab w:leader="none" w:pos="1026"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980" w:right="540" w:hanging="284"/>
        <w:spacing w:after="0" w:line="312" w:lineRule="auto"/>
        <w:tabs>
          <w:tab w:leader="none" w:pos="1016" w:val="left"/>
        </w:tabs>
        <w:numPr>
          <w:ilvl w:val="1"/>
          <w:numId w:val="1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980" w:right="40" w:hanging="284"/>
        <w:spacing w:after="0" w:line="266" w:lineRule="auto"/>
        <w:tabs>
          <w:tab w:leader="none" w:pos="1026"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240" w:hanging="288"/>
        <w:spacing w:after="0" w:line="282" w:lineRule="auto"/>
        <w:tabs>
          <w:tab w:leader="none" w:pos="688"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right="800" w:hanging="284"/>
        <w:spacing w:after="0" w:line="282" w:lineRule="auto"/>
        <w:tabs>
          <w:tab w:leader="none" w:pos="1016"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80" w:right="480" w:hanging="284"/>
        <w:spacing w:after="0" w:line="282" w:lineRule="auto"/>
        <w:tabs>
          <w:tab w:leader="none" w:pos="1026"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8"/>
          <w:szCs w:val="18"/>
          <w:color w:val="auto"/>
        </w:rPr>
        <w:t>Date:</w:t>
        <w:tab/>
        <w:t>January 24, 2025</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 Liam K.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17145</wp:posOffset>
            </wp:positionV>
            <wp:extent cx="228854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5">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Liam K. Griffin</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p>
      <w:pPr>
        <w:sectPr>
          <w:pgSz w:w="11900" w:h="16838" w:orient="portrait"/>
          <w:cols w:equalWidth="0" w:num="1">
            <w:col w:w="11240"/>
          </w:cols>
          <w:pgMar w:left="320" w:top="887"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31.4</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CFO PURSUANT TO SECURITIES EXCHANGE ACT RULES 13a-14(a)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15d-14(a) 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Kris Sennesael, certify that:</w:t>
      </w:r>
    </w:p>
    <w:p>
      <w:pPr>
        <w:spacing w:after="0" w:line="252" w:lineRule="exact"/>
        <w:rPr>
          <w:sz w:val="20"/>
          <w:szCs w:val="20"/>
          <w:color w:val="auto"/>
        </w:rPr>
      </w:pPr>
    </w:p>
    <w:p>
      <w:pPr>
        <w:ind w:left="680" w:hanging="308"/>
        <w:spacing w:after="0"/>
        <w:tabs>
          <w:tab w:leader="none" w:pos="6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10-K/A of Skyworks Solutions, Inc.;</w:t>
      </w:r>
    </w:p>
    <w:p>
      <w:pPr>
        <w:spacing w:after="0" w:line="252" w:lineRule="exact"/>
        <w:rPr>
          <w:rFonts w:ascii="Times New Roman" w:cs="Times New Roman" w:eastAsia="Times New Roman" w:hAnsi="Times New Roman"/>
          <w:sz w:val="18"/>
          <w:szCs w:val="18"/>
          <w:color w:val="auto"/>
        </w:rPr>
      </w:pPr>
    </w:p>
    <w:p>
      <w:pPr>
        <w:jc w:val="both"/>
        <w:ind w:left="660" w:right="80" w:hanging="288"/>
        <w:spacing w:after="0" w:line="266" w:lineRule="auto"/>
        <w:tabs>
          <w:tab w:leader="none" w:pos="691"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right="40" w:hanging="288"/>
        <w:spacing w:after="0" w:line="282" w:lineRule="auto"/>
        <w:tabs>
          <w:tab w:leader="none" w:pos="691"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660" w:right="120" w:hanging="288"/>
        <w:spacing w:after="0" w:line="266" w:lineRule="auto"/>
        <w:tabs>
          <w:tab w:leader="none" w:pos="688"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980" w:right="60" w:hanging="284"/>
        <w:spacing w:after="0" w:line="266" w:lineRule="auto"/>
        <w:tabs>
          <w:tab w:leader="none" w:pos="1016"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980" w:right="360" w:hanging="284"/>
        <w:spacing w:after="0" w:line="266" w:lineRule="auto"/>
        <w:tabs>
          <w:tab w:leader="none" w:pos="1026"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980" w:right="540" w:hanging="284"/>
        <w:spacing w:after="0" w:line="312" w:lineRule="auto"/>
        <w:tabs>
          <w:tab w:leader="none" w:pos="1016" w:val="left"/>
        </w:tabs>
        <w:numPr>
          <w:ilvl w:val="1"/>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980" w:right="40" w:hanging="284"/>
        <w:spacing w:after="0" w:line="266" w:lineRule="auto"/>
        <w:tabs>
          <w:tab w:leader="none" w:pos="1026"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240" w:hanging="288"/>
        <w:spacing w:after="0" w:line="282" w:lineRule="auto"/>
        <w:tabs>
          <w:tab w:leader="none" w:pos="688"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right="800" w:hanging="284"/>
        <w:spacing w:after="0" w:line="282" w:lineRule="auto"/>
        <w:tabs>
          <w:tab w:leader="none" w:pos="1016"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80" w:right="480" w:hanging="284"/>
        <w:spacing w:after="0" w:line="282" w:lineRule="auto"/>
        <w:tabs>
          <w:tab w:leader="none" w:pos="1026"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20"/>
        <w:spacing w:after="0"/>
        <w:tabs>
          <w:tab w:leader="none" w:pos="580" w:val="left"/>
        </w:tabs>
        <w:rPr>
          <w:sz w:val="20"/>
          <w:szCs w:val="20"/>
          <w:color w:val="auto"/>
        </w:rPr>
      </w:pPr>
      <w:r>
        <w:rPr>
          <w:rFonts w:ascii="Times New Roman" w:cs="Times New Roman" w:eastAsia="Times New Roman" w:hAnsi="Times New Roman"/>
          <w:sz w:val="18"/>
          <w:szCs w:val="18"/>
          <w:color w:val="auto"/>
        </w:rPr>
        <w:t>Date:</w:t>
        <w:tab/>
        <w:t>January 24, 2025</w:t>
      </w:r>
    </w:p>
    <w:p>
      <w:pPr>
        <w:spacing w:after="0" w:line="2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 Kris Sennesael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17145</wp:posOffset>
            </wp:positionV>
            <wp:extent cx="2425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6">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4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Kris Sennesael</w:t>
      </w:r>
    </w:p>
    <w:p>
      <w:pPr>
        <w:spacing w:after="0" w:line="6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01579B"/>
    <w:multiLevelType w:val="hybridMultilevel"/>
    <w:lvl w:ilvl="0">
      <w:lvlJc w:val="left"/>
      <w:lvlText w:val="☑"/>
      <w:numFmt w:val="bullet"/>
      <w:start w:val="1"/>
    </w:lvl>
  </w:abstractNum>
  <w:abstractNum w:abstractNumId="1">
    <w:nsid w:val="49DA307D"/>
    <w:multiLevelType w:val="hybridMultilevel"/>
    <w:lvl w:ilvl="0">
      <w:lvlJc w:val="left"/>
      <w:lvlText w:val="☐"/>
      <w:numFmt w:val="bullet"/>
      <w:start w:val="1"/>
    </w:lvl>
  </w:abstractNum>
  <w:abstractNum w:abstractNumId="2">
    <w:nsid w:val="7055A5F5"/>
    <w:multiLevelType w:val="hybridMultilevel"/>
    <w:lvl w:ilvl="0">
      <w:lvlJc w:val="left"/>
      <w:lvlText w:val="•"/>
      <w:numFmt w:val="bullet"/>
      <w:start w:val="1"/>
    </w:lvl>
  </w:abstractNum>
  <w:abstractNum w:abstractNumId="3">
    <w:nsid w:val="5FB8370B"/>
    <w:multiLevelType w:val="hybridMultilevel"/>
    <w:lvl w:ilvl="0">
      <w:lvlJc w:val="left"/>
      <w:lvlText w:val="•"/>
      <w:numFmt w:val="bullet"/>
      <w:start w:val="1"/>
    </w:lvl>
  </w:abstractNum>
  <w:abstractNum w:abstractNumId="4">
    <w:nsid w:val="50801EE1"/>
    <w:multiLevelType w:val="hybridMultilevel"/>
    <w:lvl w:ilvl="0">
      <w:lvlJc w:val="left"/>
      <w:lvlText w:val="•"/>
      <w:numFmt w:val="bullet"/>
      <w:start w:val="1"/>
    </w:lvl>
  </w:abstractNum>
  <w:abstractNum w:abstractNumId="5">
    <w:nsid w:val="488AC1A"/>
    <w:multiLevelType w:val="hybridMultilevel"/>
    <w:lvl w:ilvl="0">
      <w:lvlJc w:val="left"/>
      <w:lvlText w:val="•"/>
      <w:numFmt w:val="bullet"/>
      <w:start w:val="1"/>
    </w:lvl>
  </w:abstractNum>
  <w:abstractNum w:abstractNumId="6">
    <w:nsid w:val="5FB8011C"/>
    <w:multiLevelType w:val="hybridMultilevel"/>
    <w:lvl w:ilvl="0">
      <w:lvlJc w:val="left"/>
      <w:lvlText w:val="•"/>
      <w:numFmt w:val="bullet"/>
      <w:start w:val="1"/>
    </w:lvl>
  </w:abstractNum>
  <w:abstractNum w:abstractNumId="7">
    <w:nsid w:val="6AA78F7F"/>
    <w:multiLevelType w:val="hybridMultilevel"/>
    <w:lvl w:ilvl="0">
      <w:lvlJc w:val="left"/>
      <w:lvlText w:val="•"/>
      <w:numFmt w:val="bullet"/>
      <w:start w:val="1"/>
    </w:lvl>
  </w:abstractNum>
  <w:abstractNum w:abstractNumId="8">
    <w:nsid w:val="7672BD23"/>
    <w:multiLevelType w:val="hybridMultilevel"/>
    <w:lvl w:ilvl="0">
      <w:lvlJc w:val="left"/>
      <w:lvlText w:val="•"/>
      <w:numFmt w:val="bullet"/>
      <w:start w:val="1"/>
    </w:lvl>
  </w:abstractNum>
  <w:abstractNum w:abstractNumId="9">
    <w:nsid w:val="6FC75AF8"/>
    <w:multiLevelType w:val="hybridMultilevel"/>
    <w:lvl w:ilvl="0">
      <w:lvlJc w:val="left"/>
      <w:lvlText w:val="•"/>
      <w:numFmt w:val="bullet"/>
      <w:start w:val="1"/>
    </w:lvl>
  </w:abstractNum>
  <w:abstractNum w:abstractNumId="10">
    <w:nsid w:val="6A5F7029"/>
    <w:multiLevelType w:val="hybridMultilevel"/>
    <w:lvl w:ilvl="0">
      <w:lvlJc w:val="left"/>
      <w:lvlText w:val="•"/>
      <w:numFmt w:val="bullet"/>
      <w:start w:val="1"/>
    </w:lvl>
  </w:abstractNum>
  <w:abstractNum w:abstractNumId="11">
    <w:nsid w:val="7D5E18F8"/>
    <w:multiLevelType w:val="hybridMultilevel"/>
    <w:lvl w:ilvl="0">
      <w:lvlJc w:val="left"/>
      <w:lvlText w:val="•"/>
      <w:numFmt w:val="bullet"/>
      <w:start w:val="1"/>
    </w:lvl>
  </w:abstractNum>
  <w:abstractNum w:abstractNumId="12">
    <w:nsid w:val="5F3534A4"/>
    <w:multiLevelType w:val="hybridMultilevel"/>
    <w:lvl w:ilvl="0">
      <w:lvlJc w:val="left"/>
      <w:lvlText w:val="•"/>
      <w:numFmt w:val="bullet"/>
      <w:start w:val="1"/>
    </w:lvl>
  </w:abstractNum>
  <w:abstractNum w:abstractNumId="13">
    <w:nsid w:val="73A1821B"/>
    <w:multiLevelType w:val="hybridMultilevel"/>
    <w:lvl w:ilvl="0">
      <w:lvlJc w:val="left"/>
      <w:lvlText w:val="•"/>
      <w:numFmt w:val="bullet"/>
      <w:start w:val="1"/>
    </w:lvl>
  </w:abstractNum>
  <w:abstractNum w:abstractNumId="14">
    <w:nsid w:val="7DE67713"/>
    <w:multiLevelType w:val="hybridMultilevel"/>
    <w:lvl w:ilvl="0">
      <w:lvlJc w:val="left"/>
      <w:lvlText w:val="•"/>
      <w:numFmt w:val="bullet"/>
      <w:start w:val="1"/>
    </w:lvl>
  </w:abstractNum>
  <w:abstractNum w:abstractNumId="15">
    <w:nsid w:val="555C55B5"/>
    <w:multiLevelType w:val="hybridMultilevel"/>
    <w:lvl w:ilvl="0">
      <w:lvlJc w:val="left"/>
      <w:lvlText w:val="•"/>
      <w:numFmt w:val="bullet"/>
      <w:start w:val="1"/>
    </w:lvl>
  </w:abstractNum>
  <w:abstractNum w:abstractNumId="16">
    <w:nsid w:val="3FA62ACA"/>
    <w:multiLevelType w:val="hybridMultilevel"/>
    <w:lvl w:ilvl="0">
      <w:lvlJc w:val="left"/>
      <w:lvlText w:val="•"/>
      <w:numFmt w:val="bullet"/>
      <w:start w:val="1"/>
    </w:lvl>
  </w:abstractNum>
  <w:abstractNum w:abstractNumId="17">
    <w:nsid w:val="14FCE74E"/>
    <w:multiLevelType w:val="hybridMultilevel"/>
    <w:lvl w:ilvl="0">
      <w:lvlJc w:val="left"/>
      <w:lvlText w:val="•"/>
      <w:numFmt w:val="bullet"/>
      <w:start w:val="1"/>
    </w:lvl>
  </w:abstractNum>
  <w:abstractNum w:abstractNumId="18">
    <w:nsid w:val="6A3DD3E8"/>
    <w:multiLevelType w:val="hybridMultilevel"/>
    <w:lvl w:ilvl="0">
      <w:lvlJc w:val="left"/>
      <w:lvlText w:val="•"/>
      <w:numFmt w:val="bullet"/>
      <w:start w:val="1"/>
    </w:lvl>
  </w:abstractNum>
  <w:abstractNum w:abstractNumId="19">
    <w:nsid w:val="71C91298"/>
    <w:multiLevelType w:val="hybridMultilevel"/>
    <w:lvl w:ilvl="0">
      <w:lvlJc w:val="left"/>
      <w:lvlText w:val="•"/>
      <w:numFmt w:val="bullet"/>
      <w:start w:val="1"/>
    </w:lvl>
  </w:abstractNum>
  <w:abstractNum w:abstractNumId="20">
    <w:nsid w:val="9DAF632"/>
    <w:multiLevelType w:val="hybridMultilevel"/>
    <w:lvl w:ilvl="0">
      <w:lvlJc w:val="left"/>
      <w:lvlText w:val="•"/>
      <w:numFmt w:val="bullet"/>
      <w:start w:val="1"/>
    </w:lvl>
  </w:abstractNum>
  <w:abstractNum w:abstractNumId="21">
    <w:nsid w:val="53299938"/>
    <w:multiLevelType w:val="hybridMultilevel"/>
    <w:lvl w:ilvl="0">
      <w:lvlJc w:val="left"/>
      <w:lvlText w:val="•"/>
      <w:numFmt w:val="bullet"/>
      <w:start w:val="1"/>
    </w:lvl>
  </w:abstractNum>
  <w:abstractNum w:abstractNumId="22">
    <w:nsid w:val="1FBFE8E0"/>
    <w:multiLevelType w:val="hybridMultilevel"/>
    <w:lvl w:ilvl="0">
      <w:lvlJc w:val="left"/>
      <w:lvlText w:val="•"/>
      <w:numFmt w:val="bullet"/>
      <w:start w:val="1"/>
    </w:lvl>
  </w:abstractNum>
  <w:abstractNum w:abstractNumId="23">
    <w:nsid w:val="5092CA79"/>
    <w:multiLevelType w:val="hybridMultilevel"/>
    <w:lvl w:ilvl="0">
      <w:lvlJc w:val="left"/>
      <w:lvlText w:val="1"/>
      <w:numFmt w:val="bullet"/>
      <w:start w:val="1"/>
    </w:lvl>
  </w:abstractNum>
  <w:abstractNum w:abstractNumId="24">
    <w:nsid w:val="1D545C4D"/>
    <w:multiLevelType w:val="hybridMultilevel"/>
    <w:lvl w:ilvl="0">
      <w:lvlJc w:val="left"/>
      <w:lvlText w:val="(%1)"/>
      <w:numFmt w:val="decimal"/>
      <w:start w:val="1"/>
    </w:lvl>
  </w:abstractNum>
  <w:abstractNum w:abstractNumId="25">
    <w:nsid w:val="59ADEA3D"/>
    <w:multiLevelType w:val="hybridMultilevel"/>
    <w:lvl w:ilvl="0">
      <w:lvlJc w:val="left"/>
      <w:lvlText w:val="(%1)"/>
      <w:numFmt w:val="decimal"/>
      <w:start w:val="1"/>
    </w:lvl>
  </w:abstractNum>
  <w:abstractNum w:abstractNumId="26">
    <w:nsid w:val="288F1A34"/>
    <w:multiLevelType w:val="hybridMultilevel"/>
    <w:lvl w:ilvl="0">
      <w:lvlJc w:val="left"/>
      <w:lvlText w:val="2"/>
      <w:numFmt w:val="bullet"/>
      <w:start w:val="1"/>
    </w:lvl>
  </w:abstractNum>
  <w:abstractNum w:abstractNumId="27">
    <w:nsid w:val="2A155DBC"/>
    <w:multiLevelType w:val="hybridMultilevel"/>
    <w:lvl w:ilvl="0">
      <w:lvlJc w:val="left"/>
      <w:lvlText w:val="•"/>
      <w:numFmt w:val="bullet"/>
      <w:start w:val="1"/>
    </w:lvl>
  </w:abstractNum>
  <w:abstractNum w:abstractNumId="28">
    <w:nsid w:val="1D9F6E5F"/>
    <w:multiLevelType w:val="hybridMultilevel"/>
    <w:lvl w:ilvl="0">
      <w:lvlJc w:val="left"/>
      <w:lvlText w:val="(%1)"/>
      <w:numFmt w:val="decimal"/>
      <w:start w:val="1"/>
    </w:lvl>
  </w:abstractNum>
  <w:abstractNum w:abstractNumId="29">
    <w:nsid w:val="97E1B4E"/>
    <w:multiLevelType w:val="hybridMultilevel"/>
    <w:lvl w:ilvl="0">
      <w:lvlJc w:val="left"/>
      <w:lvlText w:val="(%1)"/>
      <w:numFmt w:val="decimal"/>
      <w:start w:val="1"/>
    </w:lvl>
  </w:abstractNum>
  <w:abstractNum w:abstractNumId="30">
    <w:nsid w:val="51088277"/>
    <w:multiLevelType w:val="hybridMultilevel"/>
    <w:lvl w:ilvl="0">
      <w:lvlJc w:val="left"/>
      <w:lvlText w:val="(%1)"/>
      <w:numFmt w:val="decimal"/>
      <w:start w:val="1"/>
    </w:lvl>
  </w:abstractNum>
  <w:abstractNum w:abstractNumId="31">
    <w:nsid w:val="1CA0C5FA"/>
    <w:multiLevelType w:val="hybridMultilevel"/>
    <w:lvl w:ilvl="0">
      <w:lvlJc w:val="left"/>
      <w:lvlText w:val="•"/>
      <w:numFmt w:val="bullet"/>
      <w:start w:val="1"/>
    </w:lvl>
  </w:abstractNum>
  <w:abstractNum w:abstractNumId="32">
    <w:nsid w:val="53584BCB"/>
    <w:multiLevelType w:val="hybridMultilevel"/>
    <w:lvl w:ilvl="0">
      <w:lvlJc w:val="left"/>
      <w:lvlText w:val="(%1)"/>
      <w:numFmt w:val="decimal"/>
      <w:start w:val="1"/>
    </w:lvl>
  </w:abstractNum>
  <w:abstractNum w:abstractNumId="33">
    <w:nsid w:val="415E286C"/>
    <w:multiLevelType w:val="hybridMultilevel"/>
    <w:lvl w:ilvl="0">
      <w:lvlJc w:val="left"/>
      <w:lvlText w:val="(%1)"/>
      <w:numFmt w:val="decimal"/>
      <w:start w:val="1"/>
    </w:lvl>
  </w:abstractNum>
  <w:abstractNum w:abstractNumId="34">
    <w:nsid w:val="7C58FD05"/>
    <w:multiLevelType w:val="hybridMultilevel"/>
    <w:lvl w:ilvl="0">
      <w:lvlJc w:val="left"/>
      <w:lvlText w:val="(%1)"/>
      <w:numFmt w:val="decimal"/>
      <w:start w:val="5"/>
    </w:lvl>
  </w:abstractNum>
  <w:abstractNum w:abstractNumId="35">
    <w:nsid w:val="23D86AAC"/>
    <w:multiLevelType w:val="hybridMultilevel"/>
    <w:lvl w:ilvl="0">
      <w:lvlJc w:val="left"/>
      <w:lvlText w:val="(%1)"/>
      <w:numFmt w:val="decimal"/>
      <w:start w:val="1"/>
    </w:lvl>
  </w:abstractNum>
  <w:abstractNum w:abstractNumId="36">
    <w:nsid w:val="45E6D486"/>
    <w:multiLevelType w:val="hybridMultilevel"/>
    <w:lvl w:ilvl="0">
      <w:lvlJc w:val="left"/>
      <w:lvlText w:val="(%1)"/>
      <w:numFmt w:val="decimal"/>
      <w:start w:val="3"/>
    </w:lvl>
  </w:abstractNum>
  <w:abstractNum w:abstractNumId="37">
    <w:nsid w:val="5C10FE21"/>
    <w:multiLevelType w:val="hybridMultilevel"/>
    <w:lvl w:ilvl="0">
      <w:lvlJc w:val="left"/>
      <w:lvlText w:val="(%1)"/>
      <w:numFmt w:val="decimal"/>
      <w:start w:val="1"/>
    </w:lvl>
  </w:abstractNum>
  <w:abstractNum w:abstractNumId="38">
    <w:nsid w:val="E7FFA2B"/>
    <w:multiLevelType w:val="hybridMultilevel"/>
    <w:lvl w:ilvl="0">
      <w:lvlJc w:val="left"/>
      <w:lvlText w:val="(%1)"/>
      <w:numFmt w:val="upperLetter"/>
      <w:start w:val="1"/>
    </w:lvl>
  </w:abstractNum>
  <w:abstractNum w:abstractNumId="39">
    <w:nsid w:val="3C5991AA"/>
    <w:multiLevelType w:val="hybridMultilevel"/>
    <w:lvl w:ilvl="0">
      <w:lvlJc w:val="left"/>
      <w:lvlText w:val="•"/>
      <w:numFmt w:val="bullet"/>
      <w:start w:val="1"/>
    </w:lvl>
  </w:abstractNum>
  <w:abstractNum w:abstractNumId="40">
    <w:nsid w:val="4BD8591A"/>
    <w:multiLevelType w:val="hybridMultilevel"/>
    <w:lvl w:ilvl="0">
      <w:lvlJc w:val="left"/>
      <w:lvlText w:val="(%1)"/>
      <w:numFmt w:val="decimal"/>
      <w:start w:val="1"/>
    </w:lvl>
  </w:abstractNum>
  <w:abstractNum w:abstractNumId="41">
    <w:nsid w:val="78DF6A55"/>
    <w:multiLevelType w:val="hybridMultilevel"/>
    <w:lvl w:ilvl="0">
      <w:lvlJc w:val="left"/>
      <w:lvlText w:val="(%1)"/>
      <w:numFmt w:val="decimal"/>
      <w:start w:val="6"/>
    </w:lvl>
  </w:abstractNum>
  <w:abstractNum w:abstractNumId="42">
    <w:nsid w:val="39B7AAA2"/>
    <w:multiLevelType w:val="hybridMultilevel"/>
    <w:lvl w:ilvl="0">
      <w:lvlJc w:val="left"/>
      <w:lvlText w:val="•"/>
      <w:numFmt w:val="bullet"/>
      <w:start w:val="1"/>
    </w:lvl>
  </w:abstractNum>
  <w:abstractNum w:abstractNumId="43">
    <w:nsid w:val="2B0D8DBE"/>
    <w:multiLevelType w:val="hybridMultilevel"/>
    <w:lvl w:ilvl="0">
      <w:lvlJc w:val="left"/>
      <w:lvlText w:val="•"/>
      <w:numFmt w:val="bullet"/>
      <w:start w:val="1"/>
    </w:lvl>
  </w:abstractNum>
  <w:abstractNum w:abstractNumId="44">
    <w:nsid w:val="6C80EC70"/>
    <w:multiLevelType w:val="hybridMultilevel"/>
    <w:lvl w:ilvl="0">
      <w:lvlJc w:val="left"/>
      <w:lvlText w:val="•"/>
      <w:numFmt w:val="bullet"/>
      <w:start w:val="1"/>
    </w:lvl>
  </w:abstractNum>
  <w:abstractNum w:abstractNumId="45">
    <w:nsid w:val="379E21B5"/>
    <w:multiLevelType w:val="hybridMultilevel"/>
    <w:lvl w:ilvl="0">
      <w:lvlJc w:val="left"/>
      <w:lvlText w:val="(%1)"/>
      <w:numFmt w:val="decimal"/>
      <w:start w:val="1"/>
    </w:lvl>
  </w:abstractNum>
  <w:abstractNum w:abstractNumId="46">
    <w:nsid w:val="69E373"/>
    <w:multiLevelType w:val="hybridMultilevel"/>
    <w:lvl w:ilvl="0">
      <w:lvlJc w:val="left"/>
      <w:lvlText w:val="(%1)"/>
      <w:numFmt w:val="decimal"/>
      <w:start w:val="2"/>
    </w:lvl>
  </w:abstractNum>
  <w:abstractNum w:abstractNumId="47">
    <w:nsid w:val="2C27173B"/>
    <w:multiLevelType w:val="hybridMultilevel"/>
    <w:lvl w:ilvl="0">
      <w:lvlJc w:val="left"/>
      <w:lvlText w:val="(%1)"/>
      <w:numFmt w:val="decimal"/>
      <w:start w:val="1"/>
    </w:lvl>
  </w:abstractNum>
  <w:abstractNum w:abstractNumId="48">
    <w:nsid w:val="4C9B0904"/>
    <w:multiLevelType w:val="hybridMultilevel"/>
    <w:lvl w:ilvl="0">
      <w:lvlJc w:val="left"/>
      <w:lvlText w:val="(%1)"/>
      <w:numFmt w:val="decimal"/>
      <w:start w:val="2"/>
    </w:lvl>
  </w:abstractNum>
  <w:abstractNum w:abstractNumId="49">
    <w:nsid w:val="6AA7B75C"/>
    <w:multiLevelType w:val="hybridMultilevel"/>
    <w:lvl w:ilvl="0">
      <w:lvlJc w:val="left"/>
      <w:lvlText w:val="•"/>
      <w:numFmt w:val="bullet"/>
      <w:start w:val="1"/>
    </w:lvl>
  </w:abstractNum>
  <w:abstractNum w:abstractNumId="50">
    <w:nsid w:val="1DF029D3"/>
    <w:multiLevelType w:val="hybridMultilevel"/>
    <w:lvl w:ilvl="0">
      <w:lvlJc w:val="left"/>
      <w:lvlText w:val="(%1)"/>
      <w:numFmt w:val="decimal"/>
      <w:start w:val="1"/>
    </w:lvl>
  </w:abstractNum>
  <w:abstractNum w:abstractNumId="51">
    <w:nsid w:val="5675FF36"/>
    <w:multiLevelType w:val="hybridMultilevel"/>
    <w:lvl w:ilvl="0">
      <w:lvlJc w:val="left"/>
      <w:lvlText w:val="(%1)"/>
      <w:numFmt w:val="decimal"/>
      <w:start w:val="1"/>
    </w:lvl>
  </w:abstractNum>
  <w:abstractNum w:abstractNumId="52">
    <w:nsid w:val="3DD15094"/>
    <w:multiLevelType w:val="hybridMultilevel"/>
    <w:lvl w:ilvl="0">
      <w:lvlJc w:val="left"/>
      <w:lvlText w:val="%1."/>
      <w:numFmt w:val="decimal"/>
      <w:start w:val="2"/>
    </w:lvl>
  </w:abstractNum>
  <w:abstractNum w:abstractNumId="53">
    <w:nsid w:val="3DB012B3"/>
    <w:multiLevelType w:val="hybridMultilevel"/>
    <w:lvl w:ilvl="0">
      <w:lvlJc w:val="left"/>
      <w:lvlText w:val="(%1)"/>
      <w:numFmt w:val="lowerLetter"/>
      <w:start w:val="2"/>
    </w:lvl>
  </w:abstractNum>
  <w:abstractNum w:abstractNumId="54">
    <w:nsid w:val="2708C9AF"/>
    <w:multiLevelType w:val="hybridMultilevel"/>
    <w:lvl w:ilvl="0">
      <w:lvlJc w:val="left"/>
      <w:lvlText w:val="%1"/>
      <w:numFmt w:val="decimal"/>
      <w:start w:val="19"/>
    </w:lvl>
  </w:abstractNum>
  <w:abstractNum w:abstractNumId="55">
    <w:nsid w:val="5B25ACE2"/>
    <w:multiLevelType w:val="hybridMultilevel"/>
    <w:lvl w:ilvl="0">
      <w:lvlJc w:val="left"/>
      <w:lvlText w:val="%1"/>
      <w:numFmt w:val="decimal"/>
      <w:start w:val="21"/>
    </w:lvl>
  </w:abstractNum>
  <w:abstractNum w:abstractNumId="56">
    <w:nsid w:val="175DFCF0"/>
    <w:multiLevelType w:val="hybridMultilevel"/>
    <w:lvl w:ilvl="0">
      <w:lvlJc w:val="left"/>
      <w:lvlText w:val="*"/>
      <w:numFmt w:val="bullet"/>
      <w:start w:val="1"/>
    </w:lvl>
    <w:lvl w:ilvl="1">
      <w:lvlJc w:val="left"/>
      <w:lvlText w:val="%2"/>
      <w:numFmt w:val="decimal"/>
      <w:start w:val="104"/>
    </w:lvl>
  </w:abstractNum>
  <w:abstractNum w:abstractNumId="57">
    <w:nsid w:val="4F97E3E4"/>
    <w:multiLevelType w:val="hybridMultilevel"/>
    <w:lvl w:ilvl="0">
      <w:lvlJc w:val="left"/>
      <w:lvlText w:val="^"/>
      <w:numFmt w:val="bullet"/>
      <w:start w:val="1"/>
    </w:lvl>
  </w:abstractNum>
  <w:abstractNum w:abstractNumId="58">
    <w:nsid w:val="53B0A9E"/>
    <w:multiLevelType w:val="hybridMultilevel"/>
    <w:lvl w:ilvl="0">
      <w:lvlJc w:val="left"/>
      <w:lvlText w:val="%1."/>
      <w:numFmt w:val="decimal"/>
      <w:start w:val="1"/>
    </w:lvl>
  </w:abstractNum>
  <w:abstractNum w:abstractNumId="59">
    <w:nsid w:val="34FD6B4F"/>
    <w:multiLevelType w:val="hybridMultilevel"/>
    <w:lvl w:ilvl="0">
      <w:lvlJc w:val="left"/>
      <w:lvlText w:val="%1."/>
      <w:numFmt w:val="decimal"/>
      <w:start w:val="2"/>
    </w:lvl>
  </w:abstractNum>
  <w:abstractNum w:abstractNumId="60">
    <w:nsid w:val="5915FF32"/>
    <w:multiLevelType w:val="hybridMultilevel"/>
    <w:lvl w:ilvl="0">
      <w:lvlJc w:val="left"/>
      <w:lvlText w:val="(%1)"/>
      <w:numFmt w:val="lowerLetter"/>
      <w:start w:val="1"/>
    </w:lvl>
  </w:abstractNum>
  <w:abstractNum w:abstractNumId="61">
    <w:nsid w:val="56438D15"/>
    <w:multiLevelType w:val="hybridMultilevel"/>
    <w:lvl w:ilvl="0">
      <w:lvlJc w:val="left"/>
      <w:lvlText w:val="(%1)"/>
      <w:numFmt w:val="lowerLetter"/>
      <w:start w:val="1"/>
    </w:lvl>
  </w:abstractNum>
  <w:abstractNum w:abstractNumId="62">
    <w:nsid w:val="519E3149"/>
    <w:multiLevelType w:val="hybridMultilevel"/>
    <w:lvl w:ilvl="0">
      <w:lvlJc w:val="left"/>
      <w:lvlText w:val="(%1)"/>
      <w:numFmt w:val="lowerLetter"/>
      <w:start w:val="1"/>
    </w:lvl>
  </w:abstractNum>
  <w:abstractNum w:abstractNumId="63">
    <w:nsid w:val="2C6E4AFD"/>
    <w:multiLevelType w:val="hybridMultilevel"/>
    <w:lvl w:ilvl="0">
      <w:lvlJc w:val="left"/>
      <w:lvlText w:val="(%1)"/>
      <w:numFmt w:val="lowerLetter"/>
      <w:start w:val="2"/>
    </w:lvl>
  </w:abstractNum>
  <w:abstractNum w:abstractNumId="64">
    <w:nsid w:val="17A1B582"/>
    <w:multiLevelType w:val="hybridMultilevel"/>
    <w:lvl w:ilvl="0">
      <w:lvlJc w:val="left"/>
      <w:lvlText w:val="%1."/>
      <w:numFmt w:val="decimal"/>
      <w:start w:val="3"/>
    </w:lvl>
  </w:abstractNum>
  <w:abstractNum w:abstractNumId="65">
    <w:nsid w:val="4DF72E4E"/>
    <w:multiLevelType w:val="hybridMultilevel"/>
    <w:lvl w:ilvl="0">
      <w:lvlJc w:val="left"/>
      <w:lvlText w:val="(%1)"/>
      <w:numFmt w:val="decimal"/>
      <w:start w:val="60"/>
    </w:lvl>
  </w:abstractNum>
  <w:abstractNum w:abstractNumId="66">
    <w:nsid w:val="5046B5A9"/>
    <w:multiLevelType w:val="hybridMultilevel"/>
    <w:lvl w:ilvl="0">
      <w:lvlJc w:val="left"/>
      <w:lvlText w:val="%1."/>
      <w:numFmt w:val="decimal"/>
      <w:start w:val="4"/>
    </w:lvl>
  </w:abstractNum>
  <w:abstractNum w:abstractNumId="67">
    <w:nsid w:val="5D888A08"/>
    <w:multiLevelType w:val="hybridMultilevel"/>
    <w:lvl w:ilvl="0">
      <w:lvlJc w:val="left"/>
      <w:lvlText w:val="%1."/>
      <w:numFmt w:val="decimal"/>
      <w:start w:val="5"/>
    </w:lvl>
  </w:abstractNum>
  <w:abstractNum w:abstractNumId="68">
    <w:nsid w:val="2A082C70"/>
    <w:multiLevelType w:val="hybridMultilevel"/>
    <w:lvl w:ilvl="0">
      <w:lvlJc w:val="left"/>
      <w:lvlText w:val="%1."/>
      <w:numFmt w:val="decimal"/>
      <w:start w:val="6"/>
    </w:lvl>
  </w:abstractNum>
  <w:abstractNum w:abstractNumId="69">
    <w:nsid w:val="5EC6AFD4"/>
    <w:multiLevelType w:val="hybridMultilevel"/>
    <w:lvl w:ilvl="0">
      <w:lvlJc w:val="left"/>
      <w:lvlText w:val="%1."/>
      <w:numFmt w:val="decimal"/>
      <w:start w:val="7"/>
    </w:lvl>
  </w:abstractNum>
  <w:abstractNum w:abstractNumId="70">
    <w:nsid w:val="19E21BB2"/>
    <w:multiLevelType w:val="hybridMultilevel"/>
    <w:lvl w:ilvl="0">
      <w:lvlJc w:val="left"/>
      <w:lvlText w:val="%1."/>
      <w:numFmt w:val="decimal"/>
      <w:start w:val="8"/>
    </w:lvl>
  </w:abstractNum>
  <w:abstractNum w:abstractNumId="71">
    <w:nsid w:val="75E0858A"/>
    <w:multiLevelType w:val="hybridMultilevel"/>
    <w:lvl w:ilvl="0">
      <w:lvlJc w:val="left"/>
      <w:lvlText w:val="%1."/>
      <w:numFmt w:val="decimal"/>
      <w:start w:val="9"/>
    </w:lvl>
  </w:abstractNum>
  <w:abstractNum w:abstractNumId="72">
    <w:nsid w:val="57A61A29"/>
    <w:multiLevelType w:val="hybridMultilevel"/>
    <w:lvl w:ilvl="0">
      <w:lvlJc w:val="left"/>
      <w:lvlText w:val="%1."/>
      <w:numFmt w:val="decimal"/>
      <w:start w:val="10"/>
    </w:lvl>
  </w:abstractNum>
  <w:abstractNum w:abstractNumId="73">
    <w:nsid w:val="5399C654"/>
    <w:multiLevelType w:val="hybridMultilevel"/>
    <w:lvl w:ilvl="0">
      <w:lvlJc w:val="left"/>
      <w:lvlText w:val="%1."/>
      <w:numFmt w:val="decimal"/>
      <w:start w:val="11"/>
    </w:lvl>
  </w:abstractNum>
  <w:abstractNum w:abstractNumId="74">
    <w:nsid w:val="20EE1348"/>
    <w:multiLevelType w:val="hybridMultilevel"/>
    <w:lvl w:ilvl="0">
      <w:lvlJc w:val="left"/>
      <w:lvlText w:val="(%1)"/>
      <w:numFmt w:val="lowerLetter"/>
      <w:start w:val="1"/>
    </w:lvl>
  </w:abstractNum>
  <w:abstractNum w:abstractNumId="75">
    <w:nsid w:val="4427069A"/>
    <w:multiLevelType w:val="hybridMultilevel"/>
    <w:lvl w:ilvl="0">
      <w:lvlJc w:val="left"/>
      <w:lvlText w:val="(%1)"/>
      <w:numFmt w:val="lowerLetter"/>
      <w:start w:val="1"/>
    </w:lvl>
  </w:abstractNum>
  <w:abstractNum w:abstractNumId="76">
    <w:nsid w:val="B37E80A"/>
    <w:multiLevelType w:val="hybridMultilevel"/>
    <w:lvl w:ilvl="0">
      <w:lvlJc w:val="left"/>
      <w:lvlText w:val="(%1)"/>
      <w:numFmt w:val="lowerLetter"/>
      <w:start w:val="4"/>
    </w:lvl>
  </w:abstractNum>
  <w:abstractNum w:abstractNumId="77">
    <w:nsid w:val="2157F6BC"/>
    <w:multiLevelType w:val="hybridMultilevel"/>
    <w:lvl w:ilvl="0">
      <w:lvlJc w:val="left"/>
      <w:lvlText w:val="(%1)"/>
      <w:numFmt w:val="lowerLetter"/>
      <w:start w:val="1"/>
    </w:lvl>
  </w:abstractNum>
  <w:abstractNum w:abstractNumId="78">
    <w:nsid w:val="704E1DD5"/>
    <w:multiLevelType w:val="hybridMultilevel"/>
    <w:lvl w:ilvl="0">
      <w:lvlJc w:val="left"/>
      <w:lvlText w:val="%1."/>
      <w:numFmt w:val="decimal"/>
      <w:start w:val="12"/>
    </w:lvl>
  </w:abstractNum>
  <w:abstractNum w:abstractNumId="79">
    <w:nsid w:val="57D2F10E"/>
    <w:multiLevelType w:val="hybridMultilevel"/>
    <w:lvl w:ilvl="0">
      <w:lvlJc w:val="left"/>
      <w:lvlText w:val="%1)"/>
      <w:numFmt w:val="decimal"/>
      <w:start w:val="8"/>
    </w:lvl>
  </w:abstractNum>
  <w:abstractNum w:abstractNumId="80">
    <w:nsid w:val="BFFAE18"/>
    <w:multiLevelType w:val="hybridMultilevel"/>
    <w:lvl w:ilvl="0">
      <w:lvlJc w:val="left"/>
      <w:lvlText w:val="%1."/>
      <w:numFmt w:val="decimal"/>
      <w:start w:val="1"/>
    </w:lvl>
  </w:abstractNum>
  <w:abstractNum w:abstractNumId="81">
    <w:nsid w:val="E3E47A8"/>
    <w:multiLevelType w:val="hybridMultilevel"/>
    <w:lvl w:ilvl="0">
      <w:lvlJc w:val="left"/>
      <w:lvlText w:val="%1."/>
      <w:numFmt w:val="decimal"/>
      <w:start w:val="1"/>
    </w:lvl>
  </w:abstractNum>
  <w:abstractNum w:abstractNumId="82">
    <w:nsid w:val="2E48F044"/>
    <w:multiLevelType w:val="hybridMultilevel"/>
    <w:lvl w:ilvl="0">
      <w:lvlJc w:val="left"/>
      <w:lvlText w:val="%1."/>
      <w:numFmt w:val="decimal"/>
      <w:start w:val="2"/>
    </w:lvl>
  </w:abstractNum>
  <w:abstractNum w:abstractNumId="83">
    <w:nsid w:val="49D0FEAC"/>
    <w:multiLevelType w:val="hybridMultilevel"/>
    <w:lvl w:ilvl="0">
      <w:lvlJc w:val="left"/>
      <w:lvlText w:val="(%1)"/>
      <w:numFmt w:val="lowerLetter"/>
      <w:start w:val="1"/>
    </w:lvl>
  </w:abstractNum>
  <w:abstractNum w:abstractNumId="84">
    <w:nsid w:val="4BEE5A5B"/>
    <w:multiLevelType w:val="hybridMultilevel"/>
    <w:lvl w:ilvl="0">
      <w:lvlJc w:val="left"/>
      <w:lvlText w:val="(%1)"/>
      <w:numFmt w:val="lowerLetter"/>
      <w:start w:val="1"/>
    </w:lvl>
  </w:abstractNum>
  <w:abstractNum w:abstractNumId="85">
    <w:nsid w:val="5551B9F3"/>
    <w:multiLevelType w:val="hybridMultilevel"/>
    <w:lvl w:ilvl="0">
      <w:lvlJc w:val="left"/>
      <w:lvlText w:val="(%1)"/>
      <w:numFmt w:val="lowerLetter"/>
      <w:start w:val="1"/>
    </w:lvl>
  </w:abstractNum>
  <w:abstractNum w:abstractNumId="86">
    <w:nsid w:val="24F6AB8E"/>
    <w:multiLevelType w:val="hybridMultilevel"/>
    <w:lvl w:ilvl="0">
      <w:lvlJc w:val="left"/>
      <w:lvlText w:val="(%1)"/>
      <w:numFmt w:val="lowerLetter"/>
      <w:start w:val="2"/>
    </w:lvl>
  </w:abstractNum>
  <w:abstractNum w:abstractNumId="87">
    <w:nsid w:val="634C574C"/>
    <w:multiLevelType w:val="hybridMultilevel"/>
    <w:lvl w:ilvl="0">
      <w:lvlJc w:val="left"/>
      <w:lvlText w:val="%1."/>
      <w:numFmt w:val="decimal"/>
      <w:start w:val="3"/>
    </w:lvl>
  </w:abstractNum>
  <w:abstractNum w:abstractNumId="88">
    <w:nsid w:val="24E99DD7"/>
    <w:multiLevelType w:val="hybridMultilevel"/>
    <w:lvl w:ilvl="0">
      <w:lvlJc w:val="left"/>
      <w:lvlText w:val="(%1)"/>
      <w:numFmt w:val="decimal"/>
      <w:start w:val="60"/>
    </w:lvl>
  </w:abstractNum>
  <w:abstractNum w:abstractNumId="89">
    <w:nsid w:val="2A31B62D"/>
    <w:multiLevelType w:val="hybridMultilevel"/>
    <w:lvl w:ilvl="0">
      <w:lvlJc w:val="left"/>
      <w:lvlText w:val="%1."/>
      <w:numFmt w:val="decimal"/>
      <w:start w:val="4"/>
    </w:lvl>
  </w:abstractNum>
  <w:abstractNum w:abstractNumId="90">
    <w:nsid w:val="1849C29B"/>
    <w:multiLevelType w:val="hybridMultilevel"/>
    <w:lvl w:ilvl="0">
      <w:lvlJc w:val="left"/>
      <w:lvlText w:val="%1."/>
      <w:numFmt w:val="decimal"/>
      <w:start w:val="5"/>
    </w:lvl>
  </w:abstractNum>
  <w:abstractNum w:abstractNumId="91">
    <w:nsid w:val="7DFF9D09"/>
    <w:multiLevelType w:val="hybridMultilevel"/>
    <w:lvl w:ilvl="0">
      <w:lvlJc w:val="left"/>
      <w:lvlText w:val="%1."/>
      <w:numFmt w:val="decimal"/>
      <w:start w:val="6"/>
    </w:lvl>
  </w:abstractNum>
  <w:abstractNum w:abstractNumId="92">
    <w:nsid w:val="754342"/>
    <w:multiLevelType w:val="hybridMultilevel"/>
    <w:lvl w:ilvl="0">
      <w:lvlJc w:val="left"/>
      <w:lvlText w:val="%1."/>
      <w:numFmt w:val="decimal"/>
      <w:start w:val="7"/>
    </w:lvl>
  </w:abstractNum>
  <w:abstractNum w:abstractNumId="93">
    <w:nsid w:val="69E7F3E5"/>
    <w:multiLevelType w:val="hybridMultilevel"/>
    <w:lvl w:ilvl="0">
      <w:lvlJc w:val="left"/>
      <w:lvlText w:val="%1."/>
      <w:numFmt w:val="decimal"/>
      <w:start w:val="8"/>
    </w:lvl>
  </w:abstractNum>
  <w:abstractNum w:abstractNumId="94">
    <w:nsid w:val="2A6DE806"/>
    <w:multiLevelType w:val="hybridMultilevel"/>
    <w:lvl w:ilvl="0">
      <w:lvlJc w:val="left"/>
      <w:lvlText w:val="%1."/>
      <w:numFmt w:val="decimal"/>
      <w:start w:val="9"/>
    </w:lvl>
  </w:abstractNum>
  <w:abstractNum w:abstractNumId="95">
    <w:nsid w:val="1816F8C4"/>
    <w:multiLevelType w:val="hybridMultilevel"/>
    <w:lvl w:ilvl="0">
      <w:lvlJc w:val="left"/>
      <w:lvlText w:val="%1."/>
      <w:numFmt w:val="decimal"/>
      <w:start w:val="10"/>
    </w:lvl>
  </w:abstractNum>
  <w:abstractNum w:abstractNumId="96">
    <w:nsid w:val="37DF2233"/>
    <w:multiLevelType w:val="hybridMultilevel"/>
    <w:lvl w:ilvl="0">
      <w:lvlJc w:val="left"/>
      <w:lvlText w:val="%1."/>
      <w:numFmt w:val="decimal"/>
      <w:start w:val="11"/>
    </w:lvl>
  </w:abstractNum>
  <w:abstractNum w:abstractNumId="97">
    <w:nsid w:val="7AB49DAF"/>
    <w:multiLevelType w:val="hybridMultilevel"/>
    <w:lvl w:ilvl="0">
      <w:lvlJc w:val="left"/>
      <w:lvlText w:val="(%1)"/>
      <w:numFmt w:val="lowerLetter"/>
      <w:start w:val="1"/>
    </w:lvl>
  </w:abstractNum>
  <w:abstractNum w:abstractNumId="98">
    <w:nsid w:val="759F82CD"/>
    <w:multiLevelType w:val="hybridMultilevel"/>
    <w:lvl w:ilvl="0">
      <w:lvlJc w:val="left"/>
      <w:lvlText w:val="(%1)"/>
      <w:numFmt w:val="lowerLetter"/>
      <w:start w:val="1"/>
    </w:lvl>
  </w:abstractNum>
  <w:abstractNum w:abstractNumId="99">
    <w:nsid w:val="61E74EA3"/>
    <w:multiLevelType w:val="hybridMultilevel"/>
    <w:lvl w:ilvl="0">
      <w:lvlJc w:val="left"/>
      <w:lvlText w:val="(%1)"/>
      <w:numFmt w:val="lowerLetter"/>
      <w:start w:val="4"/>
    </w:lvl>
  </w:abstractNum>
  <w:abstractNum w:abstractNumId="100">
    <w:nsid w:val="597B4D84"/>
    <w:multiLevelType w:val="hybridMultilevel"/>
    <w:lvl w:ilvl="0">
      <w:lvlJc w:val="left"/>
      <w:lvlText w:val="(%1)"/>
      <w:numFmt w:val="lowerLetter"/>
      <w:start w:val="1"/>
    </w:lvl>
  </w:abstractNum>
  <w:abstractNum w:abstractNumId="101">
    <w:nsid w:val="F819E7F"/>
    <w:multiLevelType w:val="hybridMultilevel"/>
    <w:lvl w:ilvl="0">
      <w:lvlJc w:val="left"/>
      <w:lvlText w:val="%1."/>
      <w:numFmt w:val="decimal"/>
      <w:start w:val="12"/>
    </w:lvl>
  </w:abstractNum>
  <w:abstractNum w:abstractNumId="102">
    <w:nsid w:val="57C7D42D"/>
    <w:multiLevelType w:val="hybridMultilevel"/>
    <w:lvl w:ilvl="0">
      <w:lvlJc w:val="left"/>
      <w:lvlText w:val="%1)"/>
      <w:numFmt w:val="decimal"/>
      <w:start w:val="8"/>
    </w:lvl>
  </w:abstractNum>
  <w:abstractNum w:abstractNumId="103">
    <w:nsid w:val="312167AD"/>
    <w:multiLevelType w:val="hybridMultilevel"/>
    <w:lvl w:ilvl="0">
      <w:lvlJc w:val="left"/>
      <w:lvlText w:val="%1."/>
      <w:numFmt w:val="decimal"/>
      <w:start w:val="1"/>
    </w:lvl>
  </w:abstractNum>
  <w:abstractNum w:abstractNumId="104">
    <w:nsid w:val="631B64D4"/>
    <w:multiLevelType w:val="hybridMultilevel"/>
    <w:lvl w:ilvl="0">
      <w:lvlJc w:val="left"/>
      <w:lvlText w:val="%1."/>
      <w:numFmt w:val="decimal"/>
      <w:start w:val="1"/>
    </w:lvl>
  </w:abstractNum>
  <w:abstractNum w:abstractNumId="105">
    <w:nsid w:val="78B5E776"/>
    <w:multiLevelType w:val="hybridMultilevel"/>
    <w:lvl w:ilvl="0">
      <w:lvlJc w:val="left"/>
      <w:lvlText w:val="%1."/>
      <w:numFmt w:val="decimal"/>
      <w:start w:val="2"/>
    </w:lvl>
  </w:abstractNum>
  <w:abstractNum w:abstractNumId="106">
    <w:nsid w:val="75486E47"/>
    <w:multiLevelType w:val="hybridMultilevel"/>
    <w:lvl w:ilvl="0">
      <w:lvlJc w:val="left"/>
      <w:lvlText w:val="(%1)"/>
      <w:numFmt w:val="lowerLetter"/>
      <w:start w:val="1"/>
    </w:lvl>
  </w:abstractNum>
  <w:abstractNum w:abstractNumId="107">
    <w:nsid w:val="6E534CDE"/>
    <w:multiLevelType w:val="hybridMultilevel"/>
    <w:lvl w:ilvl="0">
      <w:lvlJc w:val="left"/>
      <w:lvlText w:val="(%1)"/>
      <w:numFmt w:val="lowerLetter"/>
      <w:start w:val="1"/>
    </w:lvl>
  </w:abstractNum>
  <w:abstractNum w:abstractNumId="108">
    <w:nsid w:val="1A0DDE32"/>
    <w:multiLevelType w:val="hybridMultilevel"/>
    <w:lvl w:ilvl="0">
      <w:lvlJc w:val="left"/>
      <w:lvlText w:val="(%1)"/>
      <w:numFmt w:val="lowerLetter"/>
      <w:start w:val="1"/>
    </w:lvl>
  </w:abstractNum>
  <w:abstractNum w:abstractNumId="109">
    <w:nsid w:val="65968C1C"/>
    <w:multiLevelType w:val="hybridMultilevel"/>
    <w:lvl w:ilvl="0">
      <w:lvlJc w:val="left"/>
      <w:lvlText w:val="(%1)"/>
      <w:numFmt w:val="lowerLetter"/>
      <w:start w:val="2"/>
    </w:lvl>
  </w:abstractNum>
  <w:abstractNum w:abstractNumId="110">
    <w:nsid w:val="46263DEC"/>
    <w:multiLevelType w:val="hybridMultilevel"/>
    <w:lvl w:ilvl="0">
      <w:lvlJc w:val="left"/>
      <w:lvlText w:val="%1."/>
      <w:numFmt w:val="decimal"/>
      <w:start w:val="3"/>
    </w:lvl>
  </w:abstractNum>
  <w:abstractNum w:abstractNumId="111">
    <w:nsid w:val="260D8C4A"/>
    <w:multiLevelType w:val="hybridMultilevel"/>
    <w:lvl w:ilvl="0">
      <w:lvlJc w:val="left"/>
      <w:lvlText w:val="(%1)"/>
      <w:numFmt w:val="decimal"/>
      <w:start w:val="60"/>
    </w:lvl>
  </w:abstractNum>
  <w:abstractNum w:abstractNumId="112">
    <w:nsid w:val="73D4D3C4"/>
    <w:multiLevelType w:val="hybridMultilevel"/>
    <w:lvl w:ilvl="0">
      <w:lvlJc w:val="left"/>
      <w:lvlText w:val="%1."/>
      <w:numFmt w:val="decimal"/>
      <w:start w:val="4"/>
    </w:lvl>
  </w:abstractNum>
  <w:abstractNum w:abstractNumId="113">
    <w:nsid w:val="746F2E30"/>
    <w:multiLevelType w:val="hybridMultilevel"/>
    <w:lvl w:ilvl="0">
      <w:lvlJc w:val="left"/>
      <w:lvlText w:val="%1."/>
      <w:numFmt w:val="decimal"/>
      <w:start w:val="5"/>
    </w:lvl>
  </w:abstractNum>
  <w:abstractNum w:abstractNumId="114">
    <w:nsid w:val="6FDE8AF6"/>
    <w:multiLevelType w:val="hybridMultilevel"/>
    <w:lvl w:ilvl="0">
      <w:lvlJc w:val="left"/>
      <w:lvlText w:val="%1."/>
      <w:numFmt w:val="decimal"/>
      <w:start w:val="6"/>
    </w:lvl>
  </w:abstractNum>
  <w:abstractNum w:abstractNumId="115">
    <w:nsid w:val="3FC32E20"/>
    <w:multiLevelType w:val="hybridMultilevel"/>
    <w:lvl w:ilvl="0">
      <w:lvlJc w:val="left"/>
      <w:lvlText w:val="%1."/>
      <w:numFmt w:val="decimal"/>
      <w:start w:val="7"/>
    </w:lvl>
  </w:abstractNum>
  <w:abstractNum w:abstractNumId="116">
    <w:nsid w:val="49C0E823"/>
    <w:multiLevelType w:val="hybridMultilevel"/>
    <w:lvl w:ilvl="0">
      <w:lvlJc w:val="left"/>
      <w:lvlText w:val="%1."/>
      <w:numFmt w:val="decimal"/>
      <w:start w:val="8"/>
    </w:lvl>
  </w:abstractNum>
  <w:abstractNum w:abstractNumId="117">
    <w:nsid w:val="14D53685"/>
    <w:multiLevelType w:val="hybridMultilevel"/>
    <w:lvl w:ilvl="0">
      <w:lvlJc w:val="left"/>
      <w:lvlText w:val="%1."/>
      <w:numFmt w:val="decimal"/>
      <w:start w:val="9"/>
    </w:lvl>
  </w:abstractNum>
  <w:abstractNum w:abstractNumId="118">
    <w:nsid w:val="230F856C"/>
    <w:multiLevelType w:val="hybridMultilevel"/>
    <w:lvl w:ilvl="0">
      <w:lvlJc w:val="left"/>
      <w:lvlText w:val="%1."/>
      <w:numFmt w:val="decimal"/>
      <w:start w:val="10"/>
    </w:lvl>
  </w:abstractNum>
  <w:abstractNum w:abstractNumId="119">
    <w:nsid w:val="6EAA85FB"/>
    <w:multiLevelType w:val="hybridMultilevel"/>
    <w:lvl w:ilvl="0">
      <w:lvlJc w:val="left"/>
      <w:lvlText w:val="%1."/>
      <w:numFmt w:val="decimal"/>
      <w:start w:val="11"/>
    </w:lvl>
  </w:abstractNum>
  <w:abstractNum w:abstractNumId="120">
    <w:nsid w:val="3F06ECB2"/>
    <w:multiLevelType w:val="hybridMultilevel"/>
    <w:lvl w:ilvl="0">
      <w:lvlJc w:val="left"/>
      <w:lvlText w:val="(%1)"/>
      <w:numFmt w:val="lowerLetter"/>
      <w:start w:val="1"/>
    </w:lvl>
  </w:abstractNum>
  <w:abstractNum w:abstractNumId="121">
    <w:nsid w:val="3B594807"/>
    <w:multiLevelType w:val="hybridMultilevel"/>
    <w:lvl w:ilvl="0">
      <w:lvlJc w:val="left"/>
      <w:lvlText w:val="(%1)"/>
      <w:numFmt w:val="lowerLetter"/>
      <w:start w:val="1"/>
    </w:lvl>
  </w:abstractNum>
  <w:abstractNum w:abstractNumId="122">
    <w:nsid w:val="6CAA2304"/>
    <w:multiLevelType w:val="hybridMultilevel"/>
    <w:lvl w:ilvl="0">
      <w:lvlJc w:val="left"/>
      <w:lvlText w:val="(%1)"/>
      <w:numFmt w:val="lowerLetter"/>
      <w:start w:val="4"/>
    </w:lvl>
  </w:abstractNum>
  <w:abstractNum w:abstractNumId="123">
    <w:nsid w:val="3F7C2FF4"/>
    <w:multiLevelType w:val="hybridMultilevel"/>
    <w:lvl w:ilvl="0">
      <w:lvlJc w:val="left"/>
      <w:lvlText w:val="(%1)"/>
      <w:numFmt w:val="lowerLetter"/>
      <w:start w:val="1"/>
    </w:lvl>
  </w:abstractNum>
  <w:abstractNum w:abstractNumId="124">
    <w:nsid w:val="25413BEC"/>
    <w:multiLevelType w:val="hybridMultilevel"/>
    <w:lvl w:ilvl="0">
      <w:lvlJc w:val="left"/>
      <w:lvlText w:val="%1."/>
      <w:numFmt w:val="decimal"/>
      <w:start w:val="12"/>
    </w:lvl>
  </w:abstractNum>
  <w:abstractNum w:abstractNumId="125">
    <w:nsid w:val="17180B0B"/>
    <w:multiLevelType w:val="hybridMultilevel"/>
    <w:lvl w:ilvl="0">
      <w:lvlJc w:val="left"/>
      <w:lvlText w:val="%1)"/>
      <w:numFmt w:val="decimal"/>
      <w:start w:val="8"/>
    </w:lvl>
  </w:abstractNum>
  <w:abstractNum w:abstractNumId="126">
    <w:nsid w:val="579328B9"/>
    <w:multiLevelType w:val="hybridMultilevel"/>
    <w:lvl w:ilvl="0">
      <w:lvlJc w:val="left"/>
      <w:lvlText w:val="%1."/>
      <w:numFmt w:val="decimal"/>
      <w:start w:val="1"/>
    </w:lvl>
  </w:abstractNum>
  <w:abstractNum w:abstractNumId="127">
    <w:nsid w:val="5D205E20"/>
    <w:multiLevelType w:val="hybridMultilevel"/>
    <w:lvl w:ilvl="0">
      <w:lvlJc w:val="left"/>
      <w:lvlText w:val="%1."/>
      <w:numFmt w:val="decimal"/>
      <w:start w:val="1"/>
    </w:lvl>
  </w:abstractNum>
  <w:abstractNum w:abstractNumId="128">
    <w:nsid w:val="11CCA8BA"/>
    <w:multiLevelType w:val="hybridMultilevel"/>
    <w:lvl w:ilvl="0">
      <w:lvlJc w:val="left"/>
      <w:lvlText w:val="%1."/>
      <w:numFmt w:val="decimal"/>
      <w:start w:val="2"/>
    </w:lvl>
  </w:abstractNum>
  <w:abstractNum w:abstractNumId="129">
    <w:nsid w:val="4D32AB86"/>
    <w:multiLevelType w:val="hybridMultilevel"/>
    <w:lvl w:ilvl="0">
      <w:lvlJc w:val="left"/>
      <w:lvlText w:val="(%1)"/>
      <w:numFmt w:val="lowerLetter"/>
      <w:start w:val="1"/>
    </w:lvl>
  </w:abstractNum>
  <w:abstractNum w:abstractNumId="130">
    <w:nsid w:val="3F07ACC3"/>
    <w:multiLevelType w:val="hybridMultilevel"/>
    <w:lvl w:ilvl="0">
      <w:lvlJc w:val="left"/>
      <w:lvlText w:val="(%1)"/>
      <w:numFmt w:val="lowerLetter"/>
      <w:start w:val="1"/>
    </w:lvl>
  </w:abstractNum>
  <w:abstractNum w:abstractNumId="131">
    <w:nsid w:val="6B47F63E"/>
    <w:multiLevelType w:val="hybridMultilevel"/>
    <w:lvl w:ilvl="0">
      <w:lvlJc w:val="left"/>
      <w:lvlText w:val="(%1)"/>
      <w:numFmt w:val="lowerLetter"/>
      <w:start w:val="1"/>
    </w:lvl>
  </w:abstractNum>
  <w:abstractNum w:abstractNumId="132">
    <w:nsid w:val="5CB44A05"/>
    <w:multiLevelType w:val="hybridMultilevel"/>
    <w:lvl w:ilvl="0">
      <w:lvlJc w:val="left"/>
      <w:lvlText w:val="(%1)"/>
      <w:numFmt w:val="lowerLetter"/>
      <w:start w:val="2"/>
    </w:lvl>
  </w:abstractNum>
  <w:abstractNum w:abstractNumId="133">
    <w:nsid w:val="16CF80F1"/>
    <w:multiLevelType w:val="hybridMultilevel"/>
    <w:lvl w:ilvl="0">
      <w:lvlJc w:val="left"/>
      <w:lvlText w:val="%1."/>
      <w:numFmt w:val="decimal"/>
      <w:start w:val="3"/>
    </w:lvl>
  </w:abstractNum>
  <w:abstractNum w:abstractNumId="134">
    <w:nsid w:val="1C695DEC"/>
    <w:multiLevelType w:val="hybridMultilevel"/>
    <w:lvl w:ilvl="0">
      <w:lvlJc w:val="left"/>
      <w:lvlText w:val="(%1)"/>
      <w:numFmt w:val="decimal"/>
      <w:start w:val="60"/>
    </w:lvl>
  </w:abstractNum>
  <w:abstractNum w:abstractNumId="135">
    <w:nsid w:val="3FCFAED9"/>
    <w:multiLevelType w:val="hybridMultilevel"/>
    <w:lvl w:ilvl="0">
      <w:lvlJc w:val="left"/>
      <w:lvlText w:val="%1."/>
      <w:numFmt w:val="decimal"/>
      <w:start w:val="4"/>
    </w:lvl>
  </w:abstractNum>
  <w:abstractNum w:abstractNumId="136">
    <w:nsid w:val="F856867"/>
    <w:multiLevelType w:val="hybridMultilevel"/>
    <w:lvl w:ilvl="0">
      <w:lvlJc w:val="left"/>
      <w:lvlText w:val="%1."/>
      <w:numFmt w:val="decimal"/>
      <w:start w:val="5"/>
    </w:lvl>
  </w:abstractNum>
  <w:abstractNum w:abstractNumId="137">
    <w:nsid w:val="11B1CC33"/>
    <w:multiLevelType w:val="hybridMultilevel"/>
    <w:lvl w:ilvl="0">
      <w:lvlJc w:val="left"/>
      <w:lvlText w:val="%1."/>
      <w:numFmt w:val="decimal"/>
      <w:start w:val="6"/>
    </w:lvl>
  </w:abstractNum>
  <w:abstractNum w:abstractNumId="138">
    <w:nsid w:val="2E22FBB7"/>
    <w:multiLevelType w:val="hybridMultilevel"/>
    <w:lvl w:ilvl="0">
      <w:lvlJc w:val="left"/>
      <w:lvlText w:val="%1."/>
      <w:numFmt w:val="decimal"/>
      <w:start w:val="7"/>
    </w:lvl>
  </w:abstractNum>
  <w:abstractNum w:abstractNumId="139">
    <w:nsid w:val="29934699"/>
    <w:multiLevelType w:val="hybridMultilevel"/>
    <w:lvl w:ilvl="0">
      <w:lvlJc w:val="left"/>
      <w:lvlText w:val="%1."/>
      <w:numFmt w:val="decimal"/>
      <w:start w:val="8"/>
    </w:lvl>
  </w:abstractNum>
  <w:abstractNum w:abstractNumId="140">
    <w:nsid w:val="77485850"/>
    <w:multiLevelType w:val="hybridMultilevel"/>
    <w:lvl w:ilvl="0">
      <w:lvlJc w:val="left"/>
      <w:lvlText w:val="%1."/>
      <w:numFmt w:val="decimal"/>
      <w:start w:val="9"/>
    </w:lvl>
  </w:abstractNum>
  <w:abstractNum w:abstractNumId="141">
    <w:nsid w:val="744939A3"/>
    <w:multiLevelType w:val="hybridMultilevel"/>
    <w:lvl w:ilvl="0">
      <w:lvlJc w:val="left"/>
      <w:lvlText w:val="%1."/>
      <w:numFmt w:val="decimal"/>
      <w:start w:val="10"/>
    </w:lvl>
  </w:abstractNum>
  <w:abstractNum w:abstractNumId="142">
    <w:nsid w:val="4FA0D2E3"/>
    <w:multiLevelType w:val="hybridMultilevel"/>
    <w:lvl w:ilvl="0">
      <w:lvlJc w:val="left"/>
      <w:lvlText w:val="%1."/>
      <w:numFmt w:val="decimal"/>
      <w:start w:val="11"/>
    </w:lvl>
  </w:abstractNum>
  <w:abstractNum w:abstractNumId="143">
    <w:nsid w:val="6B1D2C14"/>
    <w:multiLevelType w:val="hybridMultilevel"/>
    <w:lvl w:ilvl="0">
      <w:lvlJc w:val="left"/>
      <w:lvlText w:val="(%1)"/>
      <w:numFmt w:val="lowerLetter"/>
      <w:start w:val="1"/>
    </w:lvl>
  </w:abstractNum>
  <w:abstractNum w:abstractNumId="144">
    <w:nsid w:val="68B867D3"/>
    <w:multiLevelType w:val="hybridMultilevel"/>
    <w:lvl w:ilvl="0">
      <w:lvlJc w:val="left"/>
      <w:lvlText w:val="(%1)"/>
      <w:numFmt w:val="lowerLetter"/>
      <w:start w:val="1"/>
    </w:lvl>
  </w:abstractNum>
  <w:abstractNum w:abstractNumId="145">
    <w:nsid w:val="3F7F5DD9"/>
    <w:multiLevelType w:val="hybridMultilevel"/>
    <w:lvl w:ilvl="0">
      <w:lvlJc w:val="left"/>
      <w:lvlText w:val="(%1)"/>
      <w:numFmt w:val="lowerLetter"/>
      <w:start w:val="4"/>
    </w:lvl>
  </w:abstractNum>
  <w:abstractNum w:abstractNumId="146">
    <w:nsid w:val="2AE05A34"/>
    <w:multiLevelType w:val="hybridMultilevel"/>
    <w:lvl w:ilvl="0">
      <w:lvlJc w:val="left"/>
      <w:lvlText w:val="(%1)"/>
      <w:numFmt w:val="lowerLetter"/>
      <w:start w:val="1"/>
    </w:lvl>
  </w:abstractNum>
  <w:abstractNum w:abstractNumId="147">
    <w:nsid w:val="32794FF7"/>
    <w:multiLevelType w:val="hybridMultilevel"/>
    <w:lvl w:ilvl="0">
      <w:lvlJc w:val="left"/>
      <w:lvlText w:val="%1."/>
      <w:numFmt w:val="decimal"/>
      <w:start w:val="12"/>
    </w:lvl>
  </w:abstractNum>
  <w:abstractNum w:abstractNumId="148">
    <w:nsid w:val="5454945E"/>
    <w:multiLevelType w:val="hybridMultilevel"/>
    <w:lvl w:ilvl="0">
      <w:lvlJc w:val="left"/>
      <w:lvlText w:val="%1)"/>
      <w:numFmt w:val="decimal"/>
      <w:start w:val="8"/>
    </w:lvl>
  </w:abstractNum>
  <w:abstractNum w:abstractNumId="149">
    <w:nsid w:val="4DEFDFA0"/>
    <w:multiLevelType w:val="hybridMultilevel"/>
    <w:lvl w:ilvl="0">
      <w:lvlJc w:val="left"/>
      <w:lvlText w:val="%1."/>
      <w:numFmt w:val="decimal"/>
      <w:start w:val="1"/>
    </w:lvl>
  </w:abstractNum>
  <w:abstractNum w:abstractNumId="150">
    <w:nsid w:val="2123D5F2"/>
    <w:multiLevelType w:val="hybridMultilevel"/>
    <w:lvl w:ilvl="0">
      <w:lvlJc w:val="left"/>
      <w:lvlText w:val="%1."/>
      <w:numFmt w:val="decimal"/>
      <w:start w:val="1"/>
    </w:lvl>
  </w:abstractNum>
  <w:abstractNum w:abstractNumId="151">
    <w:nsid w:val="135B8110"/>
    <w:multiLevelType w:val="hybridMultilevel"/>
    <w:lvl w:ilvl="0">
      <w:lvlJc w:val="left"/>
      <w:lvlText w:val="%1."/>
      <w:numFmt w:val="decimal"/>
      <w:start w:val="2"/>
    </w:lvl>
  </w:abstractNum>
  <w:abstractNum w:abstractNumId="152">
    <w:nsid w:val="94927A8"/>
    <w:multiLevelType w:val="hybridMultilevel"/>
    <w:lvl w:ilvl="0">
      <w:lvlJc w:val="left"/>
      <w:lvlText w:val="(%1)"/>
      <w:numFmt w:val="lowerLetter"/>
      <w:start w:val="1"/>
    </w:lvl>
  </w:abstractNum>
  <w:abstractNum w:abstractNumId="153">
    <w:nsid w:val="DCDF8F6"/>
    <w:multiLevelType w:val="hybridMultilevel"/>
    <w:lvl w:ilvl="0">
      <w:lvlJc w:val="left"/>
      <w:lvlText w:val="(%1)"/>
      <w:numFmt w:val="lowerLetter"/>
      <w:start w:val="1"/>
    </w:lvl>
  </w:abstractNum>
  <w:abstractNum w:abstractNumId="154">
    <w:nsid w:val="52D7B105"/>
    <w:multiLevelType w:val="hybridMultilevel"/>
    <w:lvl w:ilvl="0">
      <w:lvlJc w:val="left"/>
      <w:lvlText w:val="(%1)"/>
      <w:numFmt w:val="lowerLetter"/>
      <w:start w:val="1"/>
    </w:lvl>
  </w:abstractNum>
  <w:abstractNum w:abstractNumId="155">
    <w:nsid w:val="2E8A6394"/>
    <w:multiLevelType w:val="hybridMultilevel"/>
    <w:lvl w:ilvl="0">
      <w:lvlJc w:val="left"/>
      <w:lvlText w:val="(%1)"/>
      <w:numFmt w:val="lowerLetter"/>
      <w:start w:val="2"/>
    </w:lvl>
  </w:abstractNum>
  <w:abstractNum w:abstractNumId="156">
    <w:nsid w:val="24E60401"/>
    <w:multiLevelType w:val="hybridMultilevel"/>
    <w:lvl w:ilvl="0">
      <w:lvlJc w:val="left"/>
      <w:lvlText w:val="%1."/>
      <w:numFmt w:val="decimal"/>
      <w:start w:val="3"/>
    </w:lvl>
  </w:abstractNum>
  <w:abstractNum w:abstractNumId="157">
    <w:nsid w:val="2A6AD9BE"/>
    <w:multiLevelType w:val="hybridMultilevel"/>
    <w:lvl w:ilvl="0">
      <w:lvlJc w:val="left"/>
      <w:lvlText w:val="(%1)"/>
      <w:numFmt w:val="decimal"/>
      <w:start w:val="60"/>
    </w:lvl>
  </w:abstractNum>
  <w:abstractNum w:abstractNumId="158">
    <w:nsid w:val="BAAC1B4"/>
    <w:multiLevelType w:val="hybridMultilevel"/>
    <w:lvl w:ilvl="0">
      <w:lvlJc w:val="left"/>
      <w:lvlText w:val="%1."/>
      <w:numFmt w:val="decimal"/>
      <w:start w:val="4"/>
    </w:lvl>
  </w:abstractNum>
  <w:abstractNum w:abstractNumId="159">
    <w:nsid w:val="36B2ACBC"/>
    <w:multiLevelType w:val="hybridMultilevel"/>
    <w:lvl w:ilvl="0">
      <w:lvlJc w:val="left"/>
      <w:lvlText w:val="%1."/>
      <w:numFmt w:val="decimal"/>
      <w:start w:val="5"/>
    </w:lvl>
  </w:abstractNum>
  <w:abstractNum w:abstractNumId="160">
    <w:nsid w:val="779D8544"/>
    <w:multiLevelType w:val="hybridMultilevel"/>
    <w:lvl w:ilvl="0">
      <w:lvlJc w:val="left"/>
      <w:lvlText w:val="%1."/>
      <w:numFmt w:val="decimal"/>
      <w:start w:val="6"/>
    </w:lvl>
  </w:abstractNum>
  <w:abstractNum w:abstractNumId="161">
    <w:nsid w:val="4AB26E78"/>
    <w:multiLevelType w:val="hybridMultilevel"/>
    <w:lvl w:ilvl="0">
      <w:lvlJc w:val="left"/>
      <w:lvlText w:val="%1."/>
      <w:numFmt w:val="decimal"/>
      <w:start w:val="7"/>
    </w:lvl>
  </w:abstractNum>
  <w:abstractNum w:abstractNumId="162">
    <w:nsid w:val="21FAA2FA"/>
    <w:multiLevelType w:val="hybridMultilevel"/>
    <w:lvl w:ilvl="0">
      <w:lvlJc w:val="left"/>
      <w:lvlText w:val="%1."/>
      <w:numFmt w:val="decimal"/>
      <w:start w:val="8"/>
    </w:lvl>
  </w:abstractNum>
  <w:abstractNum w:abstractNumId="163">
    <w:nsid w:val="5451CF49"/>
    <w:multiLevelType w:val="hybridMultilevel"/>
    <w:lvl w:ilvl="0">
      <w:lvlJc w:val="left"/>
      <w:lvlText w:val="%1."/>
      <w:numFmt w:val="decimal"/>
      <w:start w:val="9"/>
    </w:lvl>
  </w:abstractNum>
  <w:abstractNum w:abstractNumId="164">
    <w:nsid w:val="6181EF69"/>
    <w:multiLevelType w:val="hybridMultilevel"/>
    <w:lvl w:ilvl="0">
      <w:lvlJc w:val="left"/>
      <w:lvlText w:val="%1."/>
      <w:numFmt w:val="decimal"/>
      <w:start w:val="10"/>
    </w:lvl>
  </w:abstractNum>
  <w:abstractNum w:abstractNumId="165">
    <w:nsid w:val="3E6400E6"/>
    <w:multiLevelType w:val="hybridMultilevel"/>
    <w:lvl w:ilvl="0">
      <w:lvlJc w:val="left"/>
      <w:lvlText w:val="%1."/>
      <w:numFmt w:val="decimal"/>
      <w:start w:val="11"/>
    </w:lvl>
  </w:abstractNum>
  <w:abstractNum w:abstractNumId="166">
    <w:nsid w:val="14217E23"/>
    <w:multiLevelType w:val="hybridMultilevel"/>
    <w:lvl w:ilvl="0">
      <w:lvlJc w:val="left"/>
      <w:lvlText w:val="(%1)"/>
      <w:numFmt w:val="lowerLetter"/>
      <w:start w:val="1"/>
    </w:lvl>
  </w:abstractNum>
  <w:abstractNum w:abstractNumId="167">
    <w:nsid w:val="710757D0"/>
    <w:multiLevelType w:val="hybridMultilevel"/>
    <w:lvl w:ilvl="0">
      <w:lvlJc w:val="left"/>
      <w:lvlText w:val="(%1)"/>
      <w:numFmt w:val="lowerLetter"/>
      <w:start w:val="1"/>
    </w:lvl>
  </w:abstractNum>
  <w:abstractNum w:abstractNumId="168">
    <w:nsid w:val="5015CD1A"/>
    <w:multiLevelType w:val="hybridMultilevel"/>
    <w:lvl w:ilvl="0">
      <w:lvlJc w:val="left"/>
      <w:lvlText w:val="(%1)"/>
      <w:numFmt w:val="lowerLetter"/>
      <w:start w:val="4"/>
    </w:lvl>
  </w:abstractNum>
  <w:abstractNum w:abstractNumId="169">
    <w:nsid w:val="424479DA"/>
    <w:multiLevelType w:val="hybridMultilevel"/>
    <w:lvl w:ilvl="0">
      <w:lvlJc w:val="left"/>
      <w:lvlText w:val="(%1)"/>
      <w:numFmt w:val="lowerLetter"/>
      <w:start w:val="1"/>
    </w:lvl>
  </w:abstractNum>
  <w:abstractNum w:abstractNumId="170">
    <w:nsid w:val="1A9A9E69"/>
    <w:multiLevelType w:val="hybridMultilevel"/>
    <w:lvl w:ilvl="0">
      <w:lvlJc w:val="left"/>
      <w:lvlText w:val="%1."/>
      <w:numFmt w:val="decimal"/>
      <w:start w:val="12"/>
    </w:lvl>
  </w:abstractNum>
  <w:abstractNum w:abstractNumId="171">
    <w:nsid w:val="475E256A"/>
    <w:multiLevelType w:val="hybridMultilevel"/>
    <w:lvl w:ilvl="0">
      <w:lvlJc w:val="left"/>
      <w:lvlText w:val="%1)"/>
      <w:numFmt w:val="decimal"/>
      <w:start w:val="8"/>
    </w:lvl>
  </w:abstractNum>
  <w:abstractNum w:abstractNumId="172">
    <w:nsid w:val="368DB37E"/>
    <w:multiLevelType w:val="hybridMultilevel"/>
    <w:lvl w:ilvl="0">
      <w:lvlJc w:val="left"/>
      <w:lvlText w:val="%1."/>
      <w:numFmt w:val="decimal"/>
      <w:start w:val="1"/>
    </w:lvl>
  </w:abstractNum>
  <w:abstractNum w:abstractNumId="173">
    <w:nsid w:val="6A3B714C"/>
    <w:multiLevelType w:val="hybridMultilevel"/>
    <w:lvl w:ilvl="0">
      <w:lvlJc w:val="left"/>
      <w:lvlText w:val="•"/>
      <w:numFmt w:val="bullet"/>
      <w:start w:val="1"/>
    </w:lvl>
  </w:abstractNum>
  <w:abstractNum w:abstractNumId="174">
    <w:nsid w:val="327B517E"/>
    <w:multiLevelType w:val="hybridMultilevel"/>
    <w:lvl w:ilvl="0">
      <w:lvlJc w:val="left"/>
      <w:lvlText w:val="•"/>
      <w:numFmt w:val="bullet"/>
      <w:start w:val="1"/>
    </w:lvl>
  </w:abstractNum>
  <w:abstractNum w:abstractNumId="175">
    <w:nsid w:val="1F461B51"/>
    <w:multiLevelType w:val="hybridMultilevel"/>
    <w:lvl w:ilvl="0">
      <w:lvlJc w:val="left"/>
      <w:lvlText w:val="•"/>
      <w:numFmt w:val="bullet"/>
      <w:start w:val="1"/>
    </w:lvl>
  </w:abstractNum>
  <w:abstractNum w:abstractNumId="176">
    <w:nsid w:val="29BACF25"/>
    <w:multiLevelType w:val="hybridMultilevel"/>
    <w:lvl w:ilvl="0">
      <w:lvlJc w:val="left"/>
      <w:lvlText w:val="(%1)"/>
      <w:numFmt w:val="decimal"/>
      <w:start w:val="1"/>
    </w:lvl>
  </w:abstractNum>
  <w:abstractNum w:abstractNumId="177">
    <w:nsid w:val="5D5BABB3"/>
    <w:multiLevelType w:val="hybridMultilevel"/>
    <w:lvl w:ilvl="0">
      <w:lvlJc w:val="left"/>
      <w:lvlText w:val="(%1)"/>
      <w:numFmt w:val="decimal"/>
      <w:start w:val="6"/>
    </w:lvl>
  </w:abstractNum>
  <w:abstractNum w:abstractNumId="178">
    <w:nsid w:val="51BF6B48"/>
    <w:multiLevelType w:val="hybridMultilevel"/>
    <w:lvl w:ilvl="0">
      <w:lvlJc w:val="left"/>
      <w:lvlText w:val="1"/>
      <w:numFmt w:val="bullet"/>
      <w:start w:val="1"/>
    </w:lvl>
  </w:abstractNum>
  <w:abstractNum w:abstractNumId="179">
    <w:nsid w:val="7E0F6384"/>
    <w:multiLevelType w:val="hybridMultilevel"/>
    <w:lvl w:ilvl="0">
      <w:lvlJc w:val="left"/>
      <w:lvlText w:val="(%1)"/>
      <w:numFmt w:val="decimal"/>
      <w:start w:val="1"/>
    </w:lvl>
  </w:abstractNum>
  <w:abstractNum w:abstractNumId="180">
    <w:nsid w:val="2B4B8B53"/>
    <w:multiLevelType w:val="hybridMultilevel"/>
    <w:lvl w:ilvl="0">
      <w:lvlJc w:val="left"/>
      <w:lvlText w:val="(%1)"/>
      <w:numFmt w:val="decimal"/>
      <w:start w:val="1"/>
    </w:lvl>
  </w:abstractNum>
  <w:abstractNum w:abstractNumId="181">
    <w:nsid w:val="72E3413A"/>
    <w:multiLevelType w:val="hybridMultilevel"/>
    <w:lvl w:ilvl="0">
      <w:lvlJc w:val="left"/>
      <w:lvlText w:val="•"/>
      <w:numFmt w:val="bullet"/>
      <w:start w:val="1"/>
    </w:lvl>
  </w:abstractNum>
  <w:abstractNum w:abstractNumId="182">
    <w:nsid w:val="116AE494"/>
    <w:multiLevelType w:val="hybridMultilevel"/>
    <w:lvl w:ilvl="0">
      <w:lvlJc w:val="left"/>
      <w:lvlText w:val="•"/>
      <w:numFmt w:val="bullet"/>
      <w:start w:val="1"/>
    </w:lvl>
  </w:abstractNum>
  <w:abstractNum w:abstractNumId="183">
    <w:nsid w:val="3494B2FB"/>
    <w:multiLevelType w:val="hybridMultilevel"/>
    <w:lvl w:ilvl="0">
      <w:lvlJc w:val="left"/>
      <w:lvlText w:val="(%1)"/>
      <w:numFmt w:val="decimal"/>
      <w:start w:val="1"/>
    </w:lvl>
  </w:abstractNum>
  <w:abstractNum w:abstractNumId="184">
    <w:nsid w:val="B13A31"/>
    <w:multiLevelType w:val="hybridMultilevel"/>
    <w:lvl w:ilvl="0">
      <w:lvlJc w:val="left"/>
      <w:lvlText w:val="(%1)"/>
      <w:numFmt w:val="decimal"/>
      <w:start w:val="6"/>
    </w:lvl>
  </w:abstractNum>
  <w:abstractNum w:abstractNumId="185">
    <w:nsid w:val="64429599"/>
    <w:multiLevelType w:val="hybridMultilevel"/>
    <w:lvl w:ilvl="0">
      <w:lvlJc w:val="left"/>
      <w:lvlText w:val="(%1)"/>
      <w:numFmt w:val="decimal"/>
      <w:start w:val="1"/>
    </w:lvl>
  </w:abstractNum>
  <w:abstractNum w:abstractNumId="186">
    <w:nsid w:val="631F1690"/>
    <w:multiLevelType w:val="hybridMultilevel"/>
    <w:lvl w:ilvl="0">
      <w:lvlJc w:val="left"/>
      <w:lvlText w:val="(%1)"/>
      <w:numFmt w:val="decimal"/>
      <w:start w:val="1"/>
    </w:lvl>
  </w:abstractNum>
  <w:abstractNum w:abstractNumId="187">
    <w:nsid w:val="25973E32"/>
    <w:multiLevelType w:val="hybridMultilevel"/>
    <w:lvl w:ilvl="0">
      <w:lvlJc w:val="left"/>
      <w:lvlText w:val="%1."/>
      <w:numFmt w:val="decimal"/>
      <w:start w:val="1"/>
    </w:lvl>
    <w:lvl w:ilvl="1">
      <w:lvlJc w:val="left"/>
      <w:lvlText w:val="%2)"/>
      <w:numFmt w:val="lowerLetter"/>
      <w:start w:val="1"/>
    </w:lvl>
  </w:abstractNum>
  <w:abstractNum w:abstractNumId="188">
    <w:nsid w:val="EAD6F5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95" Type="http://schemas.openxmlformats.org/officeDocument/2006/relationships/image" Target="media/image67.png"/><Relationship Id="rId96" Type="http://schemas.openxmlformats.org/officeDocument/2006/relationships/image" Target="media/image68.png"/><Relationship Id="rId107" Type="http://schemas.openxmlformats.org/officeDocument/2006/relationships/image" Target="media/image69.png"/><Relationship Id="rId108" Type="http://schemas.openxmlformats.org/officeDocument/2006/relationships/image" Target="media/image70.png"/><Relationship Id="rId109" Type="http://schemas.openxmlformats.org/officeDocument/2006/relationships/image" Target="media/image71.jpeg"/><Relationship Id="rId110" Type="http://schemas.openxmlformats.org/officeDocument/2006/relationships/image" Target="media/image72.png"/><Relationship Id="rId111" Type="http://schemas.openxmlformats.org/officeDocument/2006/relationships/image" Target="media/image73.png"/><Relationship Id="rId112" Type="http://schemas.openxmlformats.org/officeDocument/2006/relationships/image" Target="media/image74.png"/><Relationship Id="rId113" Type="http://schemas.openxmlformats.org/officeDocument/2006/relationships/image" Target="media/image75.png"/><Relationship Id="rId114" Type="http://schemas.openxmlformats.org/officeDocument/2006/relationships/image" Target="media/image76.jpeg"/><Relationship Id="rId115" Type="http://schemas.openxmlformats.org/officeDocument/2006/relationships/image" Target="media/image77.png"/><Relationship Id="rId116" Type="http://schemas.openxmlformats.org/officeDocument/2006/relationships/image" Target="media/image78.png"/><Relationship Id="rId117" Type="http://schemas.openxmlformats.org/officeDocument/2006/relationships/image" Target="media/image79.png"/><Relationship Id="rId118" Type="http://schemas.openxmlformats.org/officeDocument/2006/relationships/image" Target="media/image80.png"/><Relationship Id="rId119" Type="http://schemas.openxmlformats.org/officeDocument/2006/relationships/image" Target="media/image81.jpeg"/><Relationship Id="rId120" Type="http://schemas.openxmlformats.org/officeDocument/2006/relationships/image" Target="media/image82.png"/><Relationship Id="rId121" Type="http://schemas.openxmlformats.org/officeDocument/2006/relationships/image" Target="media/image83.png"/><Relationship Id="rId122" Type="http://schemas.openxmlformats.org/officeDocument/2006/relationships/image" Target="media/image84.png"/><Relationship Id="rId123" Type="http://schemas.openxmlformats.org/officeDocument/2006/relationships/image" Target="media/image85.png"/><Relationship Id="rId124" Type="http://schemas.openxmlformats.org/officeDocument/2006/relationships/image" Target="media/image86.jpeg"/><Relationship Id="rId125" Type="http://schemas.openxmlformats.org/officeDocument/2006/relationships/image" Target="media/image87.png"/><Relationship Id="rId126" Type="http://schemas.openxmlformats.org/officeDocument/2006/relationships/image" Target="media/image88.png"/><Relationship Id="rId127" Type="http://schemas.openxmlformats.org/officeDocument/2006/relationships/image" Target="media/image89.png"/><Relationship Id="rId128" Type="http://schemas.openxmlformats.org/officeDocument/2006/relationships/image" Target="media/image90.png"/><Relationship Id="rId129" Type="http://schemas.openxmlformats.org/officeDocument/2006/relationships/image" Target="media/image91.jpeg"/><Relationship Id="rId130" Type="http://schemas.openxmlformats.org/officeDocument/2006/relationships/image" Target="media/image92.png"/><Relationship Id="rId131" Type="http://schemas.openxmlformats.org/officeDocument/2006/relationships/image" Target="media/image93.png"/><Relationship Id="rId132" Type="http://schemas.openxmlformats.org/officeDocument/2006/relationships/image" Target="media/image94.png"/><Relationship Id="rId133" Type="http://schemas.openxmlformats.org/officeDocument/2006/relationships/image" Target="media/image95.png"/><Relationship Id="rId134" Type="http://schemas.openxmlformats.org/officeDocument/2006/relationships/image" Target="media/image96.png"/><Relationship Id="rId135" Type="http://schemas.openxmlformats.org/officeDocument/2006/relationships/image" Target="media/image97.png"/><Relationship Id="rId136" Type="http://schemas.openxmlformats.org/officeDocument/2006/relationships/image" Target="media/image98.png"/><Relationship Id="rId74" Type="http://schemas.openxmlformats.org/officeDocument/2006/relationships/hyperlink" Target="https://www.sec.gov/Archives/edgar/data/0000004127/000110465921053805/tm2113063d1_ex2-1.htm" TargetMode="External"/><Relationship Id="rId75" Type="http://schemas.openxmlformats.org/officeDocument/2006/relationships/hyperlink" Target="https://www.sec.gov/Archives/edgar/data/4127/000000412723000025/a31_restatedcertificateofi.htm" TargetMode="External"/><Relationship Id="rId76" Type="http://schemas.openxmlformats.org/officeDocument/2006/relationships/hyperlink" Target="https://www.sec.gov/Archives/edgar/data/4127/000000412723000016/exhibit31fourthamendmentan.htm" TargetMode="External"/><Relationship Id="rId77" Type="http://schemas.openxmlformats.org/officeDocument/2006/relationships/hyperlink" Target="https://www.sec.gov/Archives/edgar/data/4127/000095013502003322/b43499ssexv4.txt" TargetMode="External"/><Relationship Id="rId78" Type="http://schemas.openxmlformats.org/officeDocument/2006/relationships/hyperlink" Target="https://www.sec.gov/Archives/edgar/data/4127/000000412719000049/fy1910k92719ex42.htm" TargetMode="External"/><Relationship Id="rId79" Type="http://schemas.openxmlformats.org/officeDocument/2006/relationships/hyperlink" Target="https://www.sec.gov/Archives/edgar/data/0000004127/000110465921072130/tm2115447d6_ex4-1.htm" TargetMode="External"/><Relationship Id="rId80" Type="http://schemas.openxmlformats.org/officeDocument/2006/relationships/hyperlink" Target="https://www.sec.gov/Archives/edgar/data/0000004127/000110465921072130/tm2115447d6_ex4-2.htm" TargetMode="External"/><Relationship Id="rId81" Type="http://schemas.openxmlformats.org/officeDocument/2006/relationships/hyperlink" Target="https://www.sec.gov/Archives/edgar/data/0000004127/000110465921072130/tm2115447d6_ex4-3.htm" TargetMode="External"/><Relationship Id="rId82" Type="http://schemas.openxmlformats.org/officeDocument/2006/relationships/hyperlink" Target="https://www.sec.gov/Archives/edgar/data/0000004127/000110465921072130/tm2115447d6_ex4-4.htm" TargetMode="External"/><Relationship Id="rId83" Type="http://schemas.openxmlformats.org/officeDocument/2006/relationships/hyperlink" Target="https://www.sec.gov/Archives/edgar/data/4127/000000412724000070/exhibit102-amendmenttoespp.htm" TargetMode="External"/><Relationship Id="rId84" Type="http://schemas.openxmlformats.org/officeDocument/2006/relationships/hyperlink" Target="https://www.sec.gov/Archives/edgar/data/4127/000000412724000070/exhibit103-amendmenttonqes.htm" TargetMode="External"/><Relationship Id="rId85" Type="http://schemas.openxmlformats.org/officeDocument/2006/relationships/hyperlink" Target="https://www.sec.gov/Archives/edgar/data/4127/000000412722000015/q222exhibit101-2008dltip.htm" TargetMode="External"/><Relationship Id="rId86" Type="http://schemas.openxmlformats.org/officeDocument/2006/relationships/hyperlink" Target="https://www.sec.gov/Archives/edgar/data/4127/000089256908000778/a40452exv10woo.htm" TargetMode="External"/><Relationship Id="rId87" Type="http://schemas.openxmlformats.org/officeDocument/2006/relationships/hyperlink" Target="https://www.sec.gov/Archives/edgar/data/4127/000000412716000049/ex1022008dltiprsuagreement.htm" TargetMode="External"/><Relationship Id="rId88" Type="http://schemas.openxmlformats.org/officeDocument/2006/relationships/hyperlink" Target="https://www.sec.gov/ix?doc=/Archives/edgar/data/4127/000110465924040560/tm242679-d5_def14a.htm#APC" TargetMode="External"/><Relationship Id="rId89" Type="http://schemas.openxmlformats.org/officeDocument/2006/relationships/hyperlink" Target="https://www.sec.gov/Archives/edgar/data/4127/000000412724000131/exhibit107-optionagreement.htm" TargetMode="External"/><Relationship Id="rId90" Type="http://schemas.openxmlformats.org/officeDocument/2006/relationships/hyperlink" Target="https://www.sec.gov/Archives/edgar/data/4127/000000412724000131/exhibit108-psaagreement.htm" TargetMode="External"/><Relationship Id="rId91" Type="http://schemas.openxmlformats.org/officeDocument/2006/relationships/hyperlink" Target="https://www.sec.gov/Archives/edgar/data/4127/000000412724000131/exhibit109-rsuagreement.htm" TargetMode="External"/><Relationship Id="rId92" Type="http://schemas.openxmlformats.org/officeDocument/2006/relationships/hyperlink" Target="https://www.sec.gov/Archives/edgar/data/4127/000000412724000007/fy24eipv1redacted-ex101.htm" TargetMode="External"/><Relationship Id="rId93" Type="http://schemas.openxmlformats.org/officeDocument/2006/relationships/hyperlink" Target="https://www.sec.gov/Archives/edgar/data/4127/000000412724000019/exhibit101-directorcashcom.htm" TargetMode="External"/><Relationship Id="rId94" Type="http://schemas.openxmlformats.org/officeDocument/2006/relationships/hyperlink" Target="https://www.sec.gov/Archives/edgar/data/4127/000000412723000025/a101cicagreementgriffin.htm" TargetMode="External"/><Relationship Id="rId97" Type="http://schemas.openxmlformats.org/officeDocument/2006/relationships/hyperlink" Target="https://www.sec.gov/Archives/edgar/data/4127/000110465921053805/tm2113063d1_ex10-1.htm" TargetMode="External"/><Relationship Id="rId98" Type="http://schemas.openxmlformats.org/officeDocument/2006/relationships/hyperlink" Target="https://www.sec.gov/Archives/edgar/data/4127/000110465921072130/tm2115447d6_ex10-2.htm" TargetMode="External"/><Relationship Id="rId99" Type="http://schemas.openxmlformats.org/officeDocument/2006/relationships/hyperlink" Target="https://www.sec.gov/Archives/edgar/data/4127/000000412723000012/exhibit102swksfirstamendme.htm" TargetMode="External"/><Relationship Id="rId100" Type="http://schemas.openxmlformats.org/officeDocument/2006/relationships/hyperlink" Target="https://www.sec.gov/Archives/edgar/data/4127/000000412724000131/fy24exhibit21.htm" TargetMode="External"/><Relationship Id="rId101" Type="http://schemas.openxmlformats.org/officeDocument/2006/relationships/hyperlink" Target="https://www.sec.gov/Archives/edgar/data/4127/000000412724000131/fy24exhibit231-kpmgconsent.htm" TargetMode="External"/><Relationship Id="rId102" Type="http://schemas.openxmlformats.org/officeDocument/2006/relationships/hyperlink" Target="https://www.sec.gov/Archives/edgar/data/4127/000000412724000131/fy24exhibit311.htm" TargetMode="External"/><Relationship Id="rId103" Type="http://schemas.openxmlformats.org/officeDocument/2006/relationships/hyperlink" Target="https://www.sec.gov/Archives/edgar/data/4127/000000412724000131/fy24exhibit312.htm" TargetMode="External"/><Relationship Id="rId104" Type="http://schemas.openxmlformats.org/officeDocument/2006/relationships/hyperlink" Target="https://www.sec.gov/Archives/edgar/data/4127/000000412724000131/fy24exhibit321.htm" TargetMode="External"/><Relationship Id="rId105" Type="http://schemas.openxmlformats.org/officeDocument/2006/relationships/hyperlink" Target="https://www.sec.gov/Archives/edgar/data/4127/000000412724000131/fy24exhibit322.htm" TargetMode="External"/><Relationship Id="rId106" Type="http://schemas.openxmlformats.org/officeDocument/2006/relationships/hyperlink" Target="https://www.sec.gov/Archives/edgar/data/4127/000000412724000131/exhibit971-clawbackpolic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2025-01-24T15:11:46Z</dcterms:created>
  <dcterms:modified xsi:type="dcterms:W3CDTF">2025-01-24T15:11:46Z</dcterms:modified>
</cp:coreProperties>
</file>