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7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3, 2026</w:t>
      </w: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Skyworks Solutions, Inc.</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83" w:right="339" w:bottom="1440" w:gutter="0" w:footer="0" w:header="0"/>
        </w:sectPr>
      </w:pPr>
    </w:p>
    <w:p>
      <w:pPr>
        <w:spacing w:after="0" w:line="3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001-05560</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04-2302115</w:t>
      </w:r>
    </w:p>
    <w:p>
      <w:pPr>
        <w:spacing w:after="0" w:line="45" w:lineRule="exact"/>
        <w:rPr>
          <w:sz w:val="24"/>
          <w:szCs w:val="24"/>
          <w:color w:val="auto"/>
        </w:rPr>
      </w:pPr>
    </w:p>
    <w:p>
      <w:pPr>
        <w:sectPr>
          <w:pgSz w:w="11900" w:h="16838" w:orient="portrait"/>
          <w:cols w:equalWidth="0" w:num="3">
            <w:col w:w="4520" w:space="720"/>
            <w:col w:w="2820" w:space="720"/>
            <w:col w:w="2460"/>
          </w:cols>
          <w:pgMar w:left="320" w:top="1283"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120" w:space="720"/>
            <w:col w:w="2620" w:space="720"/>
            <w:col w:w="3060"/>
          </w:cols>
          <w:pgMar w:left="320" w:top="1283" w:right="339" w:bottom="1440" w:gutter="0" w:footer="0" w:header="0"/>
          <w:type w:val="continuous"/>
        </w:sectPr>
      </w:pPr>
    </w:p>
    <w:p>
      <w:pPr>
        <w:spacing w:after="0" w:line="6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5260 California Avenue</w:t>
      </w:r>
    </w:p>
    <w:p>
      <w:pPr>
        <w:sectPr>
          <w:pgSz w:w="11900" w:h="16838" w:orient="portrait"/>
          <w:cols w:equalWidth="0" w:num="1">
            <w:col w:w="11240"/>
          </w:cols>
          <w:pgMar w:left="320" w:top="1283" w:right="339" w:bottom="1440" w:gutter="0" w:footer="0" w:header="0"/>
          <w:type w:val="continuous"/>
        </w:sectPr>
      </w:pPr>
    </w:p>
    <w:p>
      <w:pPr>
        <w:spacing w:after="0" w:line="61"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Irvine, California</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92617</w:t>
      </w:r>
    </w:p>
    <w:p>
      <w:pPr>
        <w:spacing w:after="0" w:line="45" w:lineRule="exact"/>
        <w:rPr>
          <w:sz w:val="24"/>
          <w:szCs w:val="24"/>
          <w:color w:val="auto"/>
        </w:rPr>
      </w:pPr>
    </w:p>
    <w:p>
      <w:pPr>
        <w:sectPr>
          <w:pgSz w:w="11900" w:h="16838" w:orient="portrait"/>
          <w:cols w:equalWidth="0" w:num="2">
            <w:col w:w="8260" w:space="720"/>
            <w:col w:w="2260"/>
          </w:cols>
          <w:pgMar w:left="320" w:top="1283"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200" w:lineRule="exact"/>
        <w:rPr>
          <w:sz w:val="24"/>
          <w:szCs w:val="24"/>
          <w:color w:val="auto"/>
        </w:rPr>
      </w:pPr>
    </w:p>
    <w:p>
      <w:pPr>
        <w:sectPr>
          <w:pgSz w:w="11900" w:h="16838" w:orient="portrait"/>
          <w:cols w:equalWidth="0" w:num="2">
            <w:col w:w="8160" w:space="720"/>
            <w:col w:w="2360"/>
          </w:cols>
          <w:pgMar w:left="320" w:top="1283" w:right="339" w:bottom="1440" w:gutter="0" w:footer="0" w:header="0"/>
          <w:type w:val="continuous"/>
        </w:sectPr>
      </w:pPr>
    </w:p>
    <w:p>
      <w:pPr>
        <w:spacing w:after="0" w:line="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(949) 231-3000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ectPr>
          <w:pgSz w:w="11900" w:h="16838" w:orient="portrait"/>
          <w:cols w:equalWidth="0" w:num="1">
            <w:col w:w="11240"/>
          </w:cols>
          <w:pgMar w:left="320" w:top="1283" w:right="339" w:bottom="1440" w:gutter="0" w:footer="0" w:header="0"/>
          <w:type w:val="continuous"/>
        </w:sectPr>
      </w:pPr>
    </w:p>
    <w:p>
      <w:pPr>
        <w:spacing w:after="0" w:line="250"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SWKS</w:t>
            </w:r>
          </w:p>
        </w:tc>
        <w:tc>
          <w:tcPr>
            <w:tcW w:w="4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1" w:lineRule="exact"/>
        <w:rPr>
          <w:sz w:val="24"/>
          <w:szCs w:val="24"/>
          <w:color w:val="auto"/>
        </w:rPr>
      </w:pPr>
    </w:p>
    <w:p>
      <w:pPr>
        <w:ind w:right="52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jc w:val="both"/>
        <w:ind w:right="140" w:firstLine="648"/>
        <w:spacing w:after="0" w:line="375" w:lineRule="auto"/>
        <w:rPr>
          <w:sz w:val="20"/>
          <w:szCs w:val="20"/>
          <w:color w:val="auto"/>
        </w:rPr>
      </w:pPr>
      <w:r>
        <w:rPr>
          <w:rFonts w:ascii="Times New Roman" w:cs="Times New Roman" w:eastAsia="Times New Roman" w:hAnsi="Times New Roman"/>
          <w:sz w:val="18"/>
          <w:szCs w:val="18"/>
          <w:color w:val="auto"/>
        </w:rPr>
        <w:t>The information contained in this Item 2.02 and in the exhibit attached hereto as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 w:lineRule="exact"/>
        <w:rPr>
          <w:sz w:val="20"/>
          <w:szCs w:val="20"/>
          <w:color w:val="auto"/>
        </w:rPr>
      </w:pPr>
    </w:p>
    <w:p>
      <w:pPr>
        <w:ind w:firstLine="648"/>
        <w:spacing w:after="0" w:line="391" w:lineRule="auto"/>
        <w:rPr>
          <w:sz w:val="20"/>
          <w:szCs w:val="20"/>
          <w:color w:val="auto"/>
        </w:rPr>
      </w:pPr>
      <w:r>
        <w:rPr>
          <w:rFonts w:ascii="Times New Roman" w:cs="Times New Roman" w:eastAsia="Times New Roman" w:hAnsi="Times New Roman"/>
          <w:sz w:val="18"/>
          <w:szCs w:val="18"/>
          <w:color w:val="auto"/>
        </w:rPr>
        <w:t>On November 3, 2026, Skyworks Solutions, Inc. (the “Registrant”), issued a press release in which it announced financial results for the three- and twelve-month periods ended October 2, 2026. A copy of the press release is attached hereto as Exhibit 99.1.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035"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63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99.1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19685</wp:posOffset>
            </wp:positionV>
            <wp:extent cx="6137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Registrant’s Press Release dated November 3, 2026</w:t>
      </w:r>
    </w:p>
    <w:p>
      <w:pPr>
        <w:spacing w:after="0" w:line="36"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665480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60" w:space="720"/>
            <w:col w:w="9660"/>
          </w:cols>
          <w:pgMar w:left="320" w:top="1035" w:right="339" w:bottom="1440" w:gutter="0" w:footer="0" w:header="0"/>
          <w:type w:val="continuous"/>
        </w:sectPr>
      </w:pPr>
    </w:p>
    <w:bookmarkStart w:id="2" w:name="page3"/>
    <w:bookmarkEnd w:id="2"/>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513"/>
        </w:trPr>
        <w:tc>
          <w:tcPr>
            <w:tcW w:w="3520" w:type="dxa"/>
            <w:vAlign w:val="bottom"/>
          </w:tcPr>
          <w:p>
            <w:pPr>
              <w:ind w:left="1460"/>
              <w:spacing w:after="0"/>
              <w:rPr>
                <w:sz w:val="20"/>
                <w:szCs w:val="20"/>
                <w:color w:val="auto"/>
              </w:rPr>
            </w:pPr>
            <w:r>
              <w:rPr>
                <w:rFonts w:ascii="Times New Roman" w:cs="Times New Roman" w:eastAsia="Times New Roman" w:hAnsi="Times New Roman"/>
                <w:sz w:val="18"/>
                <w:szCs w:val="18"/>
                <w:i w:val="1"/>
                <w:iCs w:val="1"/>
                <w:color w:val="auto"/>
              </w:rPr>
              <w:t>November 3, 2026</w:t>
            </w: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i w:val="1"/>
                <w:iCs w:val="1"/>
                <w:color w:val="auto"/>
              </w:rPr>
              <w:t>By:</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Philip Carter</w:t>
            </w:r>
          </w:p>
        </w:tc>
      </w:tr>
      <w:tr>
        <w:trPr>
          <w:trHeight w:val="237"/>
        </w:trPr>
        <w:tc>
          <w:tcPr>
            <w:tcW w:w="3520" w:type="dxa"/>
            <w:vAlign w:val="bottom"/>
          </w:tcPr>
          <w:p>
            <w:pPr>
              <w:spacing w:after="0"/>
              <w:rPr>
                <w:sz w:val="20"/>
                <w:szCs w:val="20"/>
                <w:color w:val="auto"/>
              </w:rPr>
            </w:pP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i w:val="1"/>
                <w:iCs w:val="1"/>
                <w:color w:val="auto"/>
              </w:rPr>
              <w:t>Name: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Philip Carter</w:t>
            </w:r>
          </w:p>
        </w:tc>
      </w:tr>
      <w:tr>
        <w:trPr>
          <w:trHeight w:val="243"/>
        </w:trPr>
        <w:tc>
          <w:tcPr>
            <w:tcW w:w="3520" w:type="dxa"/>
            <w:vAlign w:val="bottom"/>
          </w:tcPr>
          <w:p>
            <w:pPr>
              <w:spacing w:after="0"/>
              <w:rPr>
                <w:sz w:val="21"/>
                <w:szCs w:val="21"/>
                <w:color w:val="auto"/>
              </w:rPr>
            </w:pPr>
          </w:p>
        </w:tc>
        <w:tc>
          <w:tcPr>
            <w:tcW w:w="1780" w:type="dxa"/>
            <w:vAlign w:val="bottom"/>
          </w:tcPr>
          <w:p>
            <w:pPr>
              <w:ind w:left="74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r>
      <w:tr>
        <w:trPr>
          <w:trHeight w:val="540"/>
        </w:trPr>
        <w:tc>
          <w:tcPr>
            <w:tcW w:w="3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20"/>
          </w:cols>
          <w:pgMar w:left="320" w:top="144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0561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Media Relations:</w:t>
            </w:r>
          </w:p>
        </w:tc>
        <w:tc>
          <w:tcPr>
            <w:tcW w:w="5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Investor Relations:</w:t>
            </w: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Constance Griffiths</w:t>
            </w:r>
          </w:p>
        </w:tc>
        <w:tc>
          <w:tcPr>
            <w:tcW w:w="5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Raji Gill</w:t>
            </w: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(949) 230-4867</w:t>
            </w:r>
          </w:p>
        </w:tc>
        <w:tc>
          <w:tcPr>
            <w:tcW w:w="5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 508-0973</w:t>
            </w:r>
          </w:p>
        </w:tc>
      </w:tr>
      <w:tr>
        <w:trPr>
          <w:trHeight w:val="282"/>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Constance.Griffiths@skyworks.com</w:t>
            </w:r>
          </w:p>
        </w:tc>
        <w:tc>
          <w:tcPr>
            <w:tcW w:w="5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Raji.Gill@skyworks.com</w:t>
            </w:r>
          </w:p>
        </w:tc>
      </w:tr>
    </w:tbl>
    <w:p>
      <w:pPr>
        <w:spacing w:after="0" w:line="324"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5"/>
          <w:szCs w:val="25"/>
          <w:b w:val="1"/>
          <w:bCs w:val="1"/>
          <w:color w:val="auto"/>
        </w:rPr>
        <w:t>Skyworks Begins New Chapter Following Qorvo Combination; Reports Fourth Quarter and Fiscal 2026 Results</w:t>
      </w:r>
    </w:p>
    <w:p>
      <w:pPr>
        <w:spacing w:after="0" w:line="17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Creates a Full-Stack RF Front-End Platform for Next-Generation Smartphones</w:t>
      </w:r>
    </w:p>
    <w:p>
      <w:pPr>
        <w:spacing w:after="0" w:line="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Expands Reach Across Four Secular Growth Markets – Physical AI, Defense, Infrastructure, and Automotive</w:t>
      </w:r>
    </w:p>
    <w:p>
      <w:pPr>
        <w:spacing w:after="0" w:line="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Broadens Technology Portfolio with RF GaN, Low-Voltage Power and Wired Broadband</w:t>
      </w:r>
    </w:p>
    <w:p>
      <w:pPr>
        <w:spacing w:after="0" w:line="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Targets $500 Million or More of Annual Cost Synergies</w:t>
      </w:r>
    </w:p>
    <w:p>
      <w:pPr>
        <w:spacing w:after="0" w:line="7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Skyworks Standalone Revenue of $1.046 Billion, GAAP Diluted EPS of $0.15 and Non-GAAP Diluted EPS of $1.28</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IRVINE, Calif., Nov. 3, 2026 </w:t>
      </w:r>
      <w:r>
        <w:rPr>
          <w:rFonts w:ascii="Times New Roman" w:cs="Times New Roman" w:eastAsia="Times New Roman" w:hAnsi="Times New Roman"/>
          <w:sz w:val="22"/>
          <w:szCs w:val="22"/>
          <w:color w:val="auto"/>
        </w:rPr>
        <w:t>– Skyworks Solutions, Inc. (Nasdaq: SWKS), a global leader in high-performance RF,</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precision timing, power management and mixed-signal solutions, today reported fourth fiscal quarter and fiscal year 2026 results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period ended Oct. 2, 2026.</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Skyworks’ revenue for its fourth fiscal quarter of 2026 was $1,046 million. Skyworks’ GAAP diluted earnings per share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were $0.15 and non-GAAP diluted earnings per share were $1.28. For fiscal year 2026, Skyworks’ revenue was $3.96 billion,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GAAP diluted earnings per share of $1.14 and non-GAAP diluted earnings per share of $5.05.</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“Today marks a new chapter for Skyworks,” said Phil Brace, chief executive officer and president of Skyworks.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“Combining with Qorvo gives us the scale and the technology breadth to lead the next era of wireless, as AI moves from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infrastructure to the devices, vehicles and machines around us. In Smartphone, our portfolio now spans the RF front-end, from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power management to the antenna, as 5G-Advanced and 6G drive a new cycle of RF complexity. In Diversified Growth Markets,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w:t>
      </w:r>
    </w:p>
    <w:p>
      <w:pPr>
        <w:sectPr>
          <w:pgSz w:w="11900" w:h="16838" w:orient="portrait"/>
          <w:cols w:equalWidth="0" w:num="1">
            <w:col w:w="11240"/>
          </w:cols>
          <w:pgMar w:left="320" w:top="1013" w:right="339" w:bottom="1440" w:gutter="0" w:footer="0" w:header="0"/>
        </w:sectPr>
      </w:pPr>
    </w:p>
    <w:bookmarkStart w:id="4" w:name="page5"/>
    <w:bookmarkEnd w:id="4"/>
    <w:p>
      <w:pPr>
        <w:ind w:right="60"/>
        <w:spacing w:after="0" w:line="487" w:lineRule="auto"/>
        <w:rPr>
          <w:sz w:val="20"/>
          <w:szCs w:val="20"/>
          <w:color w:val="auto"/>
        </w:rPr>
      </w:pPr>
      <w:r>
        <w:rPr>
          <w:rFonts w:ascii="Times New Roman" w:cs="Times New Roman" w:eastAsia="Times New Roman" w:hAnsi="Times New Roman"/>
          <w:sz w:val="22"/>
          <w:szCs w:val="22"/>
          <w:color w:val="auto"/>
        </w:rPr>
        <w:t>complementary RF GaN, power, and timing solutions expand our reach across Physical AI and Connected Edge, Defense and Aerospace, Infrastructure, and Automotive. Our focus now is execution: delivering for our customers, achieving $500 million or more of annual cost synergies and building a stronger, more diversified Skyworks.”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Business Highlights</w:t>
      </w:r>
    </w:p>
    <w:p>
      <w:pPr>
        <w:spacing w:after="0" w:line="359" w:lineRule="exact"/>
        <w:rPr>
          <w:sz w:val="20"/>
          <w:szCs w:val="20"/>
          <w:color w:val="auto"/>
        </w:rPr>
      </w:pPr>
    </w:p>
    <w:p>
      <w:pPr>
        <w:ind w:left="340" w:right="20" w:hanging="332"/>
        <w:spacing w:after="0" w:line="501"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favorable credit rating actions following completion of the Qorvo combination, including an upgrade to investment grade by Moody’s (Baa3) and an outlook revision to Stable from Negative by Fitch (BBB+ affirmed)</w:t>
      </w:r>
    </w:p>
    <w:p>
      <w:pPr>
        <w:spacing w:after="0" w:line="5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Began realizing synergies, completing the initial consolidation of our management team and HR systems integration</w:t>
      </w:r>
    </w:p>
    <w:p>
      <w:pPr>
        <w:spacing w:after="0" w:line="354" w:lineRule="exact"/>
        <w:rPr>
          <w:rFonts w:ascii="Times New Roman" w:cs="Times New Roman" w:eastAsia="Times New Roman" w:hAnsi="Times New Roman"/>
          <w:sz w:val="22"/>
          <w:szCs w:val="22"/>
          <w:color w:val="auto"/>
        </w:rPr>
      </w:pPr>
    </w:p>
    <w:p>
      <w:pPr>
        <w:ind w:left="340" w:hanging="332"/>
        <w:spacing w:after="0" w:line="501"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timing design wins across AI data center networking, including 1.6T scale-up, scale-out and data center interconnect switches and began shipping high-performance clocks for leading AI hyperscalers’ rackscale systems</w:t>
      </w:r>
    </w:p>
    <w:p>
      <w:pPr>
        <w:spacing w:after="0" w:line="64" w:lineRule="exact"/>
        <w:rPr>
          <w:rFonts w:ascii="Times New Roman" w:cs="Times New Roman" w:eastAsia="Times New Roman" w:hAnsi="Times New Roman"/>
          <w:sz w:val="22"/>
          <w:szCs w:val="22"/>
          <w:color w:val="auto"/>
        </w:rPr>
      </w:pPr>
    </w:p>
    <w:p>
      <w:pPr>
        <w:ind w:left="340" w:right="440" w:hanging="332"/>
        <w:spacing w:after="0" w:line="501" w:lineRule="auto"/>
        <w:tabs>
          <w:tab w:leader="none" w:pos="33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Extended automotive design-win momentum, including an EV traction inverter gate driver win with a German premium automaker and new infotainment programs with leading global OEMs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of Presentation and New Revenue Categories</w:t>
      </w:r>
    </w:p>
    <w:p>
      <w:pPr>
        <w:spacing w:after="0" w:line="200" w:lineRule="exact"/>
        <w:rPr>
          <w:sz w:val="20"/>
          <w:szCs w:val="20"/>
          <w:color w:val="auto"/>
        </w:rPr>
      </w:pPr>
    </w:p>
    <w:p>
      <w:pPr>
        <w:spacing w:after="0" w:line="267" w:lineRule="exact"/>
        <w:rPr>
          <w:sz w:val="20"/>
          <w:szCs w:val="20"/>
          <w:color w:val="auto"/>
        </w:rPr>
      </w:pPr>
    </w:p>
    <w:p>
      <w:pPr>
        <w:ind w:right="20" w:firstLine="648"/>
        <w:spacing w:after="0" w:line="483" w:lineRule="auto"/>
        <w:rPr>
          <w:sz w:val="20"/>
          <w:szCs w:val="20"/>
          <w:color w:val="auto"/>
        </w:rPr>
      </w:pPr>
      <w:r>
        <w:rPr>
          <w:rFonts w:ascii="Times New Roman" w:cs="Times New Roman" w:eastAsia="Times New Roman" w:hAnsi="Times New Roman"/>
          <w:sz w:val="22"/>
          <w:szCs w:val="22"/>
          <w:color w:val="auto"/>
        </w:rPr>
        <w:t>“Because our combination with Qorvo closed after the end of our fiscal fourth quarter, our reported September-quarter results are Skyworks standalone,” said Philip Carter, chief financial officer and senior vice president of Skyworks. “Combined September-quarter revenue of approximately $1.98 billion, which includes an additional week in Qorvo’s fiscal quarter, provides the starting point for our first quarter as a</w:t>
      </w:r>
    </w:p>
    <w:p>
      <w:pPr>
        <w:sectPr>
          <w:pgSz w:w="11900" w:h="16838" w:orient="portrait"/>
          <w:cols w:equalWidth="0" w:num="1">
            <w:col w:w="11160"/>
          </w:cols>
          <w:pgMar w:left="320" w:top="136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combined company. Beginning with our first fiscal quarter of 2027, we will report on a fully combined basis, with Smartphone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Diversified Growth Markets as our revenue categories.”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September Fiscal Quarter 2026 Revenue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millions,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Skyworks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Qorvo</w:t>
            </w:r>
          </w:p>
        </w:tc>
        <w:tc>
          <w:tcPr>
            <w:tcW w:w="30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37"/>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1,046</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 (1)</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bl>
    <w:p>
      <w:pPr>
        <w:spacing w:after="0" w:line="18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i w:val="1"/>
          <w:iCs w:val="1"/>
          <w:color w:val="auto"/>
        </w:rPr>
        <w:t>Skyworks: three months ended October 2, 2026. Qorvo: fiscal quarter ended October 3, 2026. Combined amounts are the sum of each company’s results for its respective fiscal period; totals may not sum due to rounding.</w:t>
      </w:r>
    </w:p>
    <w:p>
      <w:pPr>
        <w:spacing w:after="0"/>
        <w:rPr>
          <w:sz w:val="20"/>
          <w:szCs w:val="20"/>
          <w:color w:val="auto"/>
        </w:rPr>
      </w:pPr>
      <w:r>
        <w:rPr>
          <w:rFonts w:ascii="Times New Roman" w:cs="Times New Roman" w:eastAsia="Times New Roman" w:hAnsi="Times New Roman"/>
          <w:sz w:val="18"/>
          <w:szCs w:val="18"/>
          <w:i w:val="1"/>
          <w:iCs w:val="1"/>
          <w:color w:val="auto"/>
        </w:rPr>
        <w:t>(1) Qorvo’s fiscal quarter included an additional week of approximately $70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Fiscal Quarter 2027 Outlook</w:t>
      </w:r>
    </w:p>
    <w:p>
      <w:pPr>
        <w:spacing w:after="0" w:line="200" w:lineRule="exact"/>
        <w:rPr>
          <w:sz w:val="20"/>
          <w:szCs w:val="20"/>
          <w:color w:val="auto"/>
        </w:rPr>
      </w:pPr>
    </w:p>
    <w:p>
      <w:pPr>
        <w:spacing w:after="0" w:line="263" w:lineRule="exact"/>
        <w:rPr>
          <w:sz w:val="20"/>
          <w:szCs w:val="20"/>
          <w:color w:val="auto"/>
        </w:rPr>
      </w:pPr>
    </w:p>
    <w:p>
      <w:pPr>
        <w:ind w:right="40" w:firstLine="648"/>
        <w:spacing w:after="0" w:line="488" w:lineRule="auto"/>
        <w:rPr>
          <w:sz w:val="20"/>
          <w:szCs w:val="20"/>
          <w:color w:val="auto"/>
        </w:rPr>
      </w:pPr>
      <w:r>
        <w:rPr>
          <w:rFonts w:ascii="Times New Roman" w:cs="Times New Roman" w:eastAsia="Times New Roman" w:hAnsi="Times New Roman"/>
          <w:sz w:val="22"/>
          <w:szCs w:val="22"/>
          <w:i w:val="1"/>
          <w:iCs w:val="1"/>
          <w:color w:val="auto"/>
        </w:rPr>
        <w:t>We provide earnings guidance on a non-GAAP basis because certain information necessary to reconcile such guidance to GAAP is difficult to estimate and dependent on future events outside of our control. Please refer to the attached Discussion Regarding the Use of Non-GAAP Financial Measures in this earnings release for further discussion of our use of non-GAAP measures, including quantification of known expected adjustment items.</w:t>
      </w:r>
    </w:p>
    <w:p>
      <w:pPr>
        <w:spacing w:after="0" w:line="174" w:lineRule="exact"/>
        <w:rPr>
          <w:sz w:val="20"/>
          <w:szCs w:val="20"/>
          <w:color w:val="auto"/>
        </w:rPr>
      </w:pPr>
    </w:p>
    <w:p>
      <w:pPr>
        <w:ind w:right="40" w:firstLine="648"/>
        <w:spacing w:after="0" w:line="478" w:lineRule="auto"/>
        <w:rPr>
          <w:sz w:val="20"/>
          <w:szCs w:val="20"/>
          <w:color w:val="auto"/>
        </w:rPr>
      </w:pPr>
      <w:r>
        <w:rPr>
          <w:rFonts w:ascii="Times New Roman" w:cs="Times New Roman" w:eastAsia="Times New Roman" w:hAnsi="Times New Roman"/>
          <w:sz w:val="22"/>
          <w:szCs w:val="22"/>
          <w:color w:val="auto"/>
        </w:rPr>
        <w:t>“For the December quarter, our first as a combined company, we anticipate revenue of $1.80 billion to $1.90 billion. At the midpoint, this includes approximately $1.07 billion from legacy Skyworks and approximately $780 million from legacy Qorvo; this is the last quarter in which we will provide this split,” said Philip Carter. “Qorvo’s September quarter included an extra week, which contributed approximately $70 million of revenue. Our outlook at the midpoint is down approximately 7 percent sequentially from combined September revenue, or approximately 3 percent excluding the extra week. At the midpoint of the revenue range, we expect non-GAAP diluted earnings per share of $1.25, based on approximately 241 million diluted shares and including approximately $50 million of other expense, primarily interest on the acquisition financing.</w:t>
      </w:r>
    </w:p>
    <w:p>
      <w:pPr>
        <w:spacing w:after="0" w:line="186" w:lineRule="exact"/>
        <w:rPr>
          <w:sz w:val="20"/>
          <w:szCs w:val="20"/>
          <w:color w:val="auto"/>
        </w:rPr>
      </w:pPr>
    </w:p>
    <w:p>
      <w:pPr>
        <w:ind w:right="580" w:firstLine="648"/>
        <w:spacing w:after="0" w:line="514" w:lineRule="auto"/>
        <w:rPr>
          <w:sz w:val="20"/>
          <w:szCs w:val="20"/>
          <w:color w:val="auto"/>
        </w:rPr>
      </w:pPr>
      <w:r>
        <w:rPr>
          <w:rFonts w:ascii="Times New Roman" w:cs="Times New Roman" w:eastAsia="Times New Roman" w:hAnsi="Times New Roman"/>
          <w:sz w:val="22"/>
          <w:szCs w:val="22"/>
          <w:color w:val="auto"/>
        </w:rPr>
        <w:t>“We expect Smartphone revenue to decline in the low teens percent sequentially, reflecting seasonality, well-known softness in the Android market as we remain focused on the premium tier, and the</w:t>
      </w:r>
    </w:p>
    <w:p>
      <w:pPr>
        <w:sectPr>
          <w:pgSz w:w="11900" w:h="16838" w:orient="portrait"/>
          <w:cols w:equalWidth="0" w:num="1">
            <w:col w:w="11240"/>
          </w:cols>
          <w:pgMar w:left="320" w:top="1368" w:right="339" w:bottom="1440" w:gutter="0" w:footer="0" w:header="0"/>
        </w:sectPr>
      </w:pPr>
    </w:p>
    <w:bookmarkStart w:id="6" w:name="page7"/>
    <w:bookmarkEnd w:id="6"/>
    <w:p>
      <w:pPr>
        <w:ind w:right="120"/>
        <w:spacing w:after="0" w:line="487" w:lineRule="auto"/>
        <w:rPr>
          <w:sz w:val="20"/>
          <w:szCs w:val="20"/>
          <w:color w:val="auto"/>
        </w:rPr>
      </w:pPr>
      <w:r>
        <w:rPr>
          <w:rFonts w:ascii="Times New Roman" w:cs="Times New Roman" w:eastAsia="Times New Roman" w:hAnsi="Times New Roman"/>
          <w:sz w:val="22"/>
          <w:szCs w:val="22"/>
          <w:color w:val="auto"/>
        </w:rPr>
        <w:t>extra week in Qorvo’s September quarter. We expect Diversified Growth Markets revenue to grow in the low single digits sequentially, despite the extra week in the prior quarter, and in the high single to low double digits year-over-year on a combined basis, representing more than 40 percent of sales, led by data center and defense.</w:t>
      </w:r>
    </w:p>
    <w:p>
      <w:pPr>
        <w:spacing w:after="0" w:line="26" w:lineRule="exact"/>
        <w:rPr>
          <w:sz w:val="20"/>
          <w:szCs w:val="20"/>
          <w:color w:val="auto"/>
        </w:rPr>
      </w:pPr>
    </w:p>
    <w:p>
      <w:pPr>
        <w:ind w:firstLine="648"/>
        <w:spacing w:after="0" w:line="419" w:lineRule="auto"/>
        <w:rPr>
          <w:sz w:val="20"/>
          <w:szCs w:val="20"/>
          <w:color w:val="auto"/>
        </w:rPr>
      </w:pPr>
      <w:r>
        <w:rPr>
          <w:rFonts w:ascii="Times New Roman" w:cs="Times New Roman" w:eastAsia="Times New Roman" w:hAnsi="Times New Roman"/>
          <w:sz w:val="22"/>
          <w:szCs w:val="22"/>
          <w:color w:val="auto"/>
        </w:rPr>
        <w:t>“Our December-quarter outlook reflects only the early stages of synergy realization. We expect to realize approximately $150 million of synergies in operating expenses within fiscal 2027, weighted to the second half of the year, and to exit fiscal 2027 at an annualized run-rate of approximately $250 million to $300 million. We remain fully committed to $500 million or more of annual cost synergies within 24 to 36 months of close.”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Skyworks’ Fourth Quarter and Fiscal Year 2026 Conference Call</w:t>
      </w:r>
    </w:p>
    <w:p>
      <w:pPr>
        <w:spacing w:after="0" w:line="200" w:lineRule="exact"/>
        <w:rPr>
          <w:sz w:val="20"/>
          <w:szCs w:val="20"/>
          <w:color w:val="auto"/>
        </w:rPr>
      </w:pPr>
    </w:p>
    <w:p>
      <w:pPr>
        <w:spacing w:after="0" w:line="267" w:lineRule="exact"/>
        <w:rPr>
          <w:sz w:val="20"/>
          <w:szCs w:val="20"/>
          <w:color w:val="auto"/>
        </w:rPr>
      </w:pPr>
    </w:p>
    <w:p>
      <w:pPr>
        <w:ind w:right="60" w:firstLine="648"/>
        <w:spacing w:after="0" w:line="501" w:lineRule="auto"/>
        <w:rPr>
          <w:sz w:val="20"/>
          <w:szCs w:val="20"/>
          <w:color w:val="auto"/>
        </w:rPr>
      </w:pPr>
      <w:r>
        <w:rPr>
          <w:rFonts w:ascii="Times New Roman" w:cs="Times New Roman" w:eastAsia="Times New Roman" w:hAnsi="Times New Roman"/>
          <w:sz w:val="22"/>
          <w:szCs w:val="22"/>
          <w:color w:val="auto"/>
        </w:rPr>
        <w:t>Skyworks will host a conference call with analysts to discuss its fourth quarter and fiscal year 2026 results, the completed combination with Qorvo and its business outlook on Nov. 3, 2026, at 4:30 p.m. EST.</w:t>
      </w:r>
    </w:p>
    <w:p>
      <w:pPr>
        <w:spacing w:after="0" w:line="159" w:lineRule="exact"/>
        <w:rPr>
          <w:sz w:val="20"/>
          <w:szCs w:val="20"/>
          <w:color w:val="auto"/>
        </w:rPr>
      </w:pPr>
    </w:p>
    <w:p>
      <w:pPr>
        <w:ind w:right="180" w:firstLine="648"/>
        <w:spacing w:after="0" w:line="484" w:lineRule="auto"/>
        <w:rPr>
          <w:sz w:val="20"/>
          <w:szCs w:val="20"/>
          <w:color w:val="auto"/>
        </w:rPr>
      </w:pPr>
      <w:r>
        <w:rPr>
          <w:rFonts w:ascii="Times New Roman" w:cs="Times New Roman" w:eastAsia="Times New Roman" w:hAnsi="Times New Roman"/>
          <w:sz w:val="22"/>
          <w:szCs w:val="22"/>
          <w:color w:val="auto"/>
        </w:rPr>
        <w:t>To listen to the conference call, please visit the investor relations section of Skyworks’ website at https://investors.skyworksinc.com/events-presentations. Playback of the conference call will be available on Skyworks’ website at www.skyworksinc.com/investors beginning at 9 p.m. EST on Nov. 3, 2026. Additionally, a transcript of the Company’s prepared remarks will be made available on our website promptly after their conclusion during the call</w:t>
      </w:r>
      <w:r>
        <w:rPr>
          <w:rFonts w:ascii="Times New Roman" w:cs="Times New Roman" w:eastAsia="Times New Roman" w:hAnsi="Times New Roman"/>
          <w:sz w:val="22"/>
          <w:szCs w:val="22"/>
          <w:color w:val="3C4043"/>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Skyworks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Skyworks® is a global leader in high-performance RF, precision timing, power management and mixed-signal solutions that power the intelligent, connected world. Through deep engineering expertise, Skyworks helps customers address rising complexity and deliver seamless connectivity across smartphones, vehicles, networks and critical infrastructure.</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defense and aerospace systems to the connected edge, AI infrastructure and next-generation automotive platforms, Skyworks provides the essential technologies that connect, synchronize and power physical AI, as intelligence moves out of the data center and into the real world. Harnessing decades of technical leadership and trusted partnerships across the technology ecosystem, Skyworks helps the world’s leading innovators bring next-generation products and services to market.</w:t>
      </w:r>
    </w:p>
    <w:p>
      <w:pPr>
        <w:sectPr>
          <w:pgSz w:w="11900" w:h="16838" w:orient="portrait"/>
          <w:cols w:equalWidth="0" w:num="1">
            <w:col w:w="11240"/>
          </w:cols>
          <w:pgMar w:left="320" w:top="13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Skyworks is a member of the S&amp;P 500® market index (Nasdaq: SWKS). For more information, please visit www.skyworks.com.</w:t>
      </w:r>
    </w:p>
    <w:p>
      <w:pPr>
        <w:sectPr>
          <w:pgSz w:w="11900" w:h="16838" w:orient="portrait"/>
          <w:cols w:equalWidth="0" w:num="1">
            <w:col w:w="9479"/>
          </w:cols>
          <w:pgMar w:left="980" w:top="102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earnings release includes “forward-looking statements” within the meaning of the federal securities laws, including Section 27A of the U.S. Securities Act of 1933, as amended, and Section 21E of the Securities Exchange Act of 1934, as amended, and is intended to qualify for the safe harbor from liability established by the Private Securities Litigation Reform Act of 1995. These forward-looking statements are based on Skyworks’ current expectations, estimates and projections concerning future events, prospects and results, including the expected benefits and impacts of the transactions with Qorvo. In this context, forward-looking statements often address expected future business and financial performance and financial condition, including certain projections and business trends, including with respect to future sales and revenue, as well as plans for dividend payments and stock repurchases. Forward-looking statements can often be identified by words such as “expect,” “anticipate,” “forecast,” “intend,” “plan,” “believe,” “could,” “seek,” “see,” “will,” “may,” “would,” “might,” “potentially,” “estimate,” “continue,” “expect,” “target,” and similar expressions and variations or negatives of these words, or other comparable terminology that conveys uncertainty regarding future events or outcomes. All such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transactions or to make or take any filing or other action required to consummate the transactions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adversely from those projected and may affect our future operating results, financial position and cash flows, and, therefore, you should not place undue reliance on any such statements and should exercise caution in relying on forward-looking statements.</w:t>
      </w:r>
    </w:p>
    <w:p>
      <w:pPr>
        <w:spacing w:after="0" w:line="22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that may cause a difference include, but are not limited to: the risks of doing business internationally, including from trade war or trade protection measures (e.g., tariffs, retaliatory tariffs and other countermeasures or taxes), increased import/export restrictions and controls (e.g., our ability to obtain foreign-sourced raw materials, including from Chinese-based sources, as well as our ability to sell products to certain specified foreign entities only pursuant to a limited export license from the U.S. Department of Commerce), the susceptibility of the semiconductor industry and the markets addressed by our, and our customers’, products to economic cycles or changes in economic conditions, including inflation and recession that could result from trade war or trade protection measures; our reliance on a small number of key customers for a large percentage of our sales; decreased gross margins and loss of market share as a result of increased competition; our ability to obtain design wins from customers; our ability to convert design wins into revenue market acceptance of our products and our customers’ products, including market acceptance of new, emerging technologies such as AI; the mix and volume of phone models sold by our largest customer; the availability and pricing of third-party semiconductor foundry, assembly and test capacity, raw materials, including rare earth and similar minerals, supplier components, equipment and shipping and logistics services, including limits on our customers’ ability to obtain such services and materials; the impacts of the transactions with Qorvo on the businesses of Skyworks and Qorvo, including unforeseen liabilities, future capital expenditures, revenues, expenses, earnings, synergies, economic performance, indebtedness, financial condition, losses, future prospects, business and management strategies, and the expansion and growth of their businesses; the failure to realize the anticipated benefits of the transactions with Qorvo, such as expected synergies and the timing of achieving those synergies, including as a result of delay in integrating the businesses of Skyworks and Qorvo; our ability to implement our business strategies; pricing trends; our ability to retain and hire key personnel; potential adverse reactions or changes to business relationships with employees, customers, other business partners or governmental entities resulting from the completion of the transactions with Qorvo; uncertainty as to the long-term value of Skyworks’ common stock; legislative, regulatory and economic developments affecting our businesses; general economic and market developments and conditions; the evolving legal, regulatory and tax regimes under which we operate; potential business uncertainty that could affect our financial performance; the unpredictability and severity of catastrophic events, including acts of terrorism, outbreaks of war or hostilities, as well as our response to any of the aforementioned factors; reduced flexibility in operating our business as a result of the indebtedness incurred in connection with the transaction with Silicon Laboratories Inc. and the substantial amount of additional indebtedness we incurred in connection with the Qorvo transactions; delays in the deployment of commercial 5G networks or in consumer adoption of 5G-enabled devices; the volatility of our stock price; changes in laws, regulations and/or policies that could adversely affect our operations and financial results, the economy and our customers’ demand for our products, or the financial markets and our ability to raise capital; fluctuations in our manufacturing yields due to our complex and specialized manufacturing processes; our ability to develop, manufacture and market innovative products, avoid product obsolescence, reduce costs in a timely manner, transition our products to smaller geometry process technologies and achieve higher levels of design integration; the quality of our products and any defect remediation costs; our products’ ability to perform under stringent operating conditions; risks that we may not be able to optimize our manufacturing footprint and achieve any financial and operational benefits from such efforts, including reducing fixed costs or improving utilization rates, disruptions to our</w:t>
      </w:r>
    </w:p>
    <w:p>
      <w:pPr>
        <w:sectPr>
          <w:pgSz w:w="11900" w:h="16838" w:orient="portrait"/>
          <w:cols w:equalWidth="0" w:num="1">
            <w:col w:w="11240"/>
          </w:cols>
          <w:pgMar w:left="320" w:top="1238"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processes, including relating to any relocation of our key facilities; our ability to successfully manage our senior management transitions; our ability to retain, recruit and hire key executives or the departure of any such executives, technical personnel and other employees in the positions and numbers, with the experience and capabilities, and at the compensation levels needed to implement our business and product plans; the timing, rescheduling or cancellation of significant customer orders and our ability, as well as the ability of our customers, to manage inventory; other economic, social, military and geopolitical conditions in the countries in which we, our customers or our suppliers operate, including the conflicts in Ukraine, Iran and other regions in the Middle East, possible disruptions in transportation networks, and fluctuations in foreign currency exchange rates; the effects of global health crises on business conditions in our industry, including the risk of significant disruptions to our business operations, as well as negative impacts to our financial condition; our ability to prevent theft of our intellectual property, disclosure of confidential information or breaches of our information technology systems; uncertainties of litigation, including potential disputes over intellectual property infringement and rights, as well as payments related to the licensing and/or sale of such rights; our ability to continue to grow and maintain an intellectual property portfolio and obtain needed licenses from third parties; our ability to make certain investments and acquisitions, integrate companies we acquire and/or enter into strategic alliances; and other risks and uncertainties, including those detailed from time to time in our filings including the Joint Proxy Statement/Prospectus our Form 10-K, with the Securities and Exchange Commission. While the factors identified here and in our Form 10-K are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consolidated financial condition, results of operations or liquidity.</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earnings release are made only as of the date hereof, and we undertake no obligation to update or revise any forward-looking statements, whether as a result of new information, future events or otherwise, should circumstances change, except as otherwise required by securities or other applicable laws.</w:t>
      </w:r>
    </w:p>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Note to Editors: Skyworks, Qorvo, the Skyworks symbol, and the Qorvo symbol are trademarks or registered trademarks of Skyworks Solutions, Inc. or its subsidiaries in the United States and other countries. Third-party brands and names are for identification purposes only and are the property of their respective owners.</w:t>
      </w:r>
    </w:p>
    <w:p>
      <w:pPr>
        <w:sectPr>
          <w:pgSz w:w="11900" w:h="16838" w:orient="portrait"/>
          <w:cols w:equalWidth="0" w:num="1">
            <w:col w:w="11240"/>
          </w:cols>
          <w:pgMar w:left="320" w:top="102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24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0" w:type="dxa"/>
            <w:vAlign w:val="bottom"/>
          </w:tcPr>
          <w:p>
            <w:pPr>
              <w:spacing w:after="0"/>
              <w:rPr>
                <w:sz w:val="1"/>
                <w:szCs w:val="1"/>
                <w:color w:val="auto"/>
              </w:rPr>
            </w:pPr>
          </w:p>
        </w:tc>
      </w:tr>
      <w:tr>
        <w:trPr>
          <w:trHeight w:val="23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4,086.9</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r>
        <w:trPr>
          <w:trHeight w:val="24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6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FINANCIAL MEASURES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 millions)</w:t>
            </w: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20" w:type="dxa"/>
            <w:vAlign w:val="bottom"/>
          </w:tcPr>
          <w:p>
            <w:pPr>
              <w:spacing w:after="0"/>
              <w:rPr>
                <w:sz w:val="18"/>
                <w:szCs w:val="18"/>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October 3, 2025</w:t>
            </w:r>
          </w:p>
        </w:tc>
      </w:tr>
      <w:tr>
        <w:trPr>
          <w:trHeight w:val="214"/>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GAAP gross profit</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447.6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1,614.9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1,682.1</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Share-based compensation expense [a]</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29.5</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Amortization of acquisition-related intangibles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152.5</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Restructuring and other charges</w:t>
            </w:r>
          </w:p>
        </w:tc>
        <w:tc>
          <w:tcPr>
            <w:tcW w:w="2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010000"/>
              </w:rPr>
              <w:t>—</w:t>
            </w: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010000"/>
              </w:rPr>
              <w:t>—</w:t>
            </w: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43.2</w:t>
            </w:r>
          </w:p>
        </w:tc>
      </w:tr>
      <w:tr>
        <w:trPr>
          <w:trHeight w:val="239"/>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gross profit</w:t>
            </w: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464.6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511.3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1,791.8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1,907.3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010000"/>
              </w:rPr>
              <w:t>GAAP gross margin %</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40.9 %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40.7 %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41.2 %</w:t>
            </w: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gross margin %</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44.4 %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46.5 %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45.3 %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46.7 %</w:t>
            </w: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 millions)</w:t>
            </w: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20" w:type="dxa"/>
            <w:vAlign w:val="bottom"/>
          </w:tcPr>
          <w:p>
            <w:pPr>
              <w:spacing w:after="0"/>
              <w:rPr>
                <w:sz w:val="18"/>
                <w:szCs w:val="18"/>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October 3, 2025</w:t>
            </w: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GAAP operating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216.7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500.0</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Share-based compensation expense [a]</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232.4</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Acquisition-related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Amortization of acquisition-related intangibles</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153.3</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Settlements, gains, losses, and impairments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19.5</w:t>
            </w:r>
          </w:p>
        </w:tc>
      </w:tr>
      <w:tr>
        <w:trPr>
          <w:trHeight w:val="212"/>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010000"/>
              </w:rPr>
              <w:t>Restructuring and other charges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19.1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28.4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84.7</w:t>
            </w: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operating income</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227.2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264.0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849.8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995.3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010000"/>
              </w:rPr>
              <w:t>GAAP operating margin %</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2.1 %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10.1 %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5.5 %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12.2 %</w:t>
            </w: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operating margin %</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21.7 %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24.0 %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24.4 %</w:t>
            </w: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 millions)</w:t>
            </w: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20" w:type="dxa"/>
            <w:vAlign w:val="bottom"/>
          </w:tcPr>
          <w:p>
            <w:pPr>
              <w:spacing w:after="0"/>
              <w:rPr>
                <w:sz w:val="18"/>
                <w:szCs w:val="18"/>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October 3, 2025</w:t>
            </w:r>
          </w:p>
        </w:tc>
      </w:tr>
      <w:tr>
        <w:trPr>
          <w:trHeight w:val="214"/>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GAAP net income</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477.1</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Share-based compensation expense [a]</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232.4</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Acquisition-related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Amortization of acquisition-related intangibles</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153.3</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Settlements, gains, losses, and impairments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19.5</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Restructuring and other charges</w:t>
            </w:r>
          </w:p>
        </w:tc>
        <w:tc>
          <w:tcPr>
            <w:tcW w:w="2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010000"/>
              </w:rPr>
              <w:t>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84.7</w:t>
            </w:r>
          </w:p>
        </w:tc>
      </w:tr>
      <w:tr>
        <w:trPr>
          <w:trHeight w:val="216"/>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Tax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010000"/>
              </w:rPr>
              <w:t>(35.0)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010000"/>
              </w:rPr>
              <w:t>(30.7)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(53.3)</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010000"/>
              </w:rPr>
              <w:t>Non-GAAP net income</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193.3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263.7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762.1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010000"/>
              </w:rPr>
              <w:t>919.1</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GAAP net income per share, diluted</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top w:val="single" w:sz="8" w:color="auto"/>
            </w:tcBorders>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top w:val="single" w:sz="8" w:color="auto"/>
            </w:tcBorders>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0.94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center"/>
              <w:ind w:left="784"/>
              <w:spacing w:after="0"/>
              <w:rPr>
                <w:sz w:val="20"/>
                <w:szCs w:val="20"/>
                <w:color w:val="auto"/>
              </w:rPr>
            </w:pPr>
            <w:r>
              <w:rPr>
                <w:rFonts w:ascii="Times New Roman" w:cs="Times New Roman" w:eastAsia="Times New Roman" w:hAnsi="Times New Roman"/>
                <w:sz w:val="15"/>
                <w:szCs w:val="15"/>
                <w:color w:val="010000"/>
                <w:w w:val="98"/>
              </w:rPr>
              <w:t>1.14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3.08</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Share-based compensation expense [a]</w:t>
            </w:r>
          </w:p>
        </w:tc>
        <w:tc>
          <w:tcPr>
            <w:tcW w:w="220" w:type="dxa"/>
            <w:vAlign w:val="bottom"/>
          </w:tcPr>
          <w:p>
            <w:pPr>
              <w:spacing w:after="0"/>
              <w:rPr>
                <w:sz w:val="18"/>
                <w:szCs w:val="18"/>
                <w:color w:val="auto"/>
              </w:rPr>
            </w:pPr>
          </w:p>
        </w:tc>
        <w:tc>
          <w:tcPr>
            <w:tcW w:w="146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010000"/>
              </w:rPr>
              <w:t>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010000"/>
                <w:w w:val="98"/>
              </w:rPr>
              <w:t>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1.50</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Acquisition-related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84"/>
              <w:spacing w:after="0"/>
              <w:rPr>
                <w:sz w:val="20"/>
                <w:szCs w:val="20"/>
                <w:color w:val="auto"/>
              </w:rPr>
            </w:pPr>
            <w:r>
              <w:rPr>
                <w:rFonts w:ascii="Times New Roman" w:cs="Times New Roman" w:eastAsia="Times New Roman" w:hAnsi="Times New Roman"/>
                <w:sz w:val="15"/>
                <w:szCs w:val="15"/>
                <w:color w:val="010000"/>
                <w:w w:val="98"/>
              </w:rPr>
              <w:t>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0.03</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Amortization of acquisition-related intangibles</w:t>
            </w:r>
          </w:p>
        </w:tc>
        <w:tc>
          <w:tcPr>
            <w:tcW w:w="220" w:type="dxa"/>
            <w:vAlign w:val="bottom"/>
          </w:tcPr>
          <w:p>
            <w:pPr>
              <w:spacing w:after="0"/>
              <w:rPr>
                <w:sz w:val="18"/>
                <w:szCs w:val="18"/>
                <w:color w:val="auto"/>
              </w:rPr>
            </w:pPr>
          </w:p>
        </w:tc>
        <w:tc>
          <w:tcPr>
            <w:tcW w:w="146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010000"/>
              </w:rPr>
              <w:t>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010000"/>
                <w:w w:val="98"/>
              </w:rPr>
              <w:t>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0.99</w:t>
            </w:r>
          </w:p>
        </w:tc>
      </w:tr>
      <w:tr>
        <w:trPr>
          <w:trHeight w:val="22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Settlements, gains, losses, and impairments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84"/>
              <w:spacing w:after="0"/>
              <w:rPr>
                <w:sz w:val="20"/>
                <w:szCs w:val="20"/>
                <w:color w:val="auto"/>
              </w:rPr>
            </w:pPr>
            <w:r>
              <w:rPr>
                <w:rFonts w:ascii="Times New Roman" w:cs="Times New Roman" w:eastAsia="Times New Roman" w:hAnsi="Times New Roman"/>
                <w:sz w:val="15"/>
                <w:szCs w:val="15"/>
                <w:color w:val="010000"/>
                <w:w w:val="98"/>
              </w:rPr>
              <w:t>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64"/>
              <w:spacing w:after="0"/>
              <w:rPr>
                <w:sz w:val="20"/>
                <w:szCs w:val="20"/>
                <w:color w:val="auto"/>
              </w:rPr>
            </w:pPr>
            <w:r>
              <w:rPr>
                <w:rFonts w:ascii="Times New Roman" w:cs="Times New Roman" w:eastAsia="Times New Roman" w:hAnsi="Times New Roman"/>
                <w:sz w:val="15"/>
                <w:szCs w:val="15"/>
                <w:color w:val="010000"/>
              </w:rPr>
              <w:t>0.12</w:t>
            </w:r>
          </w:p>
        </w:tc>
      </w:tr>
      <w:tr>
        <w:trPr>
          <w:trHeight w:val="212"/>
        </w:trPr>
        <w:tc>
          <w:tcPr>
            <w:tcW w:w="4200" w:type="dxa"/>
            <w:vAlign w:val="bottom"/>
          </w:tcPr>
          <w:p>
            <w:pPr>
              <w:ind w:left="460"/>
              <w:spacing w:after="0"/>
              <w:rPr>
                <w:sz w:val="20"/>
                <w:szCs w:val="20"/>
                <w:color w:val="auto"/>
              </w:rPr>
            </w:pPr>
            <w:r>
              <w:rPr>
                <w:rFonts w:ascii="Times New Roman" w:cs="Times New Roman" w:eastAsia="Times New Roman" w:hAnsi="Times New Roman"/>
                <w:sz w:val="15"/>
                <w:szCs w:val="15"/>
                <w:color w:val="010000"/>
              </w:rPr>
              <w:t>Restructuring and other charges</w:t>
            </w:r>
          </w:p>
        </w:tc>
        <w:tc>
          <w:tcPr>
            <w:tcW w:w="220" w:type="dxa"/>
            <w:vAlign w:val="bottom"/>
          </w:tcPr>
          <w:p>
            <w:pPr>
              <w:spacing w:after="0"/>
              <w:rPr>
                <w:sz w:val="18"/>
                <w:szCs w:val="18"/>
                <w:color w:val="auto"/>
              </w:rPr>
            </w:pPr>
          </w:p>
        </w:tc>
        <w:tc>
          <w:tcPr>
            <w:tcW w:w="146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010000"/>
              </w:rPr>
              <w:t>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010000"/>
                <w:w w:val="98"/>
              </w:rPr>
              <w:t>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764"/>
              <w:spacing w:after="0"/>
              <w:rPr>
                <w:sz w:val="20"/>
                <w:szCs w:val="20"/>
                <w:color w:val="auto"/>
              </w:rPr>
            </w:pPr>
            <w:r>
              <w:rPr>
                <w:rFonts w:ascii="Times New Roman" w:cs="Times New Roman" w:eastAsia="Times New Roman" w:hAnsi="Times New Roman"/>
                <w:sz w:val="15"/>
                <w:szCs w:val="15"/>
                <w:color w:val="010000"/>
              </w:rPr>
              <w:t>0.55</w:t>
            </w:r>
          </w:p>
        </w:tc>
      </w:tr>
      <w:tr>
        <w:trPr>
          <w:trHeight w:val="216"/>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010000"/>
              </w:rPr>
              <w:t>Tax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ind w:left="724"/>
              <w:spacing w:after="0"/>
              <w:rPr>
                <w:sz w:val="20"/>
                <w:szCs w:val="20"/>
                <w:color w:val="auto"/>
              </w:rPr>
            </w:pPr>
            <w:r>
              <w:rPr>
                <w:rFonts w:ascii="Times New Roman" w:cs="Times New Roman" w:eastAsia="Times New Roman" w:hAnsi="Times New Roman"/>
                <w:sz w:val="15"/>
                <w:szCs w:val="15"/>
                <w:color w:val="010000"/>
              </w:rPr>
              <w:t>(0.24)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ind w:left="744"/>
              <w:spacing w:after="0"/>
              <w:rPr>
                <w:sz w:val="20"/>
                <w:szCs w:val="20"/>
                <w:color w:val="auto"/>
              </w:rPr>
            </w:pPr>
            <w:r>
              <w:rPr>
                <w:rFonts w:ascii="Times New Roman" w:cs="Times New Roman" w:eastAsia="Times New Roman" w:hAnsi="Times New Roman"/>
                <w:sz w:val="15"/>
                <w:szCs w:val="15"/>
                <w:color w:val="010000"/>
              </w:rPr>
              <w:t>(0.34)</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010000"/>
              </w:rPr>
              <w:t>Non-GAAP net income per share, diluted</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bottom w:val="single" w:sz="8" w:color="auto"/>
            </w:tcBorders>
          </w:tcPr>
          <w:p>
            <w:pPr>
              <w:jc w:val="center"/>
              <w:ind w:left="744"/>
              <w:spacing w:after="0"/>
              <w:rPr>
                <w:sz w:val="20"/>
                <w:szCs w:val="20"/>
                <w:color w:val="auto"/>
              </w:rPr>
            </w:pPr>
            <w:r>
              <w:rPr>
                <w:rFonts w:ascii="Times New Roman" w:cs="Times New Roman" w:eastAsia="Times New Roman" w:hAnsi="Times New Roman"/>
                <w:sz w:val="15"/>
                <w:szCs w:val="15"/>
                <w:color w:val="010000"/>
              </w:rPr>
              <w:t>1.28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bottom w:val="single" w:sz="8" w:color="auto"/>
            </w:tcBorders>
          </w:tcPr>
          <w:p>
            <w:pPr>
              <w:jc w:val="center"/>
              <w:ind w:left="764"/>
              <w:spacing w:after="0"/>
              <w:rPr>
                <w:sz w:val="20"/>
                <w:szCs w:val="20"/>
                <w:color w:val="auto"/>
              </w:rPr>
            </w:pPr>
            <w:r>
              <w:rPr>
                <w:rFonts w:ascii="Times New Roman" w:cs="Times New Roman" w:eastAsia="Times New Roman" w:hAnsi="Times New Roman"/>
                <w:sz w:val="15"/>
                <w:szCs w:val="15"/>
                <w:color w:val="010000"/>
              </w:rPr>
              <w:t>1.76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tcPr>
          <w:p>
            <w:pPr>
              <w:jc w:val="center"/>
              <w:ind w:left="784"/>
              <w:spacing w:after="0"/>
              <w:rPr>
                <w:sz w:val="20"/>
                <w:szCs w:val="20"/>
                <w:color w:val="auto"/>
              </w:rPr>
            </w:pPr>
            <w:r>
              <w:rPr>
                <w:rFonts w:ascii="Times New Roman" w:cs="Times New Roman" w:eastAsia="Times New Roman" w:hAnsi="Times New Roman"/>
                <w:sz w:val="15"/>
                <w:szCs w:val="15"/>
                <w:color w:val="010000"/>
                <w:w w:val="98"/>
              </w:rPr>
              <w:t>5.05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tcPr>
          <w:p>
            <w:pPr>
              <w:jc w:val="center"/>
              <w:ind w:left="764"/>
              <w:spacing w:after="0"/>
              <w:rPr>
                <w:sz w:val="20"/>
                <w:szCs w:val="20"/>
                <w:color w:val="auto"/>
              </w:rPr>
            </w:pPr>
            <w:r>
              <w:rPr>
                <w:rFonts w:ascii="Times New Roman" w:cs="Times New Roman" w:eastAsia="Times New Roman" w:hAnsi="Times New Roman"/>
                <w:sz w:val="15"/>
                <w:szCs w:val="15"/>
                <w:color w:val="010000"/>
              </w:rPr>
              <w:t>5.93</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 millions)</w:t>
            </w:r>
          </w:p>
        </w:tc>
        <w:tc>
          <w:tcPr>
            <w:tcW w:w="2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3, 2025</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October 2, 2026</w:t>
            </w:r>
          </w:p>
        </w:tc>
        <w:tc>
          <w:tcPr>
            <w:tcW w:w="220" w:type="dxa"/>
            <w:vAlign w:val="bottom"/>
          </w:tcPr>
          <w:p>
            <w:pPr>
              <w:spacing w:after="0"/>
              <w:rPr>
                <w:sz w:val="18"/>
                <w:szCs w:val="18"/>
                <w:color w:val="auto"/>
              </w:rPr>
            </w:pPr>
          </w:p>
        </w:tc>
        <w:tc>
          <w:tcPr>
            <w:tcW w:w="148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October 3, 2025</w:t>
            </w:r>
          </w:p>
        </w:tc>
      </w:tr>
      <w:tr>
        <w:trPr>
          <w:trHeight w:val="214"/>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GAAP net cash provided by operating activities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33.7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549.9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1,300.8</w:t>
            </w:r>
          </w:p>
        </w:tc>
      </w:tr>
      <w:tr>
        <w:trPr>
          <w:trHeight w:val="212"/>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010000"/>
              </w:rPr>
              <w:t>Capital expenditures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010000"/>
              </w:rPr>
              <w:t>(94.7)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010000"/>
              </w:rPr>
              <w:t>(56.0)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010000"/>
              </w:rPr>
              <w:t>(320.6)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010000"/>
              </w:rPr>
              <w:t>(195.0)</w:t>
            </w:r>
          </w:p>
        </w:tc>
      </w:tr>
      <w:tr>
        <w:trPr>
          <w:trHeight w:val="23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free cash flow</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010000"/>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w w:val="79"/>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144.0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229.3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010000"/>
              </w:rPr>
              <w:t>$</w:t>
            </w:r>
          </w:p>
        </w:tc>
        <w:tc>
          <w:tcPr>
            <w:tcW w:w="14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010000"/>
              </w:rPr>
              <w:t>1,105.8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5"/>
                <w:szCs w:val="15"/>
                <w:color w:val="010000"/>
              </w:rPr>
              <w:t>GAAP net cash provided by operating activities margin %</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3.2 %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18.2 %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13.9 %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010000"/>
              </w:rPr>
              <w:t>31.8 %</w:t>
            </w:r>
          </w:p>
        </w:tc>
      </w:tr>
      <w:tr>
        <w:trPr>
          <w:trHeight w:val="22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010000"/>
              </w:rPr>
              <w:t>Non-GAAP free cash flow margin %</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13.1 %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5.8 %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010000"/>
              </w:rPr>
              <w:t>27.1 %</w:t>
            </w:r>
          </w:p>
        </w:tc>
      </w:tr>
    </w:tbl>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DISCUSSION REGARDING THE USE OF NON-GAAP FINANCIAL MEASURES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earnings release contains some or all of the following financial measures that have not been calculated in accordance with United States Generally Accepted Accounting Principles (“GAAP”): (i) non-GAAP gross profit and gross margin, (ii) non-GAAP operating income and operating margin, (iii) non-GAAP net income, (iv) non-GAAP diluted earnings per share, and (v) non-GAAP free cash flow and free cash flow margin.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investors with non-GAAP gross profit and gross margin, non-GAAP operating income and operating margin, non-GAAP net income, non-GAAP diluted earnings per share, and non-GAAP free cash flow and free cash flow margin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believe that providing non-GAAP operating income and operating margin allows investors to assess the extent to which our ongoing operations impact our overall financial performance. We also believe that providing non-GAAP net income and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and free cash flow margin provide insight into our liquidity, our cash-generating capability, and the amount of cash potentially available to return to shareholders. We believe that disclosing these non-GAAP financial measures contributes to enhanced financial reporting transparency and provides investors with added clarity about complex financial performance measures.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non-GAAP gross profit by excluding from GAAP gross profit, share-based compensation expense, amortization of acquisition-related intangibles, and restructuring and other charges. 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net income and diluted earnings per share by excluding from GAAP net income and diluted earnings per share, share-based compensation expense, acquisition-related expenses, amortization of acquisition-related intangibles, settlements, gains, losses, and impairments, restructuring-related charges, and certain tax items. We calculate non-GAAP free cash flow by deducting capital expenditures from GAAP net cash provided by operating activities. We exclude certain items identified above from the respective non-GAAP financial measure referenced above for the reasons set forth with respect to each such excluded item below:</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Expense </w:t>
      </w:r>
      <w:r>
        <w:rPr>
          <w:rFonts w:ascii="Times New Roman" w:cs="Times New Roman" w:eastAsia="Times New Roman" w:hAnsi="Times New Roman"/>
          <w:sz w:val="18"/>
          <w:szCs w:val="18"/>
          <w:color w:val="auto"/>
        </w:rPr>
        <w:t>- because (1) the total amount of expense is partially outside of our control because it is based on factors such as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Acquisition-Related Expenses and Amortization of Acquisition-Related Intangibles </w:t>
      </w:r>
      <w:r>
        <w:rPr>
          <w:rFonts w:ascii="Times New Roman" w:cs="Times New Roman" w:eastAsia="Times New Roman" w:hAnsi="Times New Roman"/>
          <w:sz w:val="18"/>
          <w:szCs w:val="18"/>
          <w:color w:val="auto"/>
        </w:rPr>
        <w:t>- including such items as, when applicable, fair value adjustments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ectPr>
          <w:pgSz w:w="11900" w:h="16838" w:orient="portrait"/>
          <w:cols w:equalWidth="0" w:num="1">
            <w:col w:w="11240"/>
          </w:cols>
          <w:pgMar w:left="320" w:top="92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Settlements, Gains, Losses, and Impairments - </w:t>
      </w:r>
      <w:r>
        <w:rPr>
          <w:rFonts w:ascii="Times New Roman" w:cs="Times New Roman" w:eastAsia="Times New Roman" w:hAnsi="Times New Roman"/>
          <w:sz w:val="18"/>
          <w:szCs w:val="18"/>
          <w:color w:val="auto"/>
        </w:rPr>
        <w:t>because such settlements, gains, losses, and impairments (1) are not considered by management in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decisions, (2) 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w:t>
      </w:r>
      <w:r>
        <w:rPr>
          <w:rFonts w:ascii="Times New Roman" w:cs="Times New Roman" w:eastAsia="Times New Roman" w:hAnsi="Times New Roman"/>
          <w:sz w:val="18"/>
          <w:szCs w:val="18"/>
          <w:color w:val="auto"/>
        </w:rPr>
        <w:t>- because these charges have no direct correlation to our future business operations and including such charges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reversals does not necessarily reflect the performance of our ongoing operations for the period in which such charges or reversals are incurred.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Income Tax Items </w:t>
      </w:r>
      <w:r>
        <w:rPr>
          <w:rFonts w:ascii="Times New Roman" w:cs="Times New Roman" w:eastAsia="Times New Roman" w:hAnsi="Times New Roman"/>
          <w:sz w:val="18"/>
          <w:szCs w:val="18"/>
          <w:color w:val="auto"/>
        </w:rPr>
        <w:t>- including certain deferred tax charges and benefits that do not result in a current tax payment or tax refund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adjustments, including but not limited to, items unrelated to the current fiscal year or that are not indicative of our ongoing business operations. </w:t>
      </w:r>
      <w:r>
        <w:rPr>
          <w:rFonts w:ascii="Times New Roman" w:cs="Times New Roman" w:eastAsia="Times New Roman" w:hAnsi="Times New Roman"/>
          <w:sz w:val="17"/>
          <w:szCs w:val="17"/>
          <w:color w:val="auto"/>
        </w:rPr>
        <w:t>Skyworks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uses a normalized tax rate in its computation of the non-GAAP income tax provision to provide better consistency across reporting periods and to align with its recent historical average of current taxes. For fiscal 2026, Skyworks will apply a non-GAAP tax rate of 10%, which reflects current taxes relative to non-GAAP pre-tax income after applying certain non-GAAP tax adjustments.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may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earnings release contains forward-looking estimates of non-GAAP diluted earnings per share for the first quarter of our 2027 fiscal year (“Q1 2027”). We provide this non-GAAP measure to investors on a prospective basis for the same reasons (set forth above) that we provide it to investors on a historical basis. We are unable to provide a reconciliation of our forward-looking estimate of Q1 2027 GAAP diluted earnings per share to a forward-looking estimate of Q1 2027 non-GAAP diluted earnings per share because certain information needed to make a reasonable forward-looking estimate of GAAP diluted earnings per share for Q1 2027 (other than estimated share-based compensation expense of $0.40 to $0.60 per diluted share, estimated amortization of intangibles of $0.45 to $0.65 per diluted share and certain tax items of -$0.15 to $0.20 per diluted share) is difficult to predict and estimate and is often dependent on future events that may be uncertain or outside of our control. Such events may include unanticipated changes in our GAAP effective tax rate, unanticipated one-time charges related to asset impairments (fixed assets, inventory, intangibles, or goodwill), unanticipated acquisition-related expenses, unanticipated settlements, gains, losses, and impairments, and other unanticipated non-recurring items not reflective of ongoing operations. The probable significance of these unknown items, in the aggregate, is estimated to be in the range of $0.20 to $0.40 in quarterly earnings per diluted share on a GAAP basis. Our forward-looking estimates of both GAAP and non-GAAP measures of our financial performance may differ materially from our actual results and should not be relied upon as statements of fact.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The following table summarizes the expense recognized in accordance with ASC 718 - </w:t>
      </w:r>
      <w:r>
        <w:rPr>
          <w:rFonts w:ascii="Times New Roman" w:cs="Times New Roman" w:eastAsia="Times New Roman" w:hAnsi="Times New Roman"/>
          <w:sz w:val="18"/>
          <w:szCs w:val="18"/>
          <w:i w:val="1"/>
          <w:iCs w:val="1"/>
          <w:color w:val="auto"/>
        </w:rPr>
        <w:t>Compensation, Stock Compensation</w:t>
      </w:r>
      <w:r>
        <w:rPr>
          <w:rFonts w:ascii="Times New Roman" w:cs="Times New Roman" w:eastAsia="Times New Roman" w:hAnsi="Times New Roman"/>
          <w:sz w:val="18"/>
          <w:szCs w:val="18"/>
          <w:color w:val="auto"/>
        </w:rPr>
        <w:t xml:space="preserv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23"/>
        </w:trPr>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24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20" w:type="dxa"/>
            <w:vAlign w:val="bottom"/>
          </w:tcPr>
          <w:p>
            <w:pPr>
              <w:spacing w:after="0"/>
              <w:rPr>
                <w:sz w:val="19"/>
                <w:szCs w:val="19"/>
                <w:color w:val="auto"/>
              </w:rPr>
            </w:pPr>
          </w:p>
        </w:tc>
        <w:tc>
          <w:tcPr>
            <w:tcW w:w="15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4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4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22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61"/>
        </w:trPr>
        <w:tc>
          <w:tcPr>
            <w:tcW w:w="3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40" w:type="dxa"/>
            <w:vAlign w:val="bottom"/>
          </w:tcPr>
          <w:p>
            <w:pPr>
              <w:spacing w:after="0"/>
              <w:rPr>
                <w:sz w:val="19"/>
                <w:szCs w:val="19"/>
                <w:color w:val="auto"/>
              </w:rPr>
            </w:pPr>
          </w:p>
        </w:tc>
        <w:tc>
          <w:tcPr>
            <w:tcW w:w="15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October 3, 2025</w:t>
            </w:r>
          </w:p>
        </w:tc>
      </w:tr>
      <w:tr>
        <w:trPr>
          <w:trHeight w:val="226"/>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010000"/>
              </w:rPr>
              <w:t>Goodwill and intangible assets, net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36"/>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01000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000"/>
              </w:rPr>
              <w:t>9,436.8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01000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000"/>
              </w:rPr>
              <w:t>7,917.0</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r>
      <w:tr>
        <w:trPr>
          <w:trHeight w:val="24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5,757.1</w:t>
            </w:r>
          </w:p>
        </w:tc>
      </w:tr>
      <w:tr>
        <w:trPr>
          <w:trHeight w:val="261"/>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00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000"/>
              </w:rPr>
              <w:t>9,436.8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000"/>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000"/>
              </w:rPr>
              <w:t>7,917.0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22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 2026</w:t>
            </w:r>
          </w:p>
        </w:tc>
        <w:tc>
          <w:tcPr>
            <w:tcW w:w="200" w:type="dxa"/>
            <w:vAlign w:val="bottom"/>
          </w:tcPr>
          <w:p>
            <w:pPr>
              <w:spacing w:after="0"/>
              <w:rPr>
                <w:sz w:val="19"/>
                <w:szCs w:val="19"/>
                <w:color w:val="auto"/>
              </w:rPr>
            </w:pPr>
          </w:p>
        </w:tc>
        <w:tc>
          <w:tcPr>
            <w:tcW w:w="15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23.4</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141.4</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172.1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477.1</w:t>
            </w:r>
          </w:p>
        </w:tc>
        <w:tc>
          <w:tcPr>
            <w:tcW w:w="0" w:type="dxa"/>
            <w:vAlign w:val="bottom"/>
          </w:tcPr>
          <w:p>
            <w:pPr>
              <w:spacing w:after="0"/>
              <w:rPr>
                <w:sz w:val="1"/>
                <w:szCs w:val="1"/>
                <w:color w:val="auto"/>
              </w:rPr>
            </w:pPr>
          </w:p>
        </w:tc>
      </w:tr>
      <w:tr>
        <w:trPr>
          <w:trHeight w:val="178"/>
        </w:trPr>
        <w:tc>
          <w:tcPr>
            <w:tcW w:w="3880" w:type="dxa"/>
            <w:vAlign w:val="bottom"/>
            <w:shd w:val="clear" w:color="auto" w:fill="CCEEFF"/>
          </w:tcPr>
          <w:p>
            <w:pPr>
              <w:ind w:left="460"/>
              <w:spacing w:after="0" w:line="178" w:lineRule="exact"/>
              <w:rPr>
                <w:sz w:val="20"/>
                <w:szCs w:val="20"/>
                <w:color w:val="auto"/>
              </w:rPr>
            </w:pPr>
            <w:r>
              <w:rPr>
                <w:rFonts w:ascii="Times New Roman" w:cs="Times New Roman" w:eastAsia="Times New Roman" w:hAnsi="Times New Roman"/>
                <w:sz w:val="16"/>
                <w:szCs w:val="16"/>
                <w:color w:val="auto"/>
              </w:rPr>
              <w:t>Adjustments to reconcile net income to net cash</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provided by operating activities: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63.5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218.4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232.4</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73.0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72.4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289.1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278.7</w:t>
            </w: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184.3</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(98.2)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(76.9)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(90.6)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(55.8)</w:t>
            </w:r>
          </w:p>
        </w:tc>
        <w:tc>
          <w:tcPr>
            <w:tcW w:w="0" w:type="dxa"/>
            <w:vAlign w:val="bottom"/>
          </w:tcPr>
          <w:p>
            <w:pPr>
              <w:spacing w:after="0"/>
              <w:rPr>
                <w:sz w:val="1"/>
                <w:szCs w:val="1"/>
                <w:color w:val="auto"/>
              </w:rPr>
            </w:pPr>
          </w:p>
        </w:tc>
      </w:tr>
      <w:tr>
        <w:trPr>
          <w:trHeight w:val="226"/>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Asset impairment charges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Receivables,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(146.5)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(201.9)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(89.3)</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(316.7)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41.8</w:t>
            </w:r>
          </w:p>
        </w:tc>
        <w:tc>
          <w:tcPr>
            <w:tcW w:w="0" w:type="dxa"/>
            <w:vAlign w:val="bottom"/>
          </w:tcPr>
          <w:p>
            <w:pPr>
              <w:spacing w:after="0"/>
              <w:rPr>
                <w:sz w:val="1"/>
                <w:szCs w:val="1"/>
                <w:color w:val="auto"/>
              </w:rPr>
            </w:pPr>
          </w:p>
        </w:tc>
      </w:tr>
      <w:tr>
        <w:trPr>
          <w:trHeight w:val="226"/>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24.8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67.1</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current and long-term assets and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46.9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171.2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(119.2)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173.6</w:t>
            </w:r>
          </w:p>
        </w:tc>
        <w:tc>
          <w:tcPr>
            <w:tcW w:w="0" w:type="dxa"/>
            <w:vAlign w:val="bottom"/>
          </w:tcPr>
          <w:p>
            <w:pPr>
              <w:spacing w:after="0"/>
              <w:rPr>
                <w:sz w:val="1"/>
                <w:szCs w:val="1"/>
                <w:color w:val="auto"/>
              </w:rPr>
            </w:pPr>
          </w:p>
        </w:tc>
      </w:tr>
      <w:tr>
        <w:trPr>
          <w:trHeight w:val="220"/>
        </w:trPr>
        <w:tc>
          <w:tcPr>
            <w:tcW w:w="3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33.7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200.0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549.9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1,300.8</w:t>
            </w: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(320.6)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(195.0)</w:t>
            </w: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Purchased intangibles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(30.5)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260.2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618.3</w:t>
            </w:r>
          </w:p>
        </w:tc>
        <w:tc>
          <w:tcPr>
            <w:tcW w:w="0" w:type="dxa"/>
            <w:vAlign w:val="bottom"/>
          </w:tcPr>
          <w:p>
            <w:pPr>
              <w:spacing w:after="0"/>
              <w:rPr>
                <w:sz w:val="1"/>
                <w:szCs w:val="1"/>
                <w:color w:val="auto"/>
              </w:rPr>
            </w:pPr>
          </w:p>
        </w:tc>
      </w:tr>
      <w:tr>
        <w:trPr>
          <w:trHeight w:val="227"/>
        </w:trPr>
        <w:tc>
          <w:tcPr>
            <w:tcW w:w="3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6.1</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(95.9)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(131.1)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(134.3)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(234.0)</w:t>
            </w: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80" w:type="dxa"/>
            <w:vAlign w:val="bottom"/>
            <w:shd w:val="clear" w:color="auto" w:fill="CCEEFF"/>
          </w:tcPr>
          <w:p>
            <w:pPr>
              <w:ind w:left="460"/>
              <w:spacing w:after="0" w:line="178" w:lineRule="exact"/>
              <w:rPr>
                <w:sz w:val="20"/>
                <w:szCs w:val="20"/>
                <w:color w:val="auto"/>
              </w:rPr>
            </w:pPr>
            <w:r>
              <w:rPr>
                <w:rFonts w:ascii="Times New Roman" w:cs="Times New Roman" w:eastAsia="Times New Roman" w:hAnsi="Times New Roman"/>
                <w:sz w:val="16"/>
                <w:szCs w:val="16"/>
                <w:color w:val="010000"/>
              </w:rPr>
              <w:t>Repurchase of common stock - payroll tax</w:t>
            </w:r>
          </w:p>
        </w:tc>
        <w:tc>
          <w:tcPr>
            <w:tcW w:w="2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010000"/>
              </w:rPr>
              <w:t>withholdings on equity awards</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460"/>
              <w:spacing w:after="0" w:line="175" w:lineRule="exact"/>
              <w:rPr>
                <w:sz w:val="20"/>
                <w:szCs w:val="20"/>
                <w:color w:val="auto"/>
              </w:rPr>
            </w:pPr>
            <w:r>
              <w:rPr>
                <w:rFonts w:ascii="Times New Roman" w:cs="Times New Roman" w:eastAsia="Times New Roman" w:hAnsi="Times New Roman"/>
                <w:sz w:val="16"/>
                <w:szCs w:val="16"/>
                <w:color w:val="010000"/>
              </w:rPr>
              <w:t>Repurchase of common stock - stock repurchase</w:t>
            </w:r>
          </w:p>
        </w:tc>
        <w:tc>
          <w:tcPr>
            <w:tcW w:w="2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10000"/>
              </w:rPr>
              <w:t>(114.5)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10000"/>
              </w:rPr>
              <w:t>(830.2)</w:t>
            </w:r>
          </w:p>
        </w:tc>
        <w:tc>
          <w:tcPr>
            <w:tcW w:w="0" w:type="dxa"/>
            <w:vAlign w:val="bottom"/>
          </w:tcPr>
          <w:p>
            <w:pPr>
              <w:spacing w:after="0"/>
              <w:rPr>
                <w:sz w:val="1"/>
                <w:szCs w:val="1"/>
                <w:color w:val="auto"/>
              </w:rPr>
            </w:pPr>
          </w:p>
        </w:tc>
      </w:tr>
      <w:tr>
        <w:trPr>
          <w:trHeight w:val="213"/>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010000"/>
              </w:rPr>
              <w:t>program</w:t>
            </w: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(320.1)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(432.6)</w:t>
            </w:r>
          </w:p>
        </w:tc>
        <w:tc>
          <w:tcPr>
            <w:tcW w:w="0" w:type="dxa"/>
            <w:vAlign w:val="bottom"/>
          </w:tcPr>
          <w:p>
            <w:pPr>
              <w:spacing w:after="0"/>
              <w:rPr>
                <w:sz w:val="1"/>
                <w:szCs w:val="1"/>
                <w:color w:val="auto"/>
              </w:rPr>
            </w:pPr>
          </w:p>
        </w:tc>
      </w:tr>
      <w:tr>
        <w:trPr>
          <w:trHeight w:val="226"/>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33.1</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issuance of long-term debt, net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1,979.9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w:t>
            </w:r>
          </w:p>
        </w:tc>
        <w:tc>
          <w:tcPr>
            <w:tcW w:w="0" w:type="dxa"/>
            <w:vAlign w:val="bottom"/>
          </w:tcPr>
          <w:p>
            <w:pPr>
              <w:spacing w:after="0"/>
              <w:rPr>
                <w:sz w:val="1"/>
                <w:szCs w:val="1"/>
                <w:color w:val="auto"/>
              </w:rPr>
            </w:pPr>
          </w:p>
        </w:tc>
      </w:tr>
      <w:tr>
        <w:trPr>
          <w:trHeight w:val="227"/>
        </w:trPr>
        <w:tc>
          <w:tcPr>
            <w:tcW w:w="3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Debt financing costs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10000"/>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010000"/>
              </w:rPr>
              <w:t>—</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Payments of debt</w:t>
            </w: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010000"/>
              </w:rPr>
              <w:t>—</w:t>
            </w: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010000"/>
              </w:rPr>
              <w:t>—</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w:t>
            </w:r>
          </w:p>
        </w:tc>
        <w:tc>
          <w:tcPr>
            <w:tcW w:w="0" w:type="dxa"/>
            <w:vAlign w:val="bottom"/>
          </w:tcPr>
          <w:p>
            <w:pPr>
              <w:spacing w:after="0"/>
              <w:rPr>
                <w:sz w:val="1"/>
                <w:szCs w:val="1"/>
                <w:color w:val="auto"/>
              </w:rPr>
            </w:pPr>
          </w:p>
        </w:tc>
      </w:tr>
      <w:tr>
        <w:trPr>
          <w:trHeight w:val="155"/>
        </w:trPr>
        <w:tc>
          <w:tcPr>
            <w:tcW w:w="3880" w:type="dxa"/>
            <w:vAlign w:val="bottom"/>
          </w:tcPr>
          <w:p>
            <w:pPr>
              <w:ind w:left="680"/>
              <w:spacing w:after="0" w:line="155" w:lineRule="exact"/>
              <w:rPr>
                <w:sz w:val="20"/>
                <w:szCs w:val="20"/>
                <w:color w:val="auto"/>
              </w:rPr>
            </w:pPr>
            <w:r>
              <w:rPr>
                <w:rFonts w:ascii="Times New Roman" w:cs="Times New Roman" w:eastAsia="Times New Roman" w:hAnsi="Times New Roman"/>
                <w:sz w:val="16"/>
                <w:szCs w:val="16"/>
                <w:b w:val="1"/>
                <w:bCs w:val="1"/>
                <w:color w:val="auto"/>
              </w:rPr>
              <w:t>Net cash provided by (used in) financing</w:t>
            </w: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010000"/>
              </w:rPr>
              <w:t>1,878.3</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010000"/>
              </w:rPr>
              <w:t>(93.5)</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010000"/>
              </w:rPr>
              <w:t>1,029.2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010000"/>
              </w:rPr>
              <w:t>(1,274.1)</w:t>
            </w: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1,816.1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1,444.8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(207.3)</w:t>
            </w:r>
          </w:p>
        </w:tc>
        <w:tc>
          <w:tcPr>
            <w:tcW w:w="0" w:type="dxa"/>
            <w:vAlign w:val="bottom"/>
          </w:tcPr>
          <w:p>
            <w:pPr>
              <w:spacing w:after="0"/>
              <w:rPr>
                <w:sz w:val="1"/>
                <w:szCs w:val="1"/>
                <w:color w:val="auto"/>
              </w:rPr>
            </w:pPr>
          </w:p>
        </w:tc>
      </w:tr>
      <w:tr>
        <w:trPr>
          <w:trHeight w:val="227"/>
        </w:trPr>
        <w:tc>
          <w:tcPr>
            <w:tcW w:w="3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1,161.3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000"/>
              </w:rPr>
              <w:t>1,368.6</w:t>
            </w:r>
          </w:p>
        </w:tc>
        <w:tc>
          <w:tcPr>
            <w:tcW w:w="0" w:type="dxa"/>
            <w:vAlign w:val="bottom"/>
          </w:tcPr>
          <w:p>
            <w:pPr>
              <w:spacing w:after="0"/>
              <w:rPr>
                <w:sz w:val="1"/>
                <w:szCs w:val="1"/>
                <w:color w:val="auto"/>
              </w:rPr>
            </w:pPr>
          </w:p>
        </w:tc>
      </w:tr>
      <w:tr>
        <w:trPr>
          <w:trHeight w:val="251"/>
        </w:trPr>
        <w:tc>
          <w:tcPr>
            <w:tcW w:w="3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2,606.1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1,161.3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2,606.1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010000"/>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010000"/>
              </w:rPr>
              <w:t>1,161.3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2026-11-03T15:12:01Z</dcterms:created>
  <dcterms:modified xsi:type="dcterms:W3CDTF">2026-11-03T15:12:01Z</dcterms:modified>
</cp:coreProperties>
</file>